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741" w:rsidRDefault="00ED7741" w:rsidP="00FA3540">
      <w:pPr>
        <w:jc w:val="center"/>
        <w:rPr>
          <w:rFonts w:ascii="Times New Roman Bold" w:hAnsi="Times New Roman Bold"/>
          <w:b/>
          <w:sz w:val="32"/>
          <w:szCs w:val="28"/>
        </w:rPr>
      </w:pPr>
      <w:r>
        <w:rPr>
          <w:rFonts w:ascii="Times New Roman Bold" w:hAnsi="Times New Roman Bold"/>
          <w:b/>
          <w:sz w:val="28"/>
          <w:szCs w:val="28"/>
        </w:rPr>
        <w:t xml:space="preserve"> </w:t>
      </w:r>
    </w:p>
    <w:p w:rsidR="00ED7741" w:rsidRPr="002153F9" w:rsidRDefault="00ED7741" w:rsidP="002153F9">
      <w:pPr>
        <w:jc w:val="center"/>
        <w:rPr>
          <w:rFonts w:ascii="Times New Roman Bold" w:hAnsi="Times New Roman Bold"/>
          <w:b/>
          <w:sz w:val="44"/>
          <w:szCs w:val="44"/>
        </w:rPr>
      </w:pPr>
      <w:r w:rsidRPr="002153F9">
        <w:rPr>
          <w:rFonts w:ascii="Times New Roman Bold" w:hAnsi="Times New Roman Bold"/>
          <w:b/>
          <w:sz w:val="44"/>
          <w:szCs w:val="44"/>
        </w:rPr>
        <w:t xml:space="preserve">Executive Summary of the </w:t>
      </w:r>
    </w:p>
    <w:p w:rsidR="00ED7741" w:rsidRPr="002153F9" w:rsidRDefault="00ED7741" w:rsidP="002153F9">
      <w:pPr>
        <w:jc w:val="center"/>
        <w:rPr>
          <w:rFonts w:ascii="Times New Roman Bold" w:hAnsi="Times New Roman Bold"/>
          <w:b/>
          <w:sz w:val="44"/>
          <w:szCs w:val="44"/>
        </w:rPr>
      </w:pPr>
      <w:r w:rsidRPr="002153F9">
        <w:rPr>
          <w:rFonts w:ascii="Times New Roman Bold" w:hAnsi="Times New Roman Bold"/>
          <w:b/>
          <w:sz w:val="44"/>
          <w:szCs w:val="44"/>
        </w:rPr>
        <w:t>20</w:t>
      </w:r>
      <w:r>
        <w:rPr>
          <w:rFonts w:ascii="Times New Roman Bold" w:hAnsi="Times New Roman Bold"/>
          <w:b/>
          <w:sz w:val="44"/>
          <w:szCs w:val="44"/>
        </w:rPr>
        <w:t>1</w:t>
      </w:r>
      <w:r w:rsidR="00750C36">
        <w:rPr>
          <w:rFonts w:ascii="Times New Roman Bold" w:hAnsi="Times New Roman Bold"/>
          <w:b/>
          <w:sz w:val="44"/>
          <w:szCs w:val="44"/>
        </w:rPr>
        <w:t>5</w:t>
      </w:r>
      <w:r w:rsidRPr="002153F9">
        <w:rPr>
          <w:rFonts w:ascii="Times New Roman Bold" w:hAnsi="Times New Roman Bold"/>
          <w:b/>
          <w:sz w:val="44"/>
          <w:szCs w:val="44"/>
        </w:rPr>
        <w:t xml:space="preserve"> SDG&amp;E Measurement and Evaluation </w:t>
      </w:r>
    </w:p>
    <w:p w:rsidR="00ED7741" w:rsidRPr="002153F9" w:rsidRDefault="00ED7741" w:rsidP="002153F9">
      <w:pPr>
        <w:jc w:val="center"/>
        <w:rPr>
          <w:rFonts w:ascii="Times New Roman Bold" w:hAnsi="Times New Roman Bold"/>
          <w:b/>
          <w:sz w:val="44"/>
          <w:szCs w:val="44"/>
        </w:rPr>
      </w:pPr>
      <w:r w:rsidRPr="002153F9">
        <w:rPr>
          <w:rFonts w:ascii="Times New Roman Bold" w:hAnsi="Times New Roman Bold"/>
          <w:b/>
          <w:sz w:val="44"/>
          <w:szCs w:val="44"/>
        </w:rPr>
        <w:t xml:space="preserve">Load Impact </w:t>
      </w:r>
      <w:bookmarkStart w:id="0" w:name="_GoBack"/>
      <w:bookmarkEnd w:id="0"/>
      <w:r w:rsidRPr="002153F9">
        <w:rPr>
          <w:rFonts w:ascii="Times New Roman Bold" w:hAnsi="Times New Roman Bold"/>
          <w:b/>
          <w:sz w:val="44"/>
          <w:szCs w:val="44"/>
        </w:rPr>
        <w:t>Reports</w:t>
      </w:r>
    </w:p>
    <w:p w:rsidR="00ED7741" w:rsidRDefault="00ED7741" w:rsidP="002153F9">
      <w:pPr>
        <w:tabs>
          <w:tab w:val="left" w:pos="-720"/>
        </w:tabs>
        <w:jc w:val="center"/>
        <w:rPr>
          <w:rFonts w:ascii="Arial" w:hAnsi="Arial"/>
        </w:rPr>
      </w:pPr>
    </w:p>
    <w:p w:rsidR="00ED7741" w:rsidRDefault="00ED7741" w:rsidP="002153F9">
      <w:pPr>
        <w:tabs>
          <w:tab w:val="left" w:pos="-720"/>
        </w:tabs>
        <w:jc w:val="center"/>
        <w:rPr>
          <w:rFonts w:ascii="Arial" w:hAnsi="Arial"/>
        </w:rPr>
      </w:pPr>
    </w:p>
    <w:p w:rsidR="00ED7741" w:rsidRDefault="00ED7741" w:rsidP="002153F9">
      <w:pPr>
        <w:tabs>
          <w:tab w:val="left" w:pos="-720"/>
        </w:tabs>
        <w:jc w:val="center"/>
        <w:rPr>
          <w:rFonts w:ascii="Arial" w:hAnsi="Arial"/>
        </w:rPr>
      </w:pPr>
    </w:p>
    <w:p w:rsidR="00ED7741" w:rsidRDefault="00ED7741" w:rsidP="002153F9">
      <w:pPr>
        <w:tabs>
          <w:tab w:val="left" w:pos="-720"/>
        </w:tabs>
        <w:jc w:val="center"/>
        <w:rPr>
          <w:rFonts w:ascii="Arial" w:hAnsi="Arial"/>
        </w:rPr>
      </w:pPr>
    </w:p>
    <w:p w:rsidR="00ED7741" w:rsidRDefault="00ED7741" w:rsidP="002153F9">
      <w:pPr>
        <w:tabs>
          <w:tab w:val="left" w:pos="-720"/>
        </w:tabs>
        <w:jc w:val="center"/>
        <w:rPr>
          <w:rFonts w:ascii="Arial" w:hAnsi="Arial"/>
        </w:rPr>
      </w:pPr>
    </w:p>
    <w:p w:rsidR="00ED7741" w:rsidRDefault="00ED7741" w:rsidP="002153F9">
      <w:pPr>
        <w:tabs>
          <w:tab w:val="left" w:pos="-720"/>
        </w:tabs>
        <w:jc w:val="center"/>
        <w:rPr>
          <w:rFonts w:ascii="Arial" w:hAnsi="Arial"/>
        </w:rPr>
      </w:pPr>
    </w:p>
    <w:p w:rsidR="00ED7741" w:rsidRDefault="00ED7741" w:rsidP="002153F9">
      <w:pPr>
        <w:tabs>
          <w:tab w:val="left" w:pos="-720"/>
        </w:tabs>
        <w:jc w:val="center"/>
        <w:rPr>
          <w:rFonts w:ascii="Arial" w:hAnsi="Arial"/>
        </w:rPr>
      </w:pPr>
    </w:p>
    <w:p w:rsidR="00ED7741" w:rsidRDefault="00ED7741" w:rsidP="002153F9">
      <w:pPr>
        <w:tabs>
          <w:tab w:val="left" w:pos="-720"/>
        </w:tabs>
        <w:jc w:val="center"/>
        <w:rPr>
          <w:rFonts w:ascii="Arial" w:hAnsi="Arial"/>
        </w:rPr>
      </w:pPr>
    </w:p>
    <w:p w:rsidR="00ED7741" w:rsidRDefault="00ED7741" w:rsidP="002153F9">
      <w:pPr>
        <w:tabs>
          <w:tab w:val="left" w:pos="-720"/>
        </w:tabs>
        <w:jc w:val="center"/>
        <w:rPr>
          <w:rFonts w:ascii="Arial" w:hAnsi="Arial"/>
        </w:rPr>
      </w:pPr>
    </w:p>
    <w:p w:rsidR="00ED7741" w:rsidRDefault="00ED7741" w:rsidP="002153F9">
      <w:pPr>
        <w:tabs>
          <w:tab w:val="left" w:pos="-720"/>
        </w:tabs>
        <w:jc w:val="center"/>
        <w:rPr>
          <w:rFonts w:ascii="Arial" w:hAnsi="Arial"/>
        </w:rPr>
      </w:pPr>
    </w:p>
    <w:p w:rsidR="00ED7741" w:rsidRDefault="00ED7741" w:rsidP="002153F9">
      <w:pPr>
        <w:tabs>
          <w:tab w:val="left" w:pos="-720"/>
        </w:tabs>
        <w:jc w:val="center"/>
        <w:rPr>
          <w:rFonts w:ascii="Arial" w:hAnsi="Arial"/>
        </w:rPr>
      </w:pPr>
    </w:p>
    <w:p w:rsidR="00ED7741" w:rsidRDefault="00ED7741" w:rsidP="002153F9">
      <w:pPr>
        <w:tabs>
          <w:tab w:val="left" w:pos="-720"/>
        </w:tabs>
        <w:jc w:val="center"/>
        <w:rPr>
          <w:rFonts w:ascii="Arial" w:hAnsi="Arial"/>
        </w:rPr>
      </w:pPr>
    </w:p>
    <w:p w:rsidR="00ED7741" w:rsidRPr="002153F9" w:rsidRDefault="007C3C01" w:rsidP="002153F9">
      <w:pPr>
        <w:jc w:val="center"/>
        <w:rPr>
          <w:rFonts w:ascii="Times New Roman Bold" w:hAnsi="Times New Roman Bold"/>
          <w:b/>
          <w:sz w:val="32"/>
          <w:szCs w:val="28"/>
        </w:rPr>
      </w:pPr>
      <w:r>
        <w:rPr>
          <w:rFonts w:ascii="Times New Roman Bold" w:hAnsi="Times New Roman Bold"/>
          <w:b/>
          <w:sz w:val="32"/>
          <w:szCs w:val="28"/>
        </w:rPr>
        <w:t xml:space="preserve">April </w:t>
      </w:r>
      <w:r w:rsidR="00ED7741">
        <w:rPr>
          <w:rFonts w:ascii="Times New Roman Bold" w:hAnsi="Times New Roman Bold"/>
          <w:b/>
          <w:sz w:val="32"/>
          <w:szCs w:val="28"/>
        </w:rPr>
        <w:t>1st</w:t>
      </w:r>
      <w:r w:rsidR="00ED7741" w:rsidRPr="002153F9">
        <w:rPr>
          <w:rFonts w:ascii="Times New Roman Bold" w:hAnsi="Times New Roman Bold"/>
          <w:b/>
          <w:sz w:val="32"/>
          <w:szCs w:val="28"/>
        </w:rPr>
        <w:t>, 201</w:t>
      </w:r>
      <w:r w:rsidR="00750C36">
        <w:rPr>
          <w:rFonts w:ascii="Times New Roman Bold" w:hAnsi="Times New Roman Bold"/>
          <w:b/>
          <w:sz w:val="32"/>
          <w:szCs w:val="28"/>
        </w:rPr>
        <w:t>6</w:t>
      </w:r>
    </w:p>
    <w:p w:rsidR="00ED7741" w:rsidRPr="002153F9" w:rsidRDefault="00ED7741" w:rsidP="002153F9">
      <w:pPr>
        <w:jc w:val="center"/>
        <w:rPr>
          <w:rFonts w:ascii="Times New Roman Bold" w:hAnsi="Times New Roman Bold"/>
          <w:b/>
          <w:sz w:val="32"/>
          <w:szCs w:val="28"/>
        </w:rPr>
      </w:pPr>
    </w:p>
    <w:p w:rsidR="00ED7741" w:rsidRDefault="00ED7741" w:rsidP="002153F9">
      <w:pPr>
        <w:pStyle w:val="BodyTextIndent"/>
        <w:rPr>
          <w:sz w:val="48"/>
        </w:rPr>
      </w:pPr>
    </w:p>
    <w:p w:rsidR="00ED7741" w:rsidRDefault="00ED7741" w:rsidP="002153F9">
      <w:pPr>
        <w:pStyle w:val="BodyTextIndent"/>
        <w:rPr>
          <w:sz w:val="48"/>
        </w:rPr>
      </w:pPr>
    </w:p>
    <w:p w:rsidR="00ED7741" w:rsidRDefault="00ED7741" w:rsidP="002153F9">
      <w:pPr>
        <w:pStyle w:val="BodyTextIndent"/>
        <w:rPr>
          <w:sz w:val="48"/>
        </w:rPr>
      </w:pPr>
    </w:p>
    <w:p w:rsidR="00ED7741" w:rsidRDefault="00ED7741" w:rsidP="002153F9">
      <w:pPr>
        <w:pStyle w:val="BodyTextIndent"/>
        <w:rPr>
          <w:sz w:val="48"/>
        </w:rPr>
      </w:pPr>
    </w:p>
    <w:p w:rsidR="00ED7741" w:rsidRDefault="00ED7741" w:rsidP="002153F9">
      <w:pPr>
        <w:jc w:val="center"/>
        <w:rPr>
          <w:sz w:val="20"/>
        </w:rPr>
      </w:pPr>
      <w:r>
        <w:br/>
      </w:r>
      <w:r w:rsidR="00226A04">
        <w:rPr>
          <w:rFonts w:ascii="Times New Roman Bold" w:hAnsi="Times New Roman Bold"/>
          <w:b/>
          <w:noProof/>
          <w:sz w:val="32"/>
          <w:szCs w:val="28"/>
        </w:rPr>
        <w:drawing>
          <wp:inline distT="0" distB="0" distL="0" distR="0" wp14:anchorId="4F348729" wp14:editId="2D321042">
            <wp:extent cx="2295525" cy="981075"/>
            <wp:effectExtent l="19050" t="0" r="9525" b="0"/>
            <wp:docPr id="1" name="Picture 3" descr="SD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DGE Logo"/>
                    <pic:cNvPicPr>
                      <a:picLocks noChangeAspect="1" noChangeArrowheads="1"/>
                    </pic:cNvPicPr>
                  </pic:nvPicPr>
                  <pic:blipFill>
                    <a:blip r:embed="rId9" cstate="print"/>
                    <a:srcRect/>
                    <a:stretch>
                      <a:fillRect/>
                    </a:stretch>
                  </pic:blipFill>
                  <pic:spPr bwMode="auto">
                    <a:xfrm>
                      <a:off x="0" y="0"/>
                      <a:ext cx="2295525" cy="981075"/>
                    </a:xfrm>
                    <a:prstGeom prst="rect">
                      <a:avLst/>
                    </a:prstGeom>
                    <a:noFill/>
                    <a:ln w="9525">
                      <a:noFill/>
                      <a:miter lim="800000"/>
                      <a:headEnd/>
                      <a:tailEnd/>
                    </a:ln>
                  </pic:spPr>
                </pic:pic>
              </a:graphicData>
            </a:graphic>
          </wp:inline>
        </w:drawing>
      </w:r>
    </w:p>
    <w:p w:rsidR="00ED7741" w:rsidRDefault="00ED7741">
      <w:pPr>
        <w:pStyle w:val="TOCHeading"/>
        <w:rPr>
          <w:sz w:val="20"/>
        </w:rPr>
      </w:pPr>
    </w:p>
    <w:p w:rsidR="00ED7741" w:rsidRDefault="00ED7741" w:rsidP="002153F9"/>
    <w:p w:rsidR="00B07797" w:rsidRDefault="00B07797">
      <w:pPr>
        <w:pStyle w:val="TOCHeading"/>
      </w:pPr>
      <w:r>
        <w:t xml:space="preserve">  </w:t>
      </w:r>
    </w:p>
    <w:p w:rsidR="00ED7741" w:rsidRDefault="00ED7741"/>
    <w:p w:rsidR="00ED7741" w:rsidRDefault="00ED7741"/>
    <w:sdt>
      <w:sdtPr>
        <w:rPr>
          <w:rFonts w:ascii="Times New Roman" w:hAnsi="Times New Roman"/>
          <w:b w:val="0"/>
          <w:bCs w:val="0"/>
          <w:color w:val="auto"/>
          <w:sz w:val="24"/>
          <w:szCs w:val="24"/>
        </w:rPr>
        <w:id w:val="27672659"/>
        <w:docPartObj>
          <w:docPartGallery w:val="Table of Contents"/>
          <w:docPartUnique/>
        </w:docPartObj>
      </w:sdtPr>
      <w:sdtEndPr/>
      <w:sdtContent>
        <w:p w:rsidR="009A3B18" w:rsidRDefault="009A3B18" w:rsidP="000311F9">
          <w:pPr>
            <w:pStyle w:val="TOCHeading"/>
          </w:pPr>
          <w:r w:rsidRPr="000311F9">
            <w:rPr>
              <w:rStyle w:val="BodyParaAfterTableFigureChar"/>
            </w:rPr>
            <w:t>Contents</w:t>
          </w:r>
        </w:p>
        <w:p w:rsidR="0024252A" w:rsidRDefault="003A2CE9">
          <w:pPr>
            <w:pStyle w:val="TOC1"/>
            <w:tabs>
              <w:tab w:val="left" w:pos="480"/>
              <w:tab w:val="right" w:leader="dot" w:pos="9350"/>
            </w:tabs>
            <w:rPr>
              <w:rFonts w:asciiTheme="minorHAnsi" w:eastAsiaTheme="minorEastAsia" w:hAnsiTheme="minorHAnsi" w:cstheme="minorBidi"/>
              <w:noProof/>
              <w:sz w:val="22"/>
              <w:szCs w:val="22"/>
            </w:rPr>
          </w:pPr>
          <w:r>
            <w:fldChar w:fldCharType="begin"/>
          </w:r>
          <w:r w:rsidR="009A3B18">
            <w:instrText xml:space="preserve"> TOC \o "1-3" \h \z \u </w:instrText>
          </w:r>
          <w:r>
            <w:fldChar w:fldCharType="separate"/>
          </w:r>
          <w:hyperlink w:anchor="_Toc447179760" w:history="1">
            <w:r w:rsidR="0024252A" w:rsidRPr="00A305AB">
              <w:rPr>
                <w:rStyle w:val="Hyperlink"/>
                <w:noProof/>
              </w:rPr>
              <w:t>1</w:t>
            </w:r>
            <w:r w:rsidR="0024252A">
              <w:rPr>
                <w:rFonts w:asciiTheme="minorHAnsi" w:eastAsiaTheme="minorEastAsia" w:hAnsiTheme="minorHAnsi" w:cstheme="minorBidi"/>
                <w:noProof/>
                <w:sz w:val="22"/>
                <w:szCs w:val="22"/>
              </w:rPr>
              <w:tab/>
            </w:r>
            <w:r w:rsidR="0024252A" w:rsidRPr="00A305AB">
              <w:rPr>
                <w:rStyle w:val="Hyperlink"/>
                <w:noProof/>
              </w:rPr>
              <w:t>SDG&amp;E’s 2015 Load Impact Executive Summary Background</w:t>
            </w:r>
            <w:r w:rsidR="0024252A">
              <w:rPr>
                <w:noProof/>
                <w:webHidden/>
              </w:rPr>
              <w:tab/>
            </w:r>
            <w:r w:rsidR="0024252A">
              <w:rPr>
                <w:noProof/>
                <w:webHidden/>
              </w:rPr>
              <w:fldChar w:fldCharType="begin"/>
            </w:r>
            <w:r w:rsidR="0024252A">
              <w:rPr>
                <w:noProof/>
                <w:webHidden/>
              </w:rPr>
              <w:instrText xml:space="preserve"> PAGEREF _Toc447179760 \h </w:instrText>
            </w:r>
            <w:r w:rsidR="0024252A">
              <w:rPr>
                <w:noProof/>
                <w:webHidden/>
              </w:rPr>
            </w:r>
            <w:r w:rsidR="0024252A">
              <w:rPr>
                <w:noProof/>
                <w:webHidden/>
              </w:rPr>
              <w:fldChar w:fldCharType="separate"/>
            </w:r>
            <w:r w:rsidR="0024252A">
              <w:rPr>
                <w:noProof/>
                <w:webHidden/>
              </w:rPr>
              <w:t>5</w:t>
            </w:r>
            <w:r w:rsidR="0024252A">
              <w:rPr>
                <w:noProof/>
                <w:webHidden/>
              </w:rPr>
              <w:fldChar w:fldCharType="end"/>
            </w:r>
          </w:hyperlink>
        </w:p>
        <w:p w:rsidR="0024252A" w:rsidRDefault="0024252A">
          <w:pPr>
            <w:pStyle w:val="TOC1"/>
            <w:tabs>
              <w:tab w:val="left" w:pos="480"/>
              <w:tab w:val="right" w:leader="dot" w:pos="9350"/>
            </w:tabs>
            <w:rPr>
              <w:rFonts w:asciiTheme="minorHAnsi" w:eastAsiaTheme="minorEastAsia" w:hAnsiTheme="minorHAnsi" w:cstheme="minorBidi"/>
              <w:noProof/>
              <w:sz w:val="22"/>
              <w:szCs w:val="22"/>
            </w:rPr>
          </w:pPr>
          <w:hyperlink w:anchor="_Toc447179761" w:history="1">
            <w:r w:rsidRPr="00A305AB">
              <w:rPr>
                <w:rStyle w:val="Hyperlink"/>
                <w:noProof/>
              </w:rPr>
              <w:t>2</w:t>
            </w:r>
            <w:r>
              <w:rPr>
                <w:rFonts w:asciiTheme="minorHAnsi" w:eastAsiaTheme="minorEastAsia" w:hAnsiTheme="minorHAnsi" w:cstheme="minorBidi"/>
                <w:noProof/>
                <w:sz w:val="22"/>
                <w:szCs w:val="22"/>
              </w:rPr>
              <w:tab/>
            </w:r>
            <w:r w:rsidRPr="00A305AB">
              <w:rPr>
                <w:rStyle w:val="Hyperlink"/>
                <w:noProof/>
              </w:rPr>
              <w:t>Summary of SDG&amp;E’s Capacity Bidding Program Report</w:t>
            </w:r>
            <w:r>
              <w:rPr>
                <w:noProof/>
                <w:webHidden/>
              </w:rPr>
              <w:tab/>
            </w:r>
            <w:r>
              <w:rPr>
                <w:noProof/>
                <w:webHidden/>
              </w:rPr>
              <w:fldChar w:fldCharType="begin"/>
            </w:r>
            <w:r>
              <w:rPr>
                <w:noProof/>
                <w:webHidden/>
              </w:rPr>
              <w:instrText xml:space="preserve"> PAGEREF _Toc447179761 \h </w:instrText>
            </w:r>
            <w:r>
              <w:rPr>
                <w:noProof/>
                <w:webHidden/>
              </w:rPr>
            </w:r>
            <w:r>
              <w:rPr>
                <w:noProof/>
                <w:webHidden/>
              </w:rPr>
              <w:fldChar w:fldCharType="separate"/>
            </w:r>
            <w:r>
              <w:rPr>
                <w:noProof/>
                <w:webHidden/>
              </w:rPr>
              <w:t>5</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62" w:history="1">
            <w:r w:rsidRPr="00A305AB">
              <w:rPr>
                <w:rStyle w:val="Hyperlink"/>
                <w:noProof/>
              </w:rPr>
              <w:t>2.1</w:t>
            </w:r>
            <w:r>
              <w:rPr>
                <w:rFonts w:asciiTheme="minorHAnsi" w:eastAsiaTheme="minorEastAsia" w:hAnsiTheme="minorHAnsi" w:cstheme="minorBidi"/>
                <w:noProof/>
                <w:sz w:val="22"/>
                <w:szCs w:val="22"/>
              </w:rPr>
              <w:tab/>
            </w:r>
            <w:r w:rsidRPr="00A305AB">
              <w:rPr>
                <w:rStyle w:val="Hyperlink"/>
                <w:noProof/>
              </w:rPr>
              <w:t>CBP Program Description</w:t>
            </w:r>
            <w:r>
              <w:rPr>
                <w:noProof/>
                <w:webHidden/>
              </w:rPr>
              <w:tab/>
            </w:r>
            <w:r>
              <w:rPr>
                <w:noProof/>
                <w:webHidden/>
              </w:rPr>
              <w:fldChar w:fldCharType="begin"/>
            </w:r>
            <w:r>
              <w:rPr>
                <w:noProof/>
                <w:webHidden/>
              </w:rPr>
              <w:instrText xml:space="preserve"> PAGEREF _Toc447179762 \h </w:instrText>
            </w:r>
            <w:r>
              <w:rPr>
                <w:noProof/>
                <w:webHidden/>
              </w:rPr>
            </w:r>
            <w:r>
              <w:rPr>
                <w:noProof/>
                <w:webHidden/>
              </w:rPr>
              <w:fldChar w:fldCharType="separate"/>
            </w:r>
            <w:r>
              <w:rPr>
                <w:noProof/>
                <w:webHidden/>
              </w:rPr>
              <w:t>5</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63" w:history="1">
            <w:r w:rsidRPr="00A305AB">
              <w:rPr>
                <w:rStyle w:val="Hyperlink"/>
                <w:noProof/>
              </w:rPr>
              <w:t>2.2</w:t>
            </w:r>
            <w:r>
              <w:rPr>
                <w:rFonts w:asciiTheme="minorHAnsi" w:eastAsiaTheme="minorEastAsia" w:hAnsiTheme="minorHAnsi" w:cstheme="minorBidi"/>
                <w:noProof/>
                <w:sz w:val="22"/>
                <w:szCs w:val="22"/>
              </w:rPr>
              <w:tab/>
            </w:r>
            <w:r w:rsidRPr="00A305AB">
              <w:rPr>
                <w:rStyle w:val="Hyperlink"/>
                <w:noProof/>
              </w:rPr>
              <w:t>CBP Ex-Post Evaluation Methodology</w:t>
            </w:r>
            <w:r>
              <w:rPr>
                <w:noProof/>
                <w:webHidden/>
              </w:rPr>
              <w:tab/>
            </w:r>
            <w:r>
              <w:rPr>
                <w:noProof/>
                <w:webHidden/>
              </w:rPr>
              <w:fldChar w:fldCharType="begin"/>
            </w:r>
            <w:r>
              <w:rPr>
                <w:noProof/>
                <w:webHidden/>
              </w:rPr>
              <w:instrText xml:space="preserve"> PAGEREF _Toc447179763 \h </w:instrText>
            </w:r>
            <w:r>
              <w:rPr>
                <w:noProof/>
                <w:webHidden/>
              </w:rPr>
            </w:r>
            <w:r>
              <w:rPr>
                <w:noProof/>
                <w:webHidden/>
              </w:rPr>
              <w:fldChar w:fldCharType="separate"/>
            </w:r>
            <w:r>
              <w:rPr>
                <w:noProof/>
                <w:webHidden/>
              </w:rPr>
              <w:t>6</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764" w:history="1">
            <w:r w:rsidRPr="00A305AB">
              <w:rPr>
                <w:rStyle w:val="Hyperlink"/>
                <w:noProof/>
                <w14:scene3d>
                  <w14:camera w14:prst="orthographicFront"/>
                  <w14:lightRig w14:rig="threePt" w14:dir="t">
                    <w14:rot w14:lat="0" w14:lon="0" w14:rev="0"/>
                  </w14:lightRig>
                </w14:scene3d>
              </w:rPr>
              <w:t>2.2.1</w:t>
            </w:r>
            <w:r>
              <w:rPr>
                <w:rFonts w:asciiTheme="minorHAnsi" w:eastAsiaTheme="minorEastAsia" w:hAnsiTheme="minorHAnsi" w:cstheme="minorBidi"/>
                <w:noProof/>
                <w:sz w:val="22"/>
                <w:szCs w:val="22"/>
              </w:rPr>
              <w:tab/>
            </w:r>
            <w:r w:rsidRPr="00A305AB">
              <w:rPr>
                <w:rStyle w:val="Hyperlink"/>
                <w:noProof/>
              </w:rPr>
              <w:t>Develop Candidate Customer-Specific Regression Models</w:t>
            </w:r>
            <w:r>
              <w:rPr>
                <w:noProof/>
                <w:webHidden/>
              </w:rPr>
              <w:tab/>
            </w:r>
            <w:r>
              <w:rPr>
                <w:noProof/>
                <w:webHidden/>
              </w:rPr>
              <w:fldChar w:fldCharType="begin"/>
            </w:r>
            <w:r>
              <w:rPr>
                <w:noProof/>
                <w:webHidden/>
              </w:rPr>
              <w:instrText xml:space="preserve"> PAGEREF _Toc447179764 \h </w:instrText>
            </w:r>
            <w:r>
              <w:rPr>
                <w:noProof/>
                <w:webHidden/>
              </w:rPr>
            </w:r>
            <w:r>
              <w:rPr>
                <w:noProof/>
                <w:webHidden/>
              </w:rPr>
              <w:fldChar w:fldCharType="separate"/>
            </w:r>
            <w:r>
              <w:rPr>
                <w:noProof/>
                <w:webHidden/>
              </w:rPr>
              <w:t>7</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765" w:history="1">
            <w:r w:rsidRPr="00A305AB">
              <w:rPr>
                <w:rStyle w:val="Hyperlink"/>
                <w:noProof/>
                <w14:scene3d>
                  <w14:camera w14:prst="orthographicFront"/>
                  <w14:lightRig w14:rig="threePt" w14:dir="t">
                    <w14:rot w14:lat="0" w14:lon="0" w14:rev="0"/>
                  </w14:lightRig>
                </w14:scene3d>
              </w:rPr>
              <w:t>2.2.2</w:t>
            </w:r>
            <w:r>
              <w:rPr>
                <w:rFonts w:asciiTheme="minorHAnsi" w:eastAsiaTheme="minorEastAsia" w:hAnsiTheme="minorHAnsi" w:cstheme="minorBidi"/>
                <w:noProof/>
                <w:sz w:val="22"/>
                <w:szCs w:val="22"/>
              </w:rPr>
              <w:tab/>
            </w:r>
            <w:r w:rsidRPr="00A305AB">
              <w:rPr>
                <w:rStyle w:val="Hyperlink"/>
                <w:noProof/>
              </w:rPr>
              <w:t>Optimization Process</w:t>
            </w:r>
            <w:r>
              <w:rPr>
                <w:noProof/>
                <w:webHidden/>
              </w:rPr>
              <w:tab/>
            </w:r>
            <w:r>
              <w:rPr>
                <w:noProof/>
                <w:webHidden/>
              </w:rPr>
              <w:fldChar w:fldCharType="begin"/>
            </w:r>
            <w:r>
              <w:rPr>
                <w:noProof/>
                <w:webHidden/>
              </w:rPr>
              <w:instrText xml:space="preserve"> PAGEREF _Toc447179765 \h </w:instrText>
            </w:r>
            <w:r>
              <w:rPr>
                <w:noProof/>
                <w:webHidden/>
              </w:rPr>
            </w:r>
            <w:r>
              <w:rPr>
                <w:noProof/>
                <w:webHidden/>
              </w:rPr>
              <w:fldChar w:fldCharType="separate"/>
            </w:r>
            <w:r>
              <w:rPr>
                <w:noProof/>
                <w:webHidden/>
              </w:rPr>
              <w:t>8</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766" w:history="1">
            <w:r w:rsidRPr="00A305AB">
              <w:rPr>
                <w:rStyle w:val="Hyperlink"/>
                <w:noProof/>
                <w14:scene3d>
                  <w14:camera w14:prst="orthographicFront"/>
                  <w14:lightRig w14:rig="threePt" w14:dir="t">
                    <w14:rot w14:lat="0" w14:lon="0" w14:rev="0"/>
                  </w14:lightRig>
                </w14:scene3d>
              </w:rPr>
              <w:t>2.2.3</w:t>
            </w:r>
            <w:r>
              <w:rPr>
                <w:rFonts w:asciiTheme="minorHAnsi" w:eastAsiaTheme="minorEastAsia" w:hAnsiTheme="minorHAnsi" w:cstheme="minorBidi"/>
                <w:noProof/>
                <w:sz w:val="22"/>
                <w:szCs w:val="22"/>
              </w:rPr>
              <w:tab/>
            </w:r>
            <w:r w:rsidRPr="00A305AB">
              <w:rPr>
                <w:rStyle w:val="Hyperlink"/>
                <w:noProof/>
              </w:rPr>
              <w:t>Obtain Load Impacts and Confidence Intervals by Subgroup</w:t>
            </w:r>
            <w:r>
              <w:rPr>
                <w:noProof/>
                <w:webHidden/>
              </w:rPr>
              <w:tab/>
            </w:r>
            <w:r>
              <w:rPr>
                <w:noProof/>
                <w:webHidden/>
              </w:rPr>
              <w:fldChar w:fldCharType="begin"/>
            </w:r>
            <w:r>
              <w:rPr>
                <w:noProof/>
                <w:webHidden/>
              </w:rPr>
              <w:instrText xml:space="preserve"> PAGEREF _Toc447179766 \h </w:instrText>
            </w:r>
            <w:r>
              <w:rPr>
                <w:noProof/>
                <w:webHidden/>
              </w:rPr>
            </w:r>
            <w:r>
              <w:rPr>
                <w:noProof/>
                <w:webHidden/>
              </w:rPr>
              <w:fldChar w:fldCharType="separate"/>
            </w:r>
            <w:r>
              <w:rPr>
                <w:noProof/>
                <w:webHidden/>
              </w:rPr>
              <w:t>9</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67" w:history="1">
            <w:r w:rsidRPr="00A305AB">
              <w:rPr>
                <w:rStyle w:val="Hyperlink"/>
                <w:noProof/>
              </w:rPr>
              <w:t>2.3</w:t>
            </w:r>
            <w:r>
              <w:rPr>
                <w:rFonts w:asciiTheme="minorHAnsi" w:eastAsiaTheme="minorEastAsia" w:hAnsiTheme="minorHAnsi" w:cstheme="minorBidi"/>
                <w:noProof/>
                <w:sz w:val="22"/>
                <w:szCs w:val="22"/>
              </w:rPr>
              <w:tab/>
            </w:r>
            <w:r w:rsidRPr="00A305AB">
              <w:rPr>
                <w:rStyle w:val="Hyperlink"/>
                <w:noProof/>
              </w:rPr>
              <w:t>CBP Ex-Post Load Impact Estimates</w:t>
            </w:r>
            <w:r>
              <w:rPr>
                <w:noProof/>
                <w:webHidden/>
              </w:rPr>
              <w:tab/>
            </w:r>
            <w:r>
              <w:rPr>
                <w:noProof/>
                <w:webHidden/>
              </w:rPr>
              <w:fldChar w:fldCharType="begin"/>
            </w:r>
            <w:r>
              <w:rPr>
                <w:noProof/>
                <w:webHidden/>
              </w:rPr>
              <w:instrText xml:space="preserve"> PAGEREF _Toc447179767 \h </w:instrText>
            </w:r>
            <w:r>
              <w:rPr>
                <w:noProof/>
                <w:webHidden/>
              </w:rPr>
            </w:r>
            <w:r>
              <w:rPr>
                <w:noProof/>
                <w:webHidden/>
              </w:rPr>
              <w:fldChar w:fldCharType="separate"/>
            </w:r>
            <w:r>
              <w:rPr>
                <w:noProof/>
                <w:webHidden/>
              </w:rPr>
              <w:t>10</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68" w:history="1">
            <w:r w:rsidRPr="00A305AB">
              <w:rPr>
                <w:rStyle w:val="Hyperlink"/>
                <w:noProof/>
              </w:rPr>
              <w:t>2.4</w:t>
            </w:r>
            <w:r>
              <w:rPr>
                <w:rFonts w:asciiTheme="minorHAnsi" w:eastAsiaTheme="minorEastAsia" w:hAnsiTheme="minorHAnsi" w:cstheme="minorBidi"/>
                <w:noProof/>
                <w:sz w:val="22"/>
                <w:szCs w:val="22"/>
              </w:rPr>
              <w:tab/>
            </w:r>
            <w:r w:rsidRPr="00A305AB">
              <w:rPr>
                <w:rStyle w:val="Hyperlink"/>
                <w:noProof/>
              </w:rPr>
              <w:t>CBP Ex-Ante Evaluation Methodology</w:t>
            </w:r>
            <w:r>
              <w:rPr>
                <w:noProof/>
                <w:webHidden/>
              </w:rPr>
              <w:tab/>
            </w:r>
            <w:r>
              <w:rPr>
                <w:noProof/>
                <w:webHidden/>
              </w:rPr>
              <w:fldChar w:fldCharType="begin"/>
            </w:r>
            <w:r>
              <w:rPr>
                <w:noProof/>
                <w:webHidden/>
              </w:rPr>
              <w:instrText xml:space="preserve"> PAGEREF _Toc447179768 \h </w:instrText>
            </w:r>
            <w:r>
              <w:rPr>
                <w:noProof/>
                <w:webHidden/>
              </w:rPr>
            </w:r>
            <w:r>
              <w:rPr>
                <w:noProof/>
                <w:webHidden/>
              </w:rPr>
              <w:fldChar w:fldCharType="separate"/>
            </w:r>
            <w:r>
              <w:rPr>
                <w:noProof/>
                <w:webHidden/>
              </w:rPr>
              <w:t>16</w:t>
            </w:r>
            <w:r>
              <w:rPr>
                <w:noProof/>
                <w:webHidden/>
              </w:rPr>
              <w:fldChar w:fldCharType="end"/>
            </w:r>
          </w:hyperlink>
        </w:p>
        <w:p w:rsidR="0024252A" w:rsidRDefault="0024252A">
          <w:pPr>
            <w:pStyle w:val="TOC3"/>
            <w:tabs>
              <w:tab w:val="right" w:leader="dot" w:pos="9350"/>
            </w:tabs>
            <w:rPr>
              <w:rFonts w:asciiTheme="minorHAnsi" w:eastAsiaTheme="minorEastAsia" w:hAnsiTheme="minorHAnsi" w:cstheme="minorBidi"/>
              <w:noProof/>
              <w:sz w:val="22"/>
              <w:szCs w:val="22"/>
            </w:rPr>
          </w:pPr>
          <w:hyperlink w:anchor="_Toc447179769" w:history="1">
            <w:r w:rsidRPr="00A305AB">
              <w:rPr>
                <w:rStyle w:val="Hyperlink"/>
                <w:noProof/>
              </w:rPr>
              <w:t>2.4.1 Weather-Adjusted Impacts for Each Customer</w:t>
            </w:r>
            <w:r>
              <w:rPr>
                <w:noProof/>
                <w:webHidden/>
              </w:rPr>
              <w:tab/>
            </w:r>
            <w:r>
              <w:rPr>
                <w:noProof/>
                <w:webHidden/>
              </w:rPr>
              <w:fldChar w:fldCharType="begin"/>
            </w:r>
            <w:r>
              <w:rPr>
                <w:noProof/>
                <w:webHidden/>
              </w:rPr>
              <w:instrText xml:space="preserve"> PAGEREF _Toc447179769 \h </w:instrText>
            </w:r>
            <w:r>
              <w:rPr>
                <w:noProof/>
                <w:webHidden/>
              </w:rPr>
            </w:r>
            <w:r>
              <w:rPr>
                <w:noProof/>
                <w:webHidden/>
              </w:rPr>
              <w:fldChar w:fldCharType="separate"/>
            </w:r>
            <w:r>
              <w:rPr>
                <w:noProof/>
                <w:webHidden/>
              </w:rPr>
              <w:t>17</w:t>
            </w:r>
            <w:r>
              <w:rPr>
                <w:noProof/>
                <w:webHidden/>
              </w:rPr>
              <w:fldChar w:fldCharType="end"/>
            </w:r>
          </w:hyperlink>
        </w:p>
        <w:p w:rsidR="0024252A" w:rsidRDefault="0024252A">
          <w:pPr>
            <w:pStyle w:val="TOC3"/>
            <w:tabs>
              <w:tab w:val="right" w:leader="dot" w:pos="9350"/>
            </w:tabs>
            <w:rPr>
              <w:rFonts w:asciiTheme="minorHAnsi" w:eastAsiaTheme="minorEastAsia" w:hAnsiTheme="minorHAnsi" w:cstheme="minorBidi"/>
              <w:noProof/>
              <w:sz w:val="22"/>
              <w:szCs w:val="22"/>
            </w:rPr>
          </w:pPr>
          <w:hyperlink w:anchor="_Toc447179770" w:history="1">
            <w:r w:rsidRPr="00A305AB">
              <w:rPr>
                <w:rStyle w:val="Hyperlink"/>
                <w:noProof/>
              </w:rPr>
              <w:t>2.4.2 Generation of Per-Customer Average Impacts by Subgroup</w:t>
            </w:r>
            <w:r>
              <w:rPr>
                <w:noProof/>
                <w:webHidden/>
              </w:rPr>
              <w:tab/>
            </w:r>
            <w:r>
              <w:rPr>
                <w:noProof/>
                <w:webHidden/>
              </w:rPr>
              <w:fldChar w:fldCharType="begin"/>
            </w:r>
            <w:r>
              <w:rPr>
                <w:noProof/>
                <w:webHidden/>
              </w:rPr>
              <w:instrText xml:space="preserve"> PAGEREF _Toc447179770 \h </w:instrText>
            </w:r>
            <w:r>
              <w:rPr>
                <w:noProof/>
                <w:webHidden/>
              </w:rPr>
            </w:r>
            <w:r>
              <w:rPr>
                <w:noProof/>
                <w:webHidden/>
              </w:rPr>
              <w:fldChar w:fldCharType="separate"/>
            </w:r>
            <w:r>
              <w:rPr>
                <w:noProof/>
                <w:webHidden/>
              </w:rPr>
              <w:t>17</w:t>
            </w:r>
            <w:r>
              <w:rPr>
                <w:noProof/>
                <w:webHidden/>
              </w:rPr>
              <w:fldChar w:fldCharType="end"/>
            </w:r>
          </w:hyperlink>
        </w:p>
        <w:p w:rsidR="0024252A" w:rsidRDefault="0024252A">
          <w:pPr>
            <w:pStyle w:val="TOC3"/>
            <w:tabs>
              <w:tab w:val="right" w:leader="dot" w:pos="9350"/>
            </w:tabs>
            <w:rPr>
              <w:rFonts w:asciiTheme="minorHAnsi" w:eastAsiaTheme="minorEastAsia" w:hAnsiTheme="minorHAnsi" w:cstheme="minorBidi"/>
              <w:noProof/>
              <w:sz w:val="22"/>
              <w:szCs w:val="22"/>
            </w:rPr>
          </w:pPr>
          <w:hyperlink w:anchor="_Toc447179771" w:history="1">
            <w:r w:rsidRPr="00A305AB">
              <w:rPr>
                <w:rStyle w:val="Hyperlink"/>
                <w:noProof/>
              </w:rPr>
              <w:t>2.4.3 Creation of 10-Year Annual Load Impact Forecasts</w:t>
            </w:r>
            <w:r>
              <w:rPr>
                <w:noProof/>
                <w:webHidden/>
              </w:rPr>
              <w:tab/>
            </w:r>
            <w:r>
              <w:rPr>
                <w:noProof/>
                <w:webHidden/>
              </w:rPr>
              <w:fldChar w:fldCharType="begin"/>
            </w:r>
            <w:r>
              <w:rPr>
                <w:noProof/>
                <w:webHidden/>
              </w:rPr>
              <w:instrText xml:space="preserve"> PAGEREF _Toc447179771 \h </w:instrText>
            </w:r>
            <w:r>
              <w:rPr>
                <w:noProof/>
                <w:webHidden/>
              </w:rPr>
            </w:r>
            <w:r>
              <w:rPr>
                <w:noProof/>
                <w:webHidden/>
              </w:rPr>
              <w:fldChar w:fldCharType="separate"/>
            </w:r>
            <w:r>
              <w:rPr>
                <w:noProof/>
                <w:webHidden/>
              </w:rPr>
              <w:t>17</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72" w:history="1">
            <w:r w:rsidRPr="00A305AB">
              <w:rPr>
                <w:rStyle w:val="Hyperlink"/>
                <w:noProof/>
              </w:rPr>
              <w:t>2.5</w:t>
            </w:r>
            <w:r>
              <w:rPr>
                <w:rFonts w:asciiTheme="minorHAnsi" w:eastAsiaTheme="minorEastAsia" w:hAnsiTheme="minorHAnsi" w:cstheme="minorBidi"/>
                <w:noProof/>
                <w:sz w:val="22"/>
                <w:szCs w:val="22"/>
              </w:rPr>
              <w:tab/>
            </w:r>
            <w:r w:rsidRPr="00A305AB">
              <w:rPr>
                <w:rStyle w:val="Hyperlink"/>
                <w:noProof/>
              </w:rPr>
              <w:t>CBP Ex-Ante Load Impact Estimates</w:t>
            </w:r>
            <w:r>
              <w:rPr>
                <w:noProof/>
                <w:webHidden/>
              </w:rPr>
              <w:tab/>
            </w:r>
            <w:r>
              <w:rPr>
                <w:noProof/>
                <w:webHidden/>
              </w:rPr>
              <w:fldChar w:fldCharType="begin"/>
            </w:r>
            <w:r>
              <w:rPr>
                <w:noProof/>
                <w:webHidden/>
              </w:rPr>
              <w:instrText xml:space="preserve"> PAGEREF _Toc447179772 \h </w:instrText>
            </w:r>
            <w:r>
              <w:rPr>
                <w:noProof/>
                <w:webHidden/>
              </w:rPr>
            </w:r>
            <w:r>
              <w:rPr>
                <w:noProof/>
                <w:webHidden/>
              </w:rPr>
              <w:fldChar w:fldCharType="separate"/>
            </w:r>
            <w:r>
              <w:rPr>
                <w:noProof/>
                <w:webHidden/>
              </w:rPr>
              <w:t>18</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73" w:history="1">
            <w:r w:rsidRPr="00A305AB">
              <w:rPr>
                <w:rStyle w:val="Hyperlink"/>
                <w:noProof/>
              </w:rPr>
              <w:t>2.6</w:t>
            </w:r>
            <w:r>
              <w:rPr>
                <w:rFonts w:asciiTheme="minorHAnsi" w:eastAsiaTheme="minorEastAsia" w:hAnsiTheme="minorHAnsi" w:cstheme="minorBidi"/>
                <w:noProof/>
                <w:sz w:val="22"/>
                <w:szCs w:val="22"/>
              </w:rPr>
              <w:tab/>
            </w:r>
            <w:r w:rsidRPr="00A305AB">
              <w:rPr>
                <w:rStyle w:val="Hyperlink"/>
                <w:noProof/>
              </w:rPr>
              <w:t>CBP Comparisons of Ex-Post and Ex-Ante Results</w:t>
            </w:r>
            <w:r>
              <w:rPr>
                <w:noProof/>
                <w:webHidden/>
              </w:rPr>
              <w:tab/>
            </w:r>
            <w:r>
              <w:rPr>
                <w:noProof/>
                <w:webHidden/>
              </w:rPr>
              <w:fldChar w:fldCharType="begin"/>
            </w:r>
            <w:r>
              <w:rPr>
                <w:noProof/>
                <w:webHidden/>
              </w:rPr>
              <w:instrText xml:space="preserve"> PAGEREF _Toc447179773 \h </w:instrText>
            </w:r>
            <w:r>
              <w:rPr>
                <w:noProof/>
                <w:webHidden/>
              </w:rPr>
            </w:r>
            <w:r>
              <w:rPr>
                <w:noProof/>
                <w:webHidden/>
              </w:rPr>
              <w:fldChar w:fldCharType="separate"/>
            </w:r>
            <w:r>
              <w:rPr>
                <w:noProof/>
                <w:webHidden/>
              </w:rPr>
              <w:t>18</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774" w:history="1">
            <w:r w:rsidRPr="00A305AB">
              <w:rPr>
                <w:rStyle w:val="Hyperlink"/>
                <w:noProof/>
                <w14:scene3d>
                  <w14:camera w14:prst="orthographicFront"/>
                  <w14:lightRig w14:rig="threePt" w14:dir="t">
                    <w14:rot w14:lat="0" w14:lon="0" w14:rev="0"/>
                  </w14:lightRig>
                </w14:scene3d>
              </w:rPr>
              <w:t>2.6.1</w:t>
            </w:r>
            <w:r>
              <w:rPr>
                <w:rFonts w:asciiTheme="minorHAnsi" w:eastAsiaTheme="minorEastAsia" w:hAnsiTheme="minorHAnsi" w:cstheme="minorBidi"/>
                <w:noProof/>
                <w:sz w:val="22"/>
                <w:szCs w:val="22"/>
              </w:rPr>
              <w:tab/>
            </w:r>
            <w:r w:rsidRPr="00A305AB">
              <w:rPr>
                <w:rStyle w:val="Hyperlink"/>
                <w:noProof/>
              </w:rPr>
              <w:t>Ex-post load impacts from the current and previous studies</w:t>
            </w:r>
            <w:r>
              <w:rPr>
                <w:noProof/>
                <w:webHidden/>
              </w:rPr>
              <w:tab/>
            </w:r>
            <w:r>
              <w:rPr>
                <w:noProof/>
                <w:webHidden/>
              </w:rPr>
              <w:fldChar w:fldCharType="begin"/>
            </w:r>
            <w:r>
              <w:rPr>
                <w:noProof/>
                <w:webHidden/>
              </w:rPr>
              <w:instrText xml:space="preserve"> PAGEREF _Toc447179774 \h </w:instrText>
            </w:r>
            <w:r>
              <w:rPr>
                <w:noProof/>
                <w:webHidden/>
              </w:rPr>
            </w:r>
            <w:r>
              <w:rPr>
                <w:noProof/>
                <w:webHidden/>
              </w:rPr>
              <w:fldChar w:fldCharType="separate"/>
            </w:r>
            <w:r>
              <w:rPr>
                <w:noProof/>
                <w:webHidden/>
              </w:rPr>
              <w:t>19</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775" w:history="1">
            <w:r w:rsidRPr="00A305AB">
              <w:rPr>
                <w:rStyle w:val="Hyperlink"/>
                <w:noProof/>
                <w14:scene3d>
                  <w14:camera w14:prst="orthographicFront"/>
                  <w14:lightRig w14:rig="threePt" w14:dir="t">
                    <w14:rot w14:lat="0" w14:lon="0" w14:rev="0"/>
                  </w14:lightRig>
                </w14:scene3d>
              </w:rPr>
              <w:t>2.6.2</w:t>
            </w:r>
            <w:r>
              <w:rPr>
                <w:rFonts w:asciiTheme="minorHAnsi" w:eastAsiaTheme="minorEastAsia" w:hAnsiTheme="minorHAnsi" w:cstheme="minorBidi"/>
                <w:noProof/>
                <w:sz w:val="22"/>
                <w:szCs w:val="22"/>
              </w:rPr>
              <w:tab/>
            </w:r>
            <w:r w:rsidRPr="00A305AB">
              <w:rPr>
                <w:rStyle w:val="Hyperlink"/>
                <w:iCs/>
                <w:noProof/>
              </w:rPr>
              <w:t>Previous and Current Ex-Ante and Ex-Post</w:t>
            </w:r>
            <w:r>
              <w:rPr>
                <w:noProof/>
                <w:webHidden/>
              </w:rPr>
              <w:tab/>
            </w:r>
            <w:r>
              <w:rPr>
                <w:noProof/>
                <w:webHidden/>
              </w:rPr>
              <w:fldChar w:fldCharType="begin"/>
            </w:r>
            <w:r>
              <w:rPr>
                <w:noProof/>
                <w:webHidden/>
              </w:rPr>
              <w:instrText xml:space="preserve"> PAGEREF _Toc447179775 \h </w:instrText>
            </w:r>
            <w:r>
              <w:rPr>
                <w:noProof/>
                <w:webHidden/>
              </w:rPr>
            </w:r>
            <w:r>
              <w:rPr>
                <w:noProof/>
                <w:webHidden/>
              </w:rPr>
              <w:fldChar w:fldCharType="separate"/>
            </w:r>
            <w:r>
              <w:rPr>
                <w:noProof/>
                <w:webHidden/>
              </w:rPr>
              <w:t>19</w:t>
            </w:r>
            <w:r>
              <w:rPr>
                <w:noProof/>
                <w:webHidden/>
              </w:rPr>
              <w:fldChar w:fldCharType="end"/>
            </w:r>
          </w:hyperlink>
        </w:p>
        <w:p w:rsidR="0024252A" w:rsidRDefault="0024252A">
          <w:pPr>
            <w:pStyle w:val="TOC1"/>
            <w:tabs>
              <w:tab w:val="left" w:pos="480"/>
              <w:tab w:val="right" w:leader="dot" w:pos="9350"/>
            </w:tabs>
            <w:rPr>
              <w:rFonts w:asciiTheme="minorHAnsi" w:eastAsiaTheme="minorEastAsia" w:hAnsiTheme="minorHAnsi" w:cstheme="minorBidi"/>
              <w:noProof/>
              <w:sz w:val="22"/>
              <w:szCs w:val="22"/>
            </w:rPr>
          </w:pPr>
          <w:hyperlink w:anchor="_Toc447179776" w:history="1">
            <w:r w:rsidRPr="00A305AB">
              <w:rPr>
                <w:rStyle w:val="Hyperlink"/>
                <w:noProof/>
              </w:rPr>
              <w:t>3</w:t>
            </w:r>
            <w:r>
              <w:rPr>
                <w:rFonts w:asciiTheme="minorHAnsi" w:eastAsiaTheme="minorEastAsia" w:hAnsiTheme="minorHAnsi" w:cstheme="minorBidi"/>
                <w:noProof/>
                <w:sz w:val="22"/>
                <w:szCs w:val="22"/>
              </w:rPr>
              <w:tab/>
            </w:r>
            <w:r w:rsidRPr="00A305AB">
              <w:rPr>
                <w:rStyle w:val="Hyperlink"/>
                <w:noProof/>
              </w:rPr>
              <w:t>Summary of SDG&amp;E’s Critical Peak Pricing Default Report</w:t>
            </w:r>
            <w:r>
              <w:rPr>
                <w:noProof/>
                <w:webHidden/>
              </w:rPr>
              <w:tab/>
            </w:r>
            <w:r>
              <w:rPr>
                <w:noProof/>
                <w:webHidden/>
              </w:rPr>
              <w:fldChar w:fldCharType="begin"/>
            </w:r>
            <w:r>
              <w:rPr>
                <w:noProof/>
                <w:webHidden/>
              </w:rPr>
              <w:instrText xml:space="preserve"> PAGEREF _Toc447179776 \h </w:instrText>
            </w:r>
            <w:r>
              <w:rPr>
                <w:noProof/>
                <w:webHidden/>
              </w:rPr>
            </w:r>
            <w:r>
              <w:rPr>
                <w:noProof/>
                <w:webHidden/>
              </w:rPr>
              <w:fldChar w:fldCharType="separate"/>
            </w:r>
            <w:r>
              <w:rPr>
                <w:noProof/>
                <w:webHidden/>
              </w:rPr>
              <w:t>20</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77" w:history="1">
            <w:r w:rsidRPr="00A305AB">
              <w:rPr>
                <w:rStyle w:val="Hyperlink"/>
                <w:noProof/>
              </w:rPr>
              <w:t>3.1</w:t>
            </w:r>
            <w:r>
              <w:rPr>
                <w:rFonts w:asciiTheme="minorHAnsi" w:eastAsiaTheme="minorEastAsia" w:hAnsiTheme="minorHAnsi" w:cstheme="minorBidi"/>
                <w:noProof/>
                <w:sz w:val="22"/>
                <w:szCs w:val="22"/>
              </w:rPr>
              <w:tab/>
            </w:r>
            <w:r w:rsidRPr="00A305AB">
              <w:rPr>
                <w:rStyle w:val="Hyperlink"/>
                <w:noProof/>
              </w:rPr>
              <w:t>CPP Rate Description</w:t>
            </w:r>
            <w:r>
              <w:rPr>
                <w:noProof/>
                <w:webHidden/>
              </w:rPr>
              <w:tab/>
            </w:r>
            <w:r>
              <w:rPr>
                <w:noProof/>
                <w:webHidden/>
              </w:rPr>
              <w:fldChar w:fldCharType="begin"/>
            </w:r>
            <w:r>
              <w:rPr>
                <w:noProof/>
                <w:webHidden/>
              </w:rPr>
              <w:instrText xml:space="preserve"> PAGEREF _Toc447179777 \h </w:instrText>
            </w:r>
            <w:r>
              <w:rPr>
                <w:noProof/>
                <w:webHidden/>
              </w:rPr>
            </w:r>
            <w:r>
              <w:rPr>
                <w:noProof/>
                <w:webHidden/>
              </w:rPr>
              <w:fldChar w:fldCharType="separate"/>
            </w:r>
            <w:r>
              <w:rPr>
                <w:noProof/>
                <w:webHidden/>
              </w:rPr>
              <w:t>20</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78" w:history="1">
            <w:r w:rsidRPr="00A305AB">
              <w:rPr>
                <w:rStyle w:val="Hyperlink"/>
                <w:noProof/>
              </w:rPr>
              <w:t>3.2</w:t>
            </w:r>
            <w:r>
              <w:rPr>
                <w:rFonts w:asciiTheme="minorHAnsi" w:eastAsiaTheme="minorEastAsia" w:hAnsiTheme="minorHAnsi" w:cstheme="minorBidi"/>
                <w:noProof/>
                <w:sz w:val="22"/>
                <w:szCs w:val="22"/>
              </w:rPr>
              <w:tab/>
            </w:r>
            <w:r w:rsidRPr="00A305AB">
              <w:rPr>
                <w:rStyle w:val="Hyperlink"/>
                <w:noProof/>
              </w:rPr>
              <w:t>CPP-D Ex-Post Evaluation Methodology</w:t>
            </w:r>
            <w:r>
              <w:rPr>
                <w:noProof/>
                <w:webHidden/>
              </w:rPr>
              <w:tab/>
            </w:r>
            <w:r>
              <w:rPr>
                <w:noProof/>
                <w:webHidden/>
              </w:rPr>
              <w:fldChar w:fldCharType="begin"/>
            </w:r>
            <w:r>
              <w:rPr>
                <w:noProof/>
                <w:webHidden/>
              </w:rPr>
              <w:instrText xml:space="preserve"> PAGEREF _Toc447179778 \h </w:instrText>
            </w:r>
            <w:r>
              <w:rPr>
                <w:noProof/>
                <w:webHidden/>
              </w:rPr>
            </w:r>
            <w:r>
              <w:rPr>
                <w:noProof/>
                <w:webHidden/>
              </w:rPr>
              <w:fldChar w:fldCharType="separate"/>
            </w:r>
            <w:r>
              <w:rPr>
                <w:noProof/>
                <w:webHidden/>
              </w:rPr>
              <w:t>21</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779" w:history="1">
            <w:r w:rsidRPr="00A305AB">
              <w:rPr>
                <w:rStyle w:val="Hyperlink"/>
                <w:noProof/>
                <w14:scene3d>
                  <w14:camera w14:prst="orthographicFront"/>
                  <w14:lightRig w14:rig="threePt" w14:dir="t">
                    <w14:rot w14:lat="0" w14:lon="0" w14:rev="0"/>
                  </w14:lightRig>
                </w14:scene3d>
              </w:rPr>
              <w:t>3.2.1</w:t>
            </w:r>
            <w:r>
              <w:rPr>
                <w:rFonts w:asciiTheme="minorHAnsi" w:eastAsiaTheme="minorEastAsia" w:hAnsiTheme="minorHAnsi" w:cstheme="minorBidi"/>
                <w:noProof/>
                <w:sz w:val="22"/>
                <w:szCs w:val="22"/>
              </w:rPr>
              <w:tab/>
            </w:r>
            <w:r w:rsidRPr="00A305AB">
              <w:rPr>
                <w:rStyle w:val="Hyperlink"/>
                <w:noProof/>
              </w:rPr>
              <w:t>Proxy Day Selection</w:t>
            </w:r>
            <w:r>
              <w:rPr>
                <w:noProof/>
                <w:webHidden/>
              </w:rPr>
              <w:tab/>
            </w:r>
            <w:r>
              <w:rPr>
                <w:noProof/>
                <w:webHidden/>
              </w:rPr>
              <w:fldChar w:fldCharType="begin"/>
            </w:r>
            <w:r>
              <w:rPr>
                <w:noProof/>
                <w:webHidden/>
              </w:rPr>
              <w:instrText xml:space="preserve"> PAGEREF _Toc447179779 \h </w:instrText>
            </w:r>
            <w:r>
              <w:rPr>
                <w:noProof/>
                <w:webHidden/>
              </w:rPr>
            </w:r>
            <w:r>
              <w:rPr>
                <w:noProof/>
                <w:webHidden/>
              </w:rPr>
              <w:fldChar w:fldCharType="separate"/>
            </w:r>
            <w:r>
              <w:rPr>
                <w:noProof/>
                <w:webHidden/>
              </w:rPr>
              <w:t>21</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780" w:history="1">
            <w:r w:rsidRPr="00A305AB">
              <w:rPr>
                <w:rStyle w:val="Hyperlink"/>
                <w:noProof/>
                <w14:scene3d>
                  <w14:camera w14:prst="orthographicFront"/>
                  <w14:lightRig w14:rig="threePt" w14:dir="t">
                    <w14:rot w14:lat="0" w14:lon="0" w14:rev="0"/>
                  </w14:lightRig>
                </w14:scene3d>
              </w:rPr>
              <w:t>3.2.2</w:t>
            </w:r>
            <w:r>
              <w:rPr>
                <w:rFonts w:asciiTheme="minorHAnsi" w:eastAsiaTheme="minorEastAsia" w:hAnsiTheme="minorHAnsi" w:cstheme="minorBidi"/>
                <w:noProof/>
                <w:sz w:val="22"/>
                <w:szCs w:val="22"/>
              </w:rPr>
              <w:tab/>
            </w:r>
            <w:r w:rsidRPr="00A305AB">
              <w:rPr>
                <w:rStyle w:val="Hyperlink"/>
                <w:noProof/>
              </w:rPr>
              <w:t>Matching Model Selection</w:t>
            </w:r>
            <w:r>
              <w:rPr>
                <w:noProof/>
                <w:webHidden/>
              </w:rPr>
              <w:tab/>
            </w:r>
            <w:r>
              <w:rPr>
                <w:noProof/>
                <w:webHidden/>
              </w:rPr>
              <w:fldChar w:fldCharType="begin"/>
            </w:r>
            <w:r>
              <w:rPr>
                <w:noProof/>
                <w:webHidden/>
              </w:rPr>
              <w:instrText xml:space="preserve"> PAGEREF _Toc447179780 \h </w:instrText>
            </w:r>
            <w:r>
              <w:rPr>
                <w:noProof/>
                <w:webHidden/>
              </w:rPr>
            </w:r>
            <w:r>
              <w:rPr>
                <w:noProof/>
                <w:webHidden/>
              </w:rPr>
              <w:fldChar w:fldCharType="separate"/>
            </w:r>
            <w:r>
              <w:rPr>
                <w:noProof/>
                <w:webHidden/>
              </w:rPr>
              <w:t>21</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781" w:history="1">
            <w:r w:rsidRPr="00A305AB">
              <w:rPr>
                <w:rStyle w:val="Hyperlink"/>
                <w:noProof/>
                <w14:scene3d>
                  <w14:camera w14:prst="orthographicFront"/>
                  <w14:lightRig w14:rig="threePt" w14:dir="t">
                    <w14:rot w14:lat="0" w14:lon="0" w14:rev="0"/>
                  </w14:lightRig>
                </w14:scene3d>
              </w:rPr>
              <w:t>3.2.3</w:t>
            </w:r>
            <w:r>
              <w:rPr>
                <w:rFonts w:asciiTheme="minorHAnsi" w:eastAsiaTheme="minorEastAsia" w:hAnsiTheme="minorHAnsi" w:cstheme="minorBidi"/>
                <w:noProof/>
                <w:sz w:val="22"/>
                <w:szCs w:val="22"/>
              </w:rPr>
              <w:tab/>
            </w:r>
            <w:r w:rsidRPr="00A305AB">
              <w:rPr>
                <w:rStyle w:val="Hyperlink"/>
                <w:noProof/>
              </w:rPr>
              <w:t>Control group selection</w:t>
            </w:r>
            <w:r>
              <w:rPr>
                <w:noProof/>
                <w:webHidden/>
              </w:rPr>
              <w:tab/>
            </w:r>
            <w:r>
              <w:rPr>
                <w:noProof/>
                <w:webHidden/>
              </w:rPr>
              <w:fldChar w:fldCharType="begin"/>
            </w:r>
            <w:r>
              <w:rPr>
                <w:noProof/>
                <w:webHidden/>
              </w:rPr>
              <w:instrText xml:space="preserve"> PAGEREF _Toc447179781 \h </w:instrText>
            </w:r>
            <w:r>
              <w:rPr>
                <w:noProof/>
                <w:webHidden/>
              </w:rPr>
            </w:r>
            <w:r>
              <w:rPr>
                <w:noProof/>
                <w:webHidden/>
              </w:rPr>
              <w:fldChar w:fldCharType="separate"/>
            </w:r>
            <w:r>
              <w:rPr>
                <w:noProof/>
                <w:webHidden/>
              </w:rPr>
              <w:t>21</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782" w:history="1">
            <w:r w:rsidRPr="00A305AB">
              <w:rPr>
                <w:rStyle w:val="Hyperlink"/>
                <w:noProof/>
                <w14:scene3d>
                  <w14:camera w14:prst="orthographicFront"/>
                  <w14:lightRig w14:rig="threePt" w14:dir="t">
                    <w14:rot w14:lat="0" w14:lon="0" w14:rev="0"/>
                  </w14:lightRig>
                </w14:scene3d>
              </w:rPr>
              <w:t>3.2.4</w:t>
            </w:r>
            <w:r>
              <w:rPr>
                <w:rFonts w:asciiTheme="minorHAnsi" w:eastAsiaTheme="minorEastAsia" w:hAnsiTheme="minorHAnsi" w:cstheme="minorBidi"/>
                <w:noProof/>
                <w:sz w:val="22"/>
                <w:szCs w:val="22"/>
              </w:rPr>
              <w:tab/>
            </w:r>
            <w:r w:rsidRPr="00A305AB">
              <w:rPr>
                <w:rStyle w:val="Hyperlink"/>
                <w:noProof/>
              </w:rPr>
              <w:t>Difference-in-difference</w:t>
            </w:r>
            <w:r>
              <w:rPr>
                <w:noProof/>
                <w:webHidden/>
              </w:rPr>
              <w:tab/>
            </w:r>
            <w:r>
              <w:rPr>
                <w:noProof/>
                <w:webHidden/>
              </w:rPr>
              <w:fldChar w:fldCharType="begin"/>
            </w:r>
            <w:r>
              <w:rPr>
                <w:noProof/>
                <w:webHidden/>
              </w:rPr>
              <w:instrText xml:space="preserve"> PAGEREF _Toc447179782 \h </w:instrText>
            </w:r>
            <w:r>
              <w:rPr>
                <w:noProof/>
                <w:webHidden/>
              </w:rPr>
            </w:r>
            <w:r>
              <w:rPr>
                <w:noProof/>
                <w:webHidden/>
              </w:rPr>
              <w:fldChar w:fldCharType="separate"/>
            </w:r>
            <w:r>
              <w:rPr>
                <w:noProof/>
                <w:webHidden/>
              </w:rPr>
              <w:t>22</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783" w:history="1">
            <w:r w:rsidRPr="00A305AB">
              <w:rPr>
                <w:rStyle w:val="Hyperlink"/>
                <w:noProof/>
                <w14:scene3d>
                  <w14:camera w14:prst="orthographicFront"/>
                  <w14:lightRig w14:rig="threePt" w14:dir="t">
                    <w14:rot w14:lat="0" w14:lon="0" w14:rev="0"/>
                  </w14:lightRig>
                </w14:scene3d>
              </w:rPr>
              <w:t>3.2.5</w:t>
            </w:r>
            <w:r>
              <w:rPr>
                <w:rFonts w:asciiTheme="minorHAnsi" w:eastAsiaTheme="minorEastAsia" w:hAnsiTheme="minorHAnsi" w:cstheme="minorBidi"/>
                <w:noProof/>
                <w:sz w:val="22"/>
                <w:szCs w:val="22"/>
              </w:rPr>
              <w:tab/>
            </w:r>
            <w:r w:rsidRPr="00A305AB">
              <w:rPr>
                <w:rStyle w:val="Hyperlink"/>
                <w:noProof/>
              </w:rPr>
              <w:t>Individual Customers Regressions</w:t>
            </w:r>
            <w:r>
              <w:rPr>
                <w:noProof/>
                <w:webHidden/>
              </w:rPr>
              <w:tab/>
            </w:r>
            <w:r>
              <w:rPr>
                <w:noProof/>
                <w:webHidden/>
              </w:rPr>
              <w:fldChar w:fldCharType="begin"/>
            </w:r>
            <w:r>
              <w:rPr>
                <w:noProof/>
                <w:webHidden/>
              </w:rPr>
              <w:instrText xml:space="preserve"> PAGEREF _Toc447179783 \h </w:instrText>
            </w:r>
            <w:r>
              <w:rPr>
                <w:noProof/>
                <w:webHidden/>
              </w:rPr>
            </w:r>
            <w:r>
              <w:rPr>
                <w:noProof/>
                <w:webHidden/>
              </w:rPr>
              <w:fldChar w:fldCharType="separate"/>
            </w:r>
            <w:r>
              <w:rPr>
                <w:noProof/>
                <w:webHidden/>
              </w:rPr>
              <w:t>23</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84" w:history="1">
            <w:r w:rsidRPr="00A305AB">
              <w:rPr>
                <w:rStyle w:val="Hyperlink"/>
                <w:noProof/>
              </w:rPr>
              <w:t>3.3</w:t>
            </w:r>
            <w:r>
              <w:rPr>
                <w:rFonts w:asciiTheme="minorHAnsi" w:eastAsiaTheme="minorEastAsia" w:hAnsiTheme="minorHAnsi" w:cstheme="minorBidi"/>
                <w:noProof/>
                <w:sz w:val="22"/>
                <w:szCs w:val="22"/>
              </w:rPr>
              <w:tab/>
            </w:r>
            <w:r w:rsidRPr="00A305AB">
              <w:rPr>
                <w:rStyle w:val="Hyperlink"/>
                <w:noProof/>
              </w:rPr>
              <w:t>CPP-D Ex-Post Load Impacts Estimates</w:t>
            </w:r>
            <w:r>
              <w:rPr>
                <w:noProof/>
                <w:webHidden/>
              </w:rPr>
              <w:tab/>
            </w:r>
            <w:r>
              <w:rPr>
                <w:noProof/>
                <w:webHidden/>
              </w:rPr>
              <w:fldChar w:fldCharType="begin"/>
            </w:r>
            <w:r>
              <w:rPr>
                <w:noProof/>
                <w:webHidden/>
              </w:rPr>
              <w:instrText xml:space="preserve"> PAGEREF _Toc447179784 \h </w:instrText>
            </w:r>
            <w:r>
              <w:rPr>
                <w:noProof/>
                <w:webHidden/>
              </w:rPr>
            </w:r>
            <w:r>
              <w:rPr>
                <w:noProof/>
                <w:webHidden/>
              </w:rPr>
              <w:fldChar w:fldCharType="separate"/>
            </w:r>
            <w:r>
              <w:rPr>
                <w:noProof/>
                <w:webHidden/>
              </w:rPr>
              <w:t>23</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85" w:history="1">
            <w:r w:rsidRPr="00A305AB">
              <w:rPr>
                <w:rStyle w:val="Hyperlink"/>
                <w:noProof/>
              </w:rPr>
              <w:t>3.4</w:t>
            </w:r>
            <w:r>
              <w:rPr>
                <w:rFonts w:asciiTheme="minorHAnsi" w:eastAsiaTheme="minorEastAsia" w:hAnsiTheme="minorHAnsi" w:cstheme="minorBidi"/>
                <w:noProof/>
                <w:sz w:val="22"/>
                <w:szCs w:val="22"/>
              </w:rPr>
              <w:tab/>
            </w:r>
            <w:r w:rsidRPr="00A305AB">
              <w:rPr>
                <w:rStyle w:val="Hyperlink"/>
                <w:noProof/>
              </w:rPr>
              <w:t>CPP-D Ex-Ante Evaluation Methodology</w:t>
            </w:r>
            <w:r>
              <w:rPr>
                <w:noProof/>
                <w:webHidden/>
              </w:rPr>
              <w:tab/>
            </w:r>
            <w:r>
              <w:rPr>
                <w:noProof/>
                <w:webHidden/>
              </w:rPr>
              <w:fldChar w:fldCharType="begin"/>
            </w:r>
            <w:r>
              <w:rPr>
                <w:noProof/>
                <w:webHidden/>
              </w:rPr>
              <w:instrText xml:space="preserve"> PAGEREF _Toc447179785 \h </w:instrText>
            </w:r>
            <w:r>
              <w:rPr>
                <w:noProof/>
                <w:webHidden/>
              </w:rPr>
            </w:r>
            <w:r>
              <w:rPr>
                <w:noProof/>
                <w:webHidden/>
              </w:rPr>
              <w:fldChar w:fldCharType="separate"/>
            </w:r>
            <w:r>
              <w:rPr>
                <w:noProof/>
                <w:webHidden/>
              </w:rPr>
              <w:t>24</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86" w:history="1">
            <w:r w:rsidRPr="00A305AB">
              <w:rPr>
                <w:rStyle w:val="Hyperlink"/>
                <w:noProof/>
              </w:rPr>
              <w:t>3.5</w:t>
            </w:r>
            <w:r>
              <w:rPr>
                <w:rFonts w:asciiTheme="minorHAnsi" w:eastAsiaTheme="minorEastAsia" w:hAnsiTheme="minorHAnsi" w:cstheme="minorBidi"/>
                <w:noProof/>
                <w:sz w:val="22"/>
                <w:szCs w:val="22"/>
              </w:rPr>
              <w:tab/>
            </w:r>
            <w:r w:rsidRPr="00A305AB">
              <w:rPr>
                <w:rStyle w:val="Hyperlink"/>
                <w:noProof/>
              </w:rPr>
              <w:t>CPP-D Ex-Ante Load Impacts Estimates</w:t>
            </w:r>
            <w:r>
              <w:rPr>
                <w:noProof/>
                <w:webHidden/>
              </w:rPr>
              <w:tab/>
            </w:r>
            <w:r>
              <w:rPr>
                <w:noProof/>
                <w:webHidden/>
              </w:rPr>
              <w:fldChar w:fldCharType="begin"/>
            </w:r>
            <w:r>
              <w:rPr>
                <w:noProof/>
                <w:webHidden/>
              </w:rPr>
              <w:instrText xml:space="preserve"> PAGEREF _Toc447179786 \h </w:instrText>
            </w:r>
            <w:r>
              <w:rPr>
                <w:noProof/>
                <w:webHidden/>
              </w:rPr>
            </w:r>
            <w:r>
              <w:rPr>
                <w:noProof/>
                <w:webHidden/>
              </w:rPr>
              <w:fldChar w:fldCharType="separate"/>
            </w:r>
            <w:r>
              <w:rPr>
                <w:noProof/>
                <w:webHidden/>
              </w:rPr>
              <w:t>25</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787" w:history="1">
            <w:r w:rsidRPr="00A305AB">
              <w:rPr>
                <w:rStyle w:val="Hyperlink"/>
                <w:noProof/>
                <w:lang w:val="fr-FR"/>
                <w14:scene3d>
                  <w14:camera w14:prst="orthographicFront"/>
                  <w14:lightRig w14:rig="threePt" w14:dir="t">
                    <w14:rot w14:lat="0" w14:lon="0" w14:rev="0"/>
                  </w14:lightRig>
                </w14:scene3d>
              </w:rPr>
              <w:t>3.5.1</w:t>
            </w:r>
            <w:r>
              <w:rPr>
                <w:rFonts w:asciiTheme="minorHAnsi" w:eastAsiaTheme="minorEastAsia" w:hAnsiTheme="minorHAnsi" w:cstheme="minorBidi"/>
                <w:noProof/>
                <w:sz w:val="22"/>
                <w:szCs w:val="22"/>
              </w:rPr>
              <w:tab/>
            </w:r>
            <w:r w:rsidRPr="00A305AB">
              <w:rPr>
                <w:rStyle w:val="Hyperlink"/>
                <w:noProof/>
                <w:lang w:val="fr-FR"/>
              </w:rPr>
              <w:t>Large C&amp;I Ex-Ante Impacts</w:t>
            </w:r>
            <w:r>
              <w:rPr>
                <w:noProof/>
                <w:webHidden/>
              </w:rPr>
              <w:tab/>
            </w:r>
            <w:r>
              <w:rPr>
                <w:noProof/>
                <w:webHidden/>
              </w:rPr>
              <w:fldChar w:fldCharType="begin"/>
            </w:r>
            <w:r>
              <w:rPr>
                <w:noProof/>
                <w:webHidden/>
              </w:rPr>
              <w:instrText xml:space="preserve"> PAGEREF _Toc447179787 \h </w:instrText>
            </w:r>
            <w:r>
              <w:rPr>
                <w:noProof/>
                <w:webHidden/>
              </w:rPr>
            </w:r>
            <w:r>
              <w:rPr>
                <w:noProof/>
                <w:webHidden/>
              </w:rPr>
              <w:fldChar w:fldCharType="separate"/>
            </w:r>
            <w:r>
              <w:rPr>
                <w:noProof/>
                <w:webHidden/>
              </w:rPr>
              <w:t>25</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88" w:history="1">
            <w:r w:rsidRPr="00A305AB">
              <w:rPr>
                <w:rStyle w:val="Hyperlink"/>
                <w:noProof/>
              </w:rPr>
              <w:t>3.6</w:t>
            </w:r>
            <w:r>
              <w:rPr>
                <w:rFonts w:asciiTheme="minorHAnsi" w:eastAsiaTheme="minorEastAsia" w:hAnsiTheme="minorHAnsi" w:cstheme="minorBidi"/>
                <w:noProof/>
                <w:sz w:val="22"/>
                <w:szCs w:val="22"/>
              </w:rPr>
              <w:tab/>
            </w:r>
            <w:r w:rsidRPr="00A305AB">
              <w:rPr>
                <w:rStyle w:val="Hyperlink"/>
                <w:noProof/>
              </w:rPr>
              <w:t>Medium C&amp;I Ex-Ante Impacts</w:t>
            </w:r>
            <w:r>
              <w:rPr>
                <w:noProof/>
                <w:webHidden/>
              </w:rPr>
              <w:tab/>
            </w:r>
            <w:r>
              <w:rPr>
                <w:noProof/>
                <w:webHidden/>
              </w:rPr>
              <w:fldChar w:fldCharType="begin"/>
            </w:r>
            <w:r>
              <w:rPr>
                <w:noProof/>
                <w:webHidden/>
              </w:rPr>
              <w:instrText xml:space="preserve"> PAGEREF _Toc447179788 \h </w:instrText>
            </w:r>
            <w:r>
              <w:rPr>
                <w:noProof/>
                <w:webHidden/>
              </w:rPr>
            </w:r>
            <w:r>
              <w:rPr>
                <w:noProof/>
                <w:webHidden/>
              </w:rPr>
              <w:fldChar w:fldCharType="separate"/>
            </w:r>
            <w:r>
              <w:rPr>
                <w:noProof/>
                <w:webHidden/>
              </w:rPr>
              <w:t>29</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789" w:history="1">
            <w:r w:rsidRPr="00A305AB">
              <w:rPr>
                <w:rStyle w:val="Hyperlink"/>
                <w:noProof/>
                <w14:scene3d>
                  <w14:camera w14:prst="orthographicFront"/>
                  <w14:lightRig w14:rig="threePt" w14:dir="t">
                    <w14:rot w14:lat="0" w14:lon="0" w14:rev="0"/>
                  </w14:lightRig>
                </w14:scene3d>
              </w:rPr>
              <w:t>3.6.1</w:t>
            </w:r>
            <w:r>
              <w:rPr>
                <w:rFonts w:asciiTheme="minorHAnsi" w:eastAsiaTheme="minorEastAsia" w:hAnsiTheme="minorHAnsi" w:cstheme="minorBidi"/>
                <w:noProof/>
                <w:sz w:val="22"/>
                <w:szCs w:val="22"/>
              </w:rPr>
              <w:tab/>
            </w:r>
            <w:r w:rsidRPr="00A305AB">
              <w:rPr>
                <w:rStyle w:val="Hyperlink"/>
                <w:noProof/>
              </w:rPr>
              <w:t>Monthly System Peak Day Impacts</w:t>
            </w:r>
            <w:r>
              <w:rPr>
                <w:noProof/>
                <w:webHidden/>
              </w:rPr>
              <w:tab/>
            </w:r>
            <w:r>
              <w:rPr>
                <w:noProof/>
                <w:webHidden/>
              </w:rPr>
              <w:fldChar w:fldCharType="begin"/>
            </w:r>
            <w:r>
              <w:rPr>
                <w:noProof/>
                <w:webHidden/>
              </w:rPr>
              <w:instrText xml:space="preserve"> PAGEREF _Toc447179789 \h </w:instrText>
            </w:r>
            <w:r>
              <w:rPr>
                <w:noProof/>
                <w:webHidden/>
              </w:rPr>
            </w:r>
            <w:r>
              <w:rPr>
                <w:noProof/>
                <w:webHidden/>
              </w:rPr>
              <w:fldChar w:fldCharType="separate"/>
            </w:r>
            <w:r>
              <w:rPr>
                <w:noProof/>
                <w:webHidden/>
              </w:rPr>
              <w:t>30</w:t>
            </w:r>
            <w:r>
              <w:rPr>
                <w:noProof/>
                <w:webHidden/>
              </w:rPr>
              <w:fldChar w:fldCharType="end"/>
            </w:r>
          </w:hyperlink>
        </w:p>
        <w:p w:rsidR="0024252A" w:rsidRDefault="0024252A">
          <w:pPr>
            <w:pStyle w:val="TOC1"/>
            <w:tabs>
              <w:tab w:val="left" w:pos="480"/>
              <w:tab w:val="right" w:leader="dot" w:pos="9350"/>
            </w:tabs>
            <w:rPr>
              <w:rFonts w:asciiTheme="minorHAnsi" w:eastAsiaTheme="minorEastAsia" w:hAnsiTheme="minorHAnsi" w:cstheme="minorBidi"/>
              <w:noProof/>
              <w:sz w:val="22"/>
              <w:szCs w:val="22"/>
            </w:rPr>
          </w:pPr>
          <w:hyperlink w:anchor="_Toc447179790" w:history="1">
            <w:r w:rsidRPr="00A305AB">
              <w:rPr>
                <w:rStyle w:val="Hyperlink"/>
                <w:noProof/>
              </w:rPr>
              <w:t>4</w:t>
            </w:r>
            <w:r>
              <w:rPr>
                <w:rFonts w:asciiTheme="minorHAnsi" w:eastAsiaTheme="minorEastAsia" w:hAnsiTheme="minorHAnsi" w:cstheme="minorBidi"/>
                <w:noProof/>
                <w:sz w:val="22"/>
                <w:szCs w:val="22"/>
              </w:rPr>
              <w:tab/>
            </w:r>
            <w:r w:rsidRPr="00A305AB">
              <w:rPr>
                <w:rStyle w:val="Hyperlink"/>
                <w:noProof/>
              </w:rPr>
              <w:t>Summary of SDG&amp;E’s Base Interruptible Program Report</w:t>
            </w:r>
            <w:r>
              <w:rPr>
                <w:noProof/>
                <w:webHidden/>
              </w:rPr>
              <w:tab/>
            </w:r>
            <w:r>
              <w:rPr>
                <w:noProof/>
                <w:webHidden/>
              </w:rPr>
              <w:fldChar w:fldCharType="begin"/>
            </w:r>
            <w:r>
              <w:rPr>
                <w:noProof/>
                <w:webHidden/>
              </w:rPr>
              <w:instrText xml:space="preserve"> PAGEREF _Toc447179790 \h </w:instrText>
            </w:r>
            <w:r>
              <w:rPr>
                <w:noProof/>
                <w:webHidden/>
              </w:rPr>
            </w:r>
            <w:r>
              <w:rPr>
                <w:noProof/>
                <w:webHidden/>
              </w:rPr>
              <w:fldChar w:fldCharType="separate"/>
            </w:r>
            <w:r>
              <w:rPr>
                <w:noProof/>
                <w:webHidden/>
              </w:rPr>
              <w:t>31</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91" w:history="1">
            <w:r w:rsidRPr="00A305AB">
              <w:rPr>
                <w:rStyle w:val="Hyperlink"/>
                <w:noProof/>
              </w:rPr>
              <w:t>4.1</w:t>
            </w:r>
            <w:r>
              <w:rPr>
                <w:rFonts w:asciiTheme="minorHAnsi" w:eastAsiaTheme="minorEastAsia" w:hAnsiTheme="minorHAnsi" w:cstheme="minorBidi"/>
                <w:noProof/>
                <w:sz w:val="22"/>
                <w:szCs w:val="22"/>
              </w:rPr>
              <w:tab/>
            </w:r>
            <w:r w:rsidRPr="00A305AB">
              <w:rPr>
                <w:rStyle w:val="Hyperlink"/>
                <w:noProof/>
              </w:rPr>
              <w:t>BIP Program Description</w:t>
            </w:r>
            <w:r>
              <w:rPr>
                <w:noProof/>
                <w:webHidden/>
              </w:rPr>
              <w:tab/>
            </w:r>
            <w:r>
              <w:rPr>
                <w:noProof/>
                <w:webHidden/>
              </w:rPr>
              <w:fldChar w:fldCharType="begin"/>
            </w:r>
            <w:r>
              <w:rPr>
                <w:noProof/>
                <w:webHidden/>
              </w:rPr>
              <w:instrText xml:space="preserve"> PAGEREF _Toc447179791 \h </w:instrText>
            </w:r>
            <w:r>
              <w:rPr>
                <w:noProof/>
                <w:webHidden/>
              </w:rPr>
            </w:r>
            <w:r>
              <w:rPr>
                <w:noProof/>
                <w:webHidden/>
              </w:rPr>
              <w:fldChar w:fldCharType="separate"/>
            </w:r>
            <w:r>
              <w:rPr>
                <w:noProof/>
                <w:webHidden/>
              </w:rPr>
              <w:t>31</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92" w:history="1">
            <w:r w:rsidRPr="00A305AB">
              <w:rPr>
                <w:rStyle w:val="Hyperlink"/>
                <w:noProof/>
              </w:rPr>
              <w:t>4.2</w:t>
            </w:r>
            <w:r>
              <w:rPr>
                <w:rFonts w:asciiTheme="minorHAnsi" w:eastAsiaTheme="minorEastAsia" w:hAnsiTheme="minorHAnsi" w:cstheme="minorBidi"/>
                <w:noProof/>
                <w:sz w:val="22"/>
                <w:szCs w:val="22"/>
              </w:rPr>
              <w:tab/>
            </w:r>
            <w:r w:rsidRPr="00A305AB">
              <w:rPr>
                <w:rStyle w:val="Hyperlink"/>
                <w:noProof/>
              </w:rPr>
              <w:t>BIP Ex-Post Evaluation Methodology</w:t>
            </w:r>
            <w:r>
              <w:rPr>
                <w:noProof/>
                <w:webHidden/>
              </w:rPr>
              <w:tab/>
            </w:r>
            <w:r>
              <w:rPr>
                <w:noProof/>
                <w:webHidden/>
              </w:rPr>
              <w:fldChar w:fldCharType="begin"/>
            </w:r>
            <w:r>
              <w:rPr>
                <w:noProof/>
                <w:webHidden/>
              </w:rPr>
              <w:instrText xml:space="preserve"> PAGEREF _Toc447179792 \h </w:instrText>
            </w:r>
            <w:r>
              <w:rPr>
                <w:noProof/>
                <w:webHidden/>
              </w:rPr>
            </w:r>
            <w:r>
              <w:rPr>
                <w:noProof/>
                <w:webHidden/>
              </w:rPr>
              <w:fldChar w:fldCharType="separate"/>
            </w:r>
            <w:r>
              <w:rPr>
                <w:noProof/>
                <w:webHidden/>
              </w:rPr>
              <w:t>31</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793" w:history="1">
            <w:r w:rsidRPr="00A305AB">
              <w:rPr>
                <w:rStyle w:val="Hyperlink"/>
                <w:noProof/>
                <w14:scene3d>
                  <w14:camera w14:prst="orthographicFront"/>
                  <w14:lightRig w14:rig="threePt" w14:dir="t">
                    <w14:rot w14:lat="0" w14:lon="0" w14:rev="0"/>
                  </w14:lightRig>
                </w14:scene3d>
              </w:rPr>
              <w:t>4.2.1</w:t>
            </w:r>
            <w:r>
              <w:rPr>
                <w:rFonts w:asciiTheme="minorHAnsi" w:eastAsiaTheme="minorEastAsia" w:hAnsiTheme="minorHAnsi" w:cstheme="minorBidi"/>
                <w:noProof/>
                <w:sz w:val="22"/>
                <w:szCs w:val="22"/>
              </w:rPr>
              <w:tab/>
            </w:r>
            <w:r w:rsidRPr="00A305AB">
              <w:rPr>
                <w:rStyle w:val="Hyperlink"/>
                <w:noProof/>
              </w:rPr>
              <w:t>Regression Model</w:t>
            </w:r>
            <w:r>
              <w:rPr>
                <w:noProof/>
                <w:webHidden/>
              </w:rPr>
              <w:tab/>
            </w:r>
            <w:r>
              <w:rPr>
                <w:noProof/>
                <w:webHidden/>
              </w:rPr>
              <w:fldChar w:fldCharType="begin"/>
            </w:r>
            <w:r>
              <w:rPr>
                <w:noProof/>
                <w:webHidden/>
              </w:rPr>
              <w:instrText xml:space="preserve"> PAGEREF _Toc447179793 \h </w:instrText>
            </w:r>
            <w:r>
              <w:rPr>
                <w:noProof/>
                <w:webHidden/>
              </w:rPr>
            </w:r>
            <w:r>
              <w:rPr>
                <w:noProof/>
                <w:webHidden/>
              </w:rPr>
              <w:fldChar w:fldCharType="separate"/>
            </w:r>
            <w:r>
              <w:rPr>
                <w:noProof/>
                <w:webHidden/>
              </w:rPr>
              <w:t>32</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94" w:history="1">
            <w:r w:rsidRPr="00A305AB">
              <w:rPr>
                <w:rStyle w:val="Hyperlink"/>
                <w:noProof/>
              </w:rPr>
              <w:t>4.3</w:t>
            </w:r>
            <w:r>
              <w:rPr>
                <w:rFonts w:asciiTheme="minorHAnsi" w:eastAsiaTheme="minorEastAsia" w:hAnsiTheme="minorHAnsi" w:cstheme="minorBidi"/>
                <w:noProof/>
                <w:sz w:val="22"/>
                <w:szCs w:val="22"/>
              </w:rPr>
              <w:tab/>
            </w:r>
            <w:r w:rsidRPr="00A305AB">
              <w:rPr>
                <w:rStyle w:val="Hyperlink"/>
                <w:noProof/>
              </w:rPr>
              <w:t>BIP Ex-Post Load Impact Estimates</w:t>
            </w:r>
            <w:r>
              <w:rPr>
                <w:noProof/>
                <w:webHidden/>
              </w:rPr>
              <w:tab/>
            </w:r>
            <w:r>
              <w:rPr>
                <w:noProof/>
                <w:webHidden/>
              </w:rPr>
              <w:fldChar w:fldCharType="begin"/>
            </w:r>
            <w:r>
              <w:rPr>
                <w:noProof/>
                <w:webHidden/>
              </w:rPr>
              <w:instrText xml:space="preserve"> PAGEREF _Toc447179794 \h </w:instrText>
            </w:r>
            <w:r>
              <w:rPr>
                <w:noProof/>
                <w:webHidden/>
              </w:rPr>
            </w:r>
            <w:r>
              <w:rPr>
                <w:noProof/>
                <w:webHidden/>
              </w:rPr>
              <w:fldChar w:fldCharType="separate"/>
            </w:r>
            <w:r>
              <w:rPr>
                <w:noProof/>
                <w:webHidden/>
              </w:rPr>
              <w:t>34</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95" w:history="1">
            <w:r w:rsidRPr="00A305AB">
              <w:rPr>
                <w:rStyle w:val="Hyperlink"/>
                <w:noProof/>
              </w:rPr>
              <w:t>4.4</w:t>
            </w:r>
            <w:r>
              <w:rPr>
                <w:rFonts w:asciiTheme="minorHAnsi" w:eastAsiaTheme="minorEastAsia" w:hAnsiTheme="minorHAnsi" w:cstheme="minorBidi"/>
                <w:noProof/>
                <w:sz w:val="22"/>
                <w:szCs w:val="22"/>
              </w:rPr>
              <w:tab/>
            </w:r>
            <w:r w:rsidRPr="00A305AB">
              <w:rPr>
                <w:rStyle w:val="Hyperlink"/>
                <w:noProof/>
              </w:rPr>
              <w:t>BIP Ex-Ante Evaluation Methodology</w:t>
            </w:r>
            <w:r>
              <w:rPr>
                <w:noProof/>
                <w:webHidden/>
              </w:rPr>
              <w:tab/>
            </w:r>
            <w:r>
              <w:rPr>
                <w:noProof/>
                <w:webHidden/>
              </w:rPr>
              <w:fldChar w:fldCharType="begin"/>
            </w:r>
            <w:r>
              <w:rPr>
                <w:noProof/>
                <w:webHidden/>
              </w:rPr>
              <w:instrText xml:space="preserve"> PAGEREF _Toc447179795 \h </w:instrText>
            </w:r>
            <w:r>
              <w:rPr>
                <w:noProof/>
                <w:webHidden/>
              </w:rPr>
            </w:r>
            <w:r>
              <w:rPr>
                <w:noProof/>
                <w:webHidden/>
              </w:rPr>
              <w:fldChar w:fldCharType="separate"/>
            </w:r>
            <w:r>
              <w:rPr>
                <w:noProof/>
                <w:webHidden/>
              </w:rPr>
              <w:t>34</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796" w:history="1">
            <w:r w:rsidRPr="00A305AB">
              <w:rPr>
                <w:rStyle w:val="Hyperlink"/>
                <w:noProof/>
                <w14:scene3d>
                  <w14:camera w14:prst="orthographicFront"/>
                  <w14:lightRig w14:rig="threePt" w14:dir="t">
                    <w14:rot w14:lat="0" w14:lon="0" w14:rev="0"/>
                  </w14:lightRig>
                </w14:scene3d>
              </w:rPr>
              <w:t>4.4.1</w:t>
            </w:r>
            <w:r>
              <w:rPr>
                <w:rFonts w:asciiTheme="minorHAnsi" w:eastAsiaTheme="minorEastAsia" w:hAnsiTheme="minorHAnsi" w:cstheme="minorBidi"/>
                <w:noProof/>
                <w:sz w:val="22"/>
                <w:szCs w:val="22"/>
              </w:rPr>
              <w:tab/>
            </w:r>
            <w:r w:rsidRPr="00A305AB">
              <w:rPr>
                <w:rStyle w:val="Hyperlink"/>
                <w:noProof/>
              </w:rPr>
              <w:t>Development of Reference Loads and Load Impacts</w:t>
            </w:r>
            <w:r>
              <w:rPr>
                <w:noProof/>
                <w:webHidden/>
              </w:rPr>
              <w:tab/>
            </w:r>
            <w:r>
              <w:rPr>
                <w:noProof/>
                <w:webHidden/>
              </w:rPr>
              <w:fldChar w:fldCharType="begin"/>
            </w:r>
            <w:r>
              <w:rPr>
                <w:noProof/>
                <w:webHidden/>
              </w:rPr>
              <w:instrText xml:space="preserve"> PAGEREF _Toc447179796 \h </w:instrText>
            </w:r>
            <w:r>
              <w:rPr>
                <w:noProof/>
                <w:webHidden/>
              </w:rPr>
            </w:r>
            <w:r>
              <w:rPr>
                <w:noProof/>
                <w:webHidden/>
              </w:rPr>
              <w:fldChar w:fldCharType="separate"/>
            </w:r>
            <w:r>
              <w:rPr>
                <w:noProof/>
                <w:webHidden/>
              </w:rPr>
              <w:t>34</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97" w:history="1">
            <w:r w:rsidRPr="00A305AB">
              <w:rPr>
                <w:rStyle w:val="Hyperlink"/>
                <w:noProof/>
              </w:rPr>
              <w:t>4.5</w:t>
            </w:r>
            <w:r>
              <w:rPr>
                <w:rFonts w:asciiTheme="minorHAnsi" w:eastAsiaTheme="minorEastAsia" w:hAnsiTheme="minorHAnsi" w:cstheme="minorBidi"/>
                <w:noProof/>
                <w:sz w:val="22"/>
                <w:szCs w:val="22"/>
              </w:rPr>
              <w:tab/>
            </w:r>
            <w:r w:rsidRPr="00A305AB">
              <w:rPr>
                <w:rStyle w:val="Hyperlink"/>
                <w:noProof/>
              </w:rPr>
              <w:t>BIP Ex-Ante Load Impacts</w:t>
            </w:r>
            <w:r>
              <w:rPr>
                <w:noProof/>
                <w:webHidden/>
              </w:rPr>
              <w:tab/>
            </w:r>
            <w:r>
              <w:rPr>
                <w:noProof/>
                <w:webHidden/>
              </w:rPr>
              <w:fldChar w:fldCharType="begin"/>
            </w:r>
            <w:r>
              <w:rPr>
                <w:noProof/>
                <w:webHidden/>
              </w:rPr>
              <w:instrText xml:space="preserve"> PAGEREF _Toc447179797 \h </w:instrText>
            </w:r>
            <w:r>
              <w:rPr>
                <w:noProof/>
                <w:webHidden/>
              </w:rPr>
            </w:r>
            <w:r>
              <w:rPr>
                <w:noProof/>
                <w:webHidden/>
              </w:rPr>
              <w:fldChar w:fldCharType="separate"/>
            </w:r>
            <w:r>
              <w:rPr>
                <w:noProof/>
                <w:webHidden/>
              </w:rPr>
              <w:t>37</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798" w:history="1">
            <w:r w:rsidRPr="00A305AB">
              <w:rPr>
                <w:rStyle w:val="Hyperlink"/>
                <w:noProof/>
              </w:rPr>
              <w:t>4.6</w:t>
            </w:r>
            <w:r>
              <w:rPr>
                <w:rFonts w:asciiTheme="minorHAnsi" w:eastAsiaTheme="minorEastAsia" w:hAnsiTheme="minorHAnsi" w:cstheme="minorBidi"/>
                <w:noProof/>
                <w:sz w:val="22"/>
                <w:szCs w:val="22"/>
              </w:rPr>
              <w:tab/>
            </w:r>
            <w:r w:rsidRPr="00A305AB">
              <w:rPr>
                <w:rStyle w:val="Hyperlink"/>
                <w:noProof/>
              </w:rPr>
              <w:t>BIP Comparison of current Ex-Post versus Ex-Ante</w:t>
            </w:r>
            <w:r>
              <w:rPr>
                <w:noProof/>
                <w:webHidden/>
              </w:rPr>
              <w:tab/>
            </w:r>
            <w:r>
              <w:rPr>
                <w:noProof/>
                <w:webHidden/>
              </w:rPr>
              <w:fldChar w:fldCharType="begin"/>
            </w:r>
            <w:r>
              <w:rPr>
                <w:noProof/>
                <w:webHidden/>
              </w:rPr>
              <w:instrText xml:space="preserve"> PAGEREF _Toc447179798 \h </w:instrText>
            </w:r>
            <w:r>
              <w:rPr>
                <w:noProof/>
                <w:webHidden/>
              </w:rPr>
            </w:r>
            <w:r>
              <w:rPr>
                <w:noProof/>
                <w:webHidden/>
              </w:rPr>
              <w:fldChar w:fldCharType="separate"/>
            </w:r>
            <w:r>
              <w:rPr>
                <w:noProof/>
                <w:webHidden/>
              </w:rPr>
              <w:t>37</w:t>
            </w:r>
            <w:r>
              <w:rPr>
                <w:noProof/>
                <w:webHidden/>
              </w:rPr>
              <w:fldChar w:fldCharType="end"/>
            </w:r>
          </w:hyperlink>
        </w:p>
        <w:p w:rsidR="0024252A" w:rsidRDefault="0024252A">
          <w:pPr>
            <w:pStyle w:val="TOC1"/>
            <w:tabs>
              <w:tab w:val="left" w:pos="480"/>
              <w:tab w:val="right" w:leader="dot" w:pos="9350"/>
            </w:tabs>
            <w:rPr>
              <w:rFonts w:asciiTheme="minorHAnsi" w:eastAsiaTheme="minorEastAsia" w:hAnsiTheme="minorHAnsi" w:cstheme="minorBidi"/>
              <w:noProof/>
              <w:sz w:val="22"/>
              <w:szCs w:val="22"/>
            </w:rPr>
          </w:pPr>
          <w:hyperlink w:anchor="_Toc447179799" w:history="1">
            <w:r w:rsidRPr="00A305AB">
              <w:rPr>
                <w:rStyle w:val="Hyperlink"/>
                <w:noProof/>
              </w:rPr>
              <w:t>5</w:t>
            </w:r>
            <w:r>
              <w:rPr>
                <w:rFonts w:asciiTheme="minorHAnsi" w:eastAsiaTheme="minorEastAsia" w:hAnsiTheme="minorHAnsi" w:cstheme="minorBidi"/>
                <w:noProof/>
                <w:sz w:val="22"/>
                <w:szCs w:val="22"/>
              </w:rPr>
              <w:tab/>
            </w:r>
            <w:r w:rsidRPr="00A305AB">
              <w:rPr>
                <w:rStyle w:val="Hyperlink"/>
                <w:noProof/>
              </w:rPr>
              <w:t>Summary of SDG&amp;E’s Demand Bidding Program Report</w:t>
            </w:r>
            <w:r>
              <w:rPr>
                <w:noProof/>
                <w:webHidden/>
              </w:rPr>
              <w:tab/>
            </w:r>
            <w:r>
              <w:rPr>
                <w:noProof/>
                <w:webHidden/>
              </w:rPr>
              <w:fldChar w:fldCharType="begin"/>
            </w:r>
            <w:r>
              <w:rPr>
                <w:noProof/>
                <w:webHidden/>
              </w:rPr>
              <w:instrText xml:space="preserve"> PAGEREF _Toc447179799 \h </w:instrText>
            </w:r>
            <w:r>
              <w:rPr>
                <w:noProof/>
                <w:webHidden/>
              </w:rPr>
            </w:r>
            <w:r>
              <w:rPr>
                <w:noProof/>
                <w:webHidden/>
              </w:rPr>
              <w:fldChar w:fldCharType="separate"/>
            </w:r>
            <w:r>
              <w:rPr>
                <w:noProof/>
                <w:webHidden/>
              </w:rPr>
              <w:t>39</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00" w:history="1">
            <w:r w:rsidRPr="00A305AB">
              <w:rPr>
                <w:rStyle w:val="Hyperlink"/>
                <w:noProof/>
              </w:rPr>
              <w:t>5.1</w:t>
            </w:r>
            <w:r>
              <w:rPr>
                <w:rFonts w:asciiTheme="minorHAnsi" w:eastAsiaTheme="minorEastAsia" w:hAnsiTheme="minorHAnsi" w:cstheme="minorBidi"/>
                <w:noProof/>
                <w:sz w:val="22"/>
                <w:szCs w:val="22"/>
              </w:rPr>
              <w:tab/>
            </w:r>
            <w:r w:rsidRPr="00A305AB">
              <w:rPr>
                <w:rStyle w:val="Hyperlink"/>
                <w:noProof/>
              </w:rPr>
              <w:t>DBP Program Description</w:t>
            </w:r>
            <w:r>
              <w:rPr>
                <w:noProof/>
                <w:webHidden/>
              </w:rPr>
              <w:tab/>
            </w:r>
            <w:r>
              <w:rPr>
                <w:noProof/>
                <w:webHidden/>
              </w:rPr>
              <w:fldChar w:fldCharType="begin"/>
            </w:r>
            <w:r>
              <w:rPr>
                <w:noProof/>
                <w:webHidden/>
              </w:rPr>
              <w:instrText xml:space="preserve"> PAGEREF _Toc447179800 \h </w:instrText>
            </w:r>
            <w:r>
              <w:rPr>
                <w:noProof/>
                <w:webHidden/>
              </w:rPr>
            </w:r>
            <w:r>
              <w:rPr>
                <w:noProof/>
                <w:webHidden/>
              </w:rPr>
              <w:fldChar w:fldCharType="separate"/>
            </w:r>
            <w:r>
              <w:rPr>
                <w:noProof/>
                <w:webHidden/>
              </w:rPr>
              <w:t>39</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01" w:history="1">
            <w:r w:rsidRPr="00A305AB">
              <w:rPr>
                <w:rStyle w:val="Hyperlink"/>
                <w:noProof/>
              </w:rPr>
              <w:t>5.2</w:t>
            </w:r>
            <w:r>
              <w:rPr>
                <w:rFonts w:asciiTheme="minorHAnsi" w:eastAsiaTheme="minorEastAsia" w:hAnsiTheme="minorHAnsi" w:cstheme="minorBidi"/>
                <w:noProof/>
                <w:sz w:val="22"/>
                <w:szCs w:val="22"/>
              </w:rPr>
              <w:tab/>
            </w:r>
            <w:r w:rsidRPr="00A305AB">
              <w:rPr>
                <w:rStyle w:val="Hyperlink"/>
                <w:noProof/>
              </w:rPr>
              <w:t>DBP Ex-Post Load Impacts Estimates</w:t>
            </w:r>
            <w:r>
              <w:rPr>
                <w:noProof/>
                <w:webHidden/>
              </w:rPr>
              <w:tab/>
            </w:r>
            <w:r>
              <w:rPr>
                <w:noProof/>
                <w:webHidden/>
              </w:rPr>
              <w:fldChar w:fldCharType="begin"/>
            </w:r>
            <w:r>
              <w:rPr>
                <w:noProof/>
                <w:webHidden/>
              </w:rPr>
              <w:instrText xml:space="preserve"> PAGEREF _Toc447179801 \h </w:instrText>
            </w:r>
            <w:r>
              <w:rPr>
                <w:noProof/>
                <w:webHidden/>
              </w:rPr>
            </w:r>
            <w:r>
              <w:rPr>
                <w:noProof/>
                <w:webHidden/>
              </w:rPr>
              <w:fldChar w:fldCharType="separate"/>
            </w:r>
            <w:r>
              <w:rPr>
                <w:noProof/>
                <w:webHidden/>
              </w:rPr>
              <w:t>39</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02" w:history="1">
            <w:r w:rsidRPr="00A305AB">
              <w:rPr>
                <w:rStyle w:val="Hyperlink"/>
                <w:noProof/>
              </w:rPr>
              <w:t>5.3</w:t>
            </w:r>
            <w:r>
              <w:rPr>
                <w:rFonts w:asciiTheme="minorHAnsi" w:eastAsiaTheme="minorEastAsia" w:hAnsiTheme="minorHAnsi" w:cstheme="minorBidi"/>
                <w:noProof/>
                <w:sz w:val="22"/>
                <w:szCs w:val="22"/>
              </w:rPr>
              <w:tab/>
            </w:r>
            <w:r w:rsidRPr="00A305AB">
              <w:rPr>
                <w:rStyle w:val="Hyperlink"/>
                <w:noProof/>
              </w:rPr>
              <w:t>DBP Ex-Ante Evaluation Methodology</w:t>
            </w:r>
            <w:r>
              <w:rPr>
                <w:noProof/>
                <w:webHidden/>
              </w:rPr>
              <w:tab/>
            </w:r>
            <w:r>
              <w:rPr>
                <w:noProof/>
                <w:webHidden/>
              </w:rPr>
              <w:fldChar w:fldCharType="begin"/>
            </w:r>
            <w:r>
              <w:rPr>
                <w:noProof/>
                <w:webHidden/>
              </w:rPr>
              <w:instrText xml:space="preserve"> PAGEREF _Toc447179802 \h </w:instrText>
            </w:r>
            <w:r>
              <w:rPr>
                <w:noProof/>
                <w:webHidden/>
              </w:rPr>
            </w:r>
            <w:r>
              <w:rPr>
                <w:noProof/>
                <w:webHidden/>
              </w:rPr>
              <w:fldChar w:fldCharType="separate"/>
            </w:r>
            <w:r>
              <w:rPr>
                <w:noProof/>
                <w:webHidden/>
              </w:rPr>
              <w:t>39</w:t>
            </w:r>
            <w:r>
              <w:rPr>
                <w:noProof/>
                <w:webHidden/>
              </w:rPr>
              <w:fldChar w:fldCharType="end"/>
            </w:r>
          </w:hyperlink>
        </w:p>
        <w:p w:rsidR="0024252A" w:rsidRDefault="0024252A">
          <w:pPr>
            <w:pStyle w:val="TOC1"/>
            <w:tabs>
              <w:tab w:val="left" w:pos="480"/>
              <w:tab w:val="right" w:leader="dot" w:pos="9350"/>
            </w:tabs>
            <w:rPr>
              <w:rFonts w:asciiTheme="minorHAnsi" w:eastAsiaTheme="minorEastAsia" w:hAnsiTheme="minorHAnsi" w:cstheme="minorBidi"/>
              <w:noProof/>
              <w:sz w:val="22"/>
              <w:szCs w:val="22"/>
            </w:rPr>
          </w:pPr>
          <w:hyperlink w:anchor="_Toc447179803" w:history="1">
            <w:r w:rsidRPr="00A305AB">
              <w:rPr>
                <w:rStyle w:val="Hyperlink"/>
                <w:noProof/>
              </w:rPr>
              <w:t>6</w:t>
            </w:r>
            <w:r>
              <w:rPr>
                <w:rFonts w:asciiTheme="minorHAnsi" w:eastAsiaTheme="minorEastAsia" w:hAnsiTheme="minorHAnsi" w:cstheme="minorBidi"/>
                <w:noProof/>
                <w:sz w:val="22"/>
                <w:szCs w:val="22"/>
              </w:rPr>
              <w:tab/>
            </w:r>
            <w:r w:rsidRPr="00A305AB">
              <w:rPr>
                <w:rStyle w:val="Hyperlink"/>
                <w:noProof/>
              </w:rPr>
              <w:t>Summary of the Summer Saver Program</w:t>
            </w:r>
            <w:r>
              <w:rPr>
                <w:noProof/>
                <w:webHidden/>
              </w:rPr>
              <w:tab/>
            </w:r>
            <w:r>
              <w:rPr>
                <w:noProof/>
                <w:webHidden/>
              </w:rPr>
              <w:fldChar w:fldCharType="begin"/>
            </w:r>
            <w:r>
              <w:rPr>
                <w:noProof/>
                <w:webHidden/>
              </w:rPr>
              <w:instrText xml:space="preserve"> PAGEREF _Toc447179803 \h </w:instrText>
            </w:r>
            <w:r>
              <w:rPr>
                <w:noProof/>
                <w:webHidden/>
              </w:rPr>
            </w:r>
            <w:r>
              <w:rPr>
                <w:noProof/>
                <w:webHidden/>
              </w:rPr>
              <w:fldChar w:fldCharType="separate"/>
            </w:r>
            <w:r>
              <w:rPr>
                <w:noProof/>
                <w:webHidden/>
              </w:rPr>
              <w:t>40</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04" w:history="1">
            <w:r w:rsidRPr="00A305AB">
              <w:rPr>
                <w:rStyle w:val="Hyperlink"/>
                <w:noProof/>
              </w:rPr>
              <w:t>6.1</w:t>
            </w:r>
            <w:r>
              <w:rPr>
                <w:rFonts w:asciiTheme="minorHAnsi" w:eastAsiaTheme="minorEastAsia" w:hAnsiTheme="minorHAnsi" w:cstheme="minorBidi"/>
                <w:noProof/>
                <w:sz w:val="22"/>
                <w:szCs w:val="22"/>
              </w:rPr>
              <w:tab/>
            </w:r>
            <w:r w:rsidRPr="00A305AB">
              <w:rPr>
                <w:rStyle w:val="Hyperlink"/>
                <w:noProof/>
              </w:rPr>
              <w:t>Summer Saver Program Description</w:t>
            </w:r>
            <w:r>
              <w:rPr>
                <w:noProof/>
                <w:webHidden/>
              </w:rPr>
              <w:tab/>
            </w:r>
            <w:r>
              <w:rPr>
                <w:noProof/>
                <w:webHidden/>
              </w:rPr>
              <w:fldChar w:fldCharType="begin"/>
            </w:r>
            <w:r>
              <w:rPr>
                <w:noProof/>
                <w:webHidden/>
              </w:rPr>
              <w:instrText xml:space="preserve"> PAGEREF _Toc447179804 \h </w:instrText>
            </w:r>
            <w:r>
              <w:rPr>
                <w:noProof/>
                <w:webHidden/>
              </w:rPr>
            </w:r>
            <w:r>
              <w:rPr>
                <w:noProof/>
                <w:webHidden/>
              </w:rPr>
              <w:fldChar w:fldCharType="separate"/>
            </w:r>
            <w:r>
              <w:rPr>
                <w:noProof/>
                <w:webHidden/>
              </w:rPr>
              <w:t>40</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05" w:history="1">
            <w:r w:rsidRPr="00A305AB">
              <w:rPr>
                <w:rStyle w:val="Hyperlink"/>
                <w:noProof/>
              </w:rPr>
              <w:t>6.2</w:t>
            </w:r>
            <w:r>
              <w:rPr>
                <w:rFonts w:asciiTheme="minorHAnsi" w:eastAsiaTheme="minorEastAsia" w:hAnsiTheme="minorHAnsi" w:cstheme="minorBidi"/>
                <w:noProof/>
                <w:sz w:val="22"/>
                <w:szCs w:val="22"/>
              </w:rPr>
              <w:tab/>
            </w:r>
            <w:r w:rsidRPr="00A305AB">
              <w:rPr>
                <w:rStyle w:val="Hyperlink"/>
                <w:noProof/>
              </w:rPr>
              <w:t>Summer Saver Ex-Post Evaluation Methodology</w:t>
            </w:r>
            <w:r>
              <w:rPr>
                <w:noProof/>
                <w:webHidden/>
              </w:rPr>
              <w:tab/>
            </w:r>
            <w:r>
              <w:rPr>
                <w:noProof/>
                <w:webHidden/>
              </w:rPr>
              <w:fldChar w:fldCharType="begin"/>
            </w:r>
            <w:r>
              <w:rPr>
                <w:noProof/>
                <w:webHidden/>
              </w:rPr>
              <w:instrText xml:space="preserve"> PAGEREF _Toc447179805 \h </w:instrText>
            </w:r>
            <w:r>
              <w:rPr>
                <w:noProof/>
                <w:webHidden/>
              </w:rPr>
            </w:r>
            <w:r>
              <w:rPr>
                <w:noProof/>
                <w:webHidden/>
              </w:rPr>
              <w:fldChar w:fldCharType="separate"/>
            </w:r>
            <w:r>
              <w:rPr>
                <w:noProof/>
                <w:webHidden/>
              </w:rPr>
              <w:t>41</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06" w:history="1">
            <w:r w:rsidRPr="00A305AB">
              <w:rPr>
                <w:rStyle w:val="Hyperlink"/>
                <w:noProof/>
              </w:rPr>
              <w:t>6.3</w:t>
            </w:r>
            <w:r>
              <w:rPr>
                <w:rFonts w:asciiTheme="minorHAnsi" w:eastAsiaTheme="minorEastAsia" w:hAnsiTheme="minorHAnsi" w:cstheme="minorBidi"/>
                <w:noProof/>
                <w:sz w:val="22"/>
                <w:szCs w:val="22"/>
              </w:rPr>
              <w:tab/>
            </w:r>
            <w:r w:rsidRPr="00A305AB">
              <w:rPr>
                <w:rStyle w:val="Hyperlink"/>
                <w:noProof/>
              </w:rPr>
              <w:t>Summer Saver Ex-Post Load Impact Estimates</w:t>
            </w:r>
            <w:r>
              <w:rPr>
                <w:noProof/>
                <w:webHidden/>
              </w:rPr>
              <w:tab/>
            </w:r>
            <w:r>
              <w:rPr>
                <w:noProof/>
                <w:webHidden/>
              </w:rPr>
              <w:fldChar w:fldCharType="begin"/>
            </w:r>
            <w:r>
              <w:rPr>
                <w:noProof/>
                <w:webHidden/>
              </w:rPr>
              <w:instrText xml:space="preserve"> PAGEREF _Toc447179806 \h </w:instrText>
            </w:r>
            <w:r>
              <w:rPr>
                <w:noProof/>
                <w:webHidden/>
              </w:rPr>
            </w:r>
            <w:r>
              <w:rPr>
                <w:noProof/>
                <w:webHidden/>
              </w:rPr>
              <w:fldChar w:fldCharType="separate"/>
            </w:r>
            <w:r>
              <w:rPr>
                <w:noProof/>
                <w:webHidden/>
              </w:rPr>
              <w:t>42</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07" w:history="1">
            <w:r w:rsidRPr="00A305AB">
              <w:rPr>
                <w:rStyle w:val="Hyperlink"/>
                <w:noProof/>
                <w14:scene3d>
                  <w14:camera w14:prst="orthographicFront"/>
                  <w14:lightRig w14:rig="threePt" w14:dir="t">
                    <w14:rot w14:lat="0" w14:lon="0" w14:rev="0"/>
                  </w14:lightRig>
                </w14:scene3d>
              </w:rPr>
              <w:t>6.3.1</w:t>
            </w:r>
            <w:r>
              <w:rPr>
                <w:rFonts w:asciiTheme="minorHAnsi" w:eastAsiaTheme="minorEastAsia" w:hAnsiTheme="minorHAnsi" w:cstheme="minorBidi"/>
                <w:noProof/>
                <w:sz w:val="22"/>
                <w:szCs w:val="22"/>
              </w:rPr>
              <w:tab/>
            </w:r>
            <w:r w:rsidRPr="00A305AB">
              <w:rPr>
                <w:rStyle w:val="Hyperlink"/>
                <w:noProof/>
              </w:rPr>
              <w:t>Summer Saver Residential Ex-Post Load Impact Estimates</w:t>
            </w:r>
            <w:r>
              <w:rPr>
                <w:noProof/>
                <w:webHidden/>
              </w:rPr>
              <w:tab/>
            </w:r>
            <w:r>
              <w:rPr>
                <w:noProof/>
                <w:webHidden/>
              </w:rPr>
              <w:fldChar w:fldCharType="begin"/>
            </w:r>
            <w:r>
              <w:rPr>
                <w:noProof/>
                <w:webHidden/>
              </w:rPr>
              <w:instrText xml:space="preserve"> PAGEREF _Toc447179807 \h </w:instrText>
            </w:r>
            <w:r>
              <w:rPr>
                <w:noProof/>
                <w:webHidden/>
              </w:rPr>
            </w:r>
            <w:r>
              <w:rPr>
                <w:noProof/>
                <w:webHidden/>
              </w:rPr>
              <w:fldChar w:fldCharType="separate"/>
            </w:r>
            <w:r>
              <w:rPr>
                <w:noProof/>
                <w:webHidden/>
              </w:rPr>
              <w:t>42</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08" w:history="1">
            <w:r w:rsidRPr="00A305AB">
              <w:rPr>
                <w:rStyle w:val="Hyperlink"/>
                <w:noProof/>
                <w14:scene3d>
                  <w14:camera w14:prst="orthographicFront"/>
                  <w14:lightRig w14:rig="threePt" w14:dir="t">
                    <w14:rot w14:lat="0" w14:lon="0" w14:rev="0"/>
                  </w14:lightRig>
                </w14:scene3d>
              </w:rPr>
              <w:t>6.3.2</w:t>
            </w:r>
            <w:r>
              <w:rPr>
                <w:rFonts w:asciiTheme="minorHAnsi" w:eastAsiaTheme="minorEastAsia" w:hAnsiTheme="minorHAnsi" w:cstheme="minorBidi"/>
                <w:noProof/>
                <w:sz w:val="22"/>
                <w:szCs w:val="22"/>
              </w:rPr>
              <w:tab/>
            </w:r>
            <w:r w:rsidRPr="00A305AB">
              <w:rPr>
                <w:rStyle w:val="Hyperlink"/>
                <w:noProof/>
              </w:rPr>
              <w:t>Summer Saver Nonresidential Ex-Post Load Impact Estimates</w:t>
            </w:r>
            <w:r>
              <w:rPr>
                <w:noProof/>
                <w:webHidden/>
              </w:rPr>
              <w:tab/>
            </w:r>
            <w:r>
              <w:rPr>
                <w:noProof/>
                <w:webHidden/>
              </w:rPr>
              <w:fldChar w:fldCharType="begin"/>
            </w:r>
            <w:r>
              <w:rPr>
                <w:noProof/>
                <w:webHidden/>
              </w:rPr>
              <w:instrText xml:space="preserve"> PAGEREF _Toc447179808 \h </w:instrText>
            </w:r>
            <w:r>
              <w:rPr>
                <w:noProof/>
                <w:webHidden/>
              </w:rPr>
            </w:r>
            <w:r>
              <w:rPr>
                <w:noProof/>
                <w:webHidden/>
              </w:rPr>
              <w:fldChar w:fldCharType="separate"/>
            </w:r>
            <w:r>
              <w:rPr>
                <w:noProof/>
                <w:webHidden/>
              </w:rPr>
              <w:t>43</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09" w:history="1">
            <w:r w:rsidRPr="00A305AB">
              <w:rPr>
                <w:rStyle w:val="Hyperlink"/>
                <w:noProof/>
              </w:rPr>
              <w:t>6.4</w:t>
            </w:r>
            <w:r>
              <w:rPr>
                <w:rFonts w:asciiTheme="minorHAnsi" w:eastAsiaTheme="minorEastAsia" w:hAnsiTheme="minorHAnsi" w:cstheme="minorBidi"/>
                <w:noProof/>
                <w:sz w:val="22"/>
                <w:szCs w:val="22"/>
              </w:rPr>
              <w:tab/>
            </w:r>
            <w:r w:rsidRPr="00A305AB">
              <w:rPr>
                <w:rStyle w:val="Hyperlink"/>
                <w:noProof/>
              </w:rPr>
              <w:t>Summer Saver Ex-Ante Evaluation Methodology</w:t>
            </w:r>
            <w:r>
              <w:rPr>
                <w:noProof/>
                <w:webHidden/>
              </w:rPr>
              <w:tab/>
            </w:r>
            <w:r>
              <w:rPr>
                <w:noProof/>
                <w:webHidden/>
              </w:rPr>
              <w:fldChar w:fldCharType="begin"/>
            </w:r>
            <w:r>
              <w:rPr>
                <w:noProof/>
                <w:webHidden/>
              </w:rPr>
              <w:instrText xml:space="preserve"> PAGEREF _Toc447179809 \h </w:instrText>
            </w:r>
            <w:r>
              <w:rPr>
                <w:noProof/>
                <w:webHidden/>
              </w:rPr>
            </w:r>
            <w:r>
              <w:rPr>
                <w:noProof/>
                <w:webHidden/>
              </w:rPr>
              <w:fldChar w:fldCharType="separate"/>
            </w:r>
            <w:r>
              <w:rPr>
                <w:noProof/>
                <w:webHidden/>
              </w:rPr>
              <w:t>44</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10" w:history="1">
            <w:r w:rsidRPr="00A305AB">
              <w:rPr>
                <w:rStyle w:val="Hyperlink"/>
                <w:noProof/>
              </w:rPr>
              <w:t>6.5</w:t>
            </w:r>
            <w:r>
              <w:rPr>
                <w:rFonts w:asciiTheme="minorHAnsi" w:eastAsiaTheme="minorEastAsia" w:hAnsiTheme="minorHAnsi" w:cstheme="minorBidi"/>
                <w:noProof/>
                <w:sz w:val="22"/>
                <w:szCs w:val="22"/>
              </w:rPr>
              <w:tab/>
            </w:r>
            <w:r w:rsidRPr="00A305AB">
              <w:rPr>
                <w:rStyle w:val="Hyperlink"/>
                <w:noProof/>
              </w:rPr>
              <w:t>Summer Saver Ex-Ante Load Impact Estimates</w:t>
            </w:r>
            <w:r>
              <w:rPr>
                <w:noProof/>
                <w:webHidden/>
              </w:rPr>
              <w:tab/>
            </w:r>
            <w:r>
              <w:rPr>
                <w:noProof/>
                <w:webHidden/>
              </w:rPr>
              <w:fldChar w:fldCharType="begin"/>
            </w:r>
            <w:r>
              <w:rPr>
                <w:noProof/>
                <w:webHidden/>
              </w:rPr>
              <w:instrText xml:space="preserve"> PAGEREF _Toc447179810 \h </w:instrText>
            </w:r>
            <w:r>
              <w:rPr>
                <w:noProof/>
                <w:webHidden/>
              </w:rPr>
            </w:r>
            <w:r>
              <w:rPr>
                <w:noProof/>
                <w:webHidden/>
              </w:rPr>
              <w:fldChar w:fldCharType="separate"/>
            </w:r>
            <w:r>
              <w:rPr>
                <w:noProof/>
                <w:webHidden/>
              </w:rPr>
              <w:t>45</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11" w:history="1">
            <w:r w:rsidRPr="00A305AB">
              <w:rPr>
                <w:rStyle w:val="Hyperlink"/>
                <w:noProof/>
              </w:rPr>
              <w:t>6.6</w:t>
            </w:r>
            <w:r>
              <w:rPr>
                <w:rFonts w:asciiTheme="minorHAnsi" w:eastAsiaTheme="minorEastAsia" w:hAnsiTheme="minorHAnsi" w:cstheme="minorBidi"/>
                <w:noProof/>
                <w:sz w:val="22"/>
                <w:szCs w:val="22"/>
              </w:rPr>
              <w:tab/>
            </w:r>
            <w:r w:rsidRPr="00A305AB">
              <w:rPr>
                <w:rStyle w:val="Hyperlink"/>
                <w:noProof/>
              </w:rPr>
              <w:t>Comparison of Ex-Ante and Ex-Post results</w:t>
            </w:r>
            <w:r>
              <w:rPr>
                <w:noProof/>
                <w:webHidden/>
              </w:rPr>
              <w:tab/>
            </w:r>
            <w:r>
              <w:rPr>
                <w:noProof/>
                <w:webHidden/>
              </w:rPr>
              <w:fldChar w:fldCharType="begin"/>
            </w:r>
            <w:r>
              <w:rPr>
                <w:noProof/>
                <w:webHidden/>
              </w:rPr>
              <w:instrText xml:space="preserve"> PAGEREF _Toc447179811 \h </w:instrText>
            </w:r>
            <w:r>
              <w:rPr>
                <w:noProof/>
                <w:webHidden/>
              </w:rPr>
            </w:r>
            <w:r>
              <w:rPr>
                <w:noProof/>
                <w:webHidden/>
              </w:rPr>
              <w:fldChar w:fldCharType="separate"/>
            </w:r>
            <w:r>
              <w:rPr>
                <w:noProof/>
                <w:webHidden/>
              </w:rPr>
              <w:t>47</w:t>
            </w:r>
            <w:r>
              <w:rPr>
                <w:noProof/>
                <w:webHidden/>
              </w:rPr>
              <w:fldChar w:fldCharType="end"/>
            </w:r>
          </w:hyperlink>
        </w:p>
        <w:p w:rsidR="0024252A" w:rsidRDefault="0024252A">
          <w:pPr>
            <w:pStyle w:val="TOC1"/>
            <w:tabs>
              <w:tab w:val="left" w:pos="480"/>
              <w:tab w:val="right" w:leader="dot" w:pos="9350"/>
            </w:tabs>
            <w:rPr>
              <w:rFonts w:asciiTheme="minorHAnsi" w:eastAsiaTheme="minorEastAsia" w:hAnsiTheme="minorHAnsi" w:cstheme="minorBidi"/>
              <w:noProof/>
              <w:sz w:val="22"/>
              <w:szCs w:val="22"/>
            </w:rPr>
          </w:pPr>
          <w:hyperlink w:anchor="_Toc447179812" w:history="1">
            <w:r w:rsidRPr="00A305AB">
              <w:rPr>
                <w:rStyle w:val="Hyperlink"/>
                <w:noProof/>
              </w:rPr>
              <w:t>7</w:t>
            </w:r>
            <w:r>
              <w:rPr>
                <w:rFonts w:asciiTheme="minorHAnsi" w:eastAsiaTheme="minorEastAsia" w:hAnsiTheme="minorHAnsi" w:cstheme="minorBidi"/>
                <w:noProof/>
                <w:sz w:val="22"/>
                <w:szCs w:val="22"/>
              </w:rPr>
              <w:tab/>
            </w:r>
            <w:r w:rsidRPr="00A305AB">
              <w:rPr>
                <w:rStyle w:val="Hyperlink"/>
                <w:noProof/>
              </w:rPr>
              <w:t>Opt-in Peak Time Rebate Program (PTR) and Residential Small Customer Technology Deployment (SCTD) Program</w:t>
            </w:r>
            <w:r>
              <w:rPr>
                <w:noProof/>
                <w:webHidden/>
              </w:rPr>
              <w:tab/>
            </w:r>
            <w:r>
              <w:rPr>
                <w:noProof/>
                <w:webHidden/>
              </w:rPr>
              <w:fldChar w:fldCharType="begin"/>
            </w:r>
            <w:r>
              <w:rPr>
                <w:noProof/>
                <w:webHidden/>
              </w:rPr>
              <w:instrText xml:space="preserve"> PAGEREF _Toc447179812 \h </w:instrText>
            </w:r>
            <w:r>
              <w:rPr>
                <w:noProof/>
                <w:webHidden/>
              </w:rPr>
            </w:r>
            <w:r>
              <w:rPr>
                <w:noProof/>
                <w:webHidden/>
              </w:rPr>
              <w:fldChar w:fldCharType="separate"/>
            </w:r>
            <w:r>
              <w:rPr>
                <w:noProof/>
                <w:webHidden/>
              </w:rPr>
              <w:t>47</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13" w:history="1">
            <w:r w:rsidRPr="00A305AB">
              <w:rPr>
                <w:rStyle w:val="Hyperlink"/>
                <w:noProof/>
              </w:rPr>
              <w:t>7.1</w:t>
            </w:r>
            <w:r>
              <w:rPr>
                <w:rFonts w:asciiTheme="minorHAnsi" w:eastAsiaTheme="minorEastAsia" w:hAnsiTheme="minorHAnsi" w:cstheme="minorBidi"/>
                <w:noProof/>
                <w:sz w:val="22"/>
                <w:szCs w:val="22"/>
              </w:rPr>
              <w:tab/>
            </w:r>
            <w:r w:rsidRPr="00A305AB">
              <w:rPr>
                <w:rStyle w:val="Hyperlink"/>
                <w:noProof/>
              </w:rPr>
              <w:t>Program Overview</w:t>
            </w:r>
            <w:r>
              <w:rPr>
                <w:noProof/>
                <w:webHidden/>
              </w:rPr>
              <w:tab/>
            </w:r>
            <w:r>
              <w:rPr>
                <w:noProof/>
                <w:webHidden/>
              </w:rPr>
              <w:fldChar w:fldCharType="begin"/>
            </w:r>
            <w:r>
              <w:rPr>
                <w:noProof/>
                <w:webHidden/>
              </w:rPr>
              <w:instrText xml:space="preserve"> PAGEREF _Toc447179813 \h </w:instrText>
            </w:r>
            <w:r>
              <w:rPr>
                <w:noProof/>
                <w:webHidden/>
              </w:rPr>
            </w:r>
            <w:r>
              <w:rPr>
                <w:noProof/>
                <w:webHidden/>
              </w:rPr>
              <w:fldChar w:fldCharType="separate"/>
            </w:r>
            <w:r>
              <w:rPr>
                <w:noProof/>
                <w:webHidden/>
              </w:rPr>
              <w:t>47</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14" w:history="1">
            <w:r w:rsidRPr="00A305AB">
              <w:rPr>
                <w:rStyle w:val="Hyperlink"/>
                <w:noProof/>
                <w14:scene3d>
                  <w14:camera w14:prst="orthographicFront"/>
                  <w14:lightRig w14:rig="threePt" w14:dir="t">
                    <w14:rot w14:lat="0" w14:lon="0" w14:rev="0"/>
                  </w14:lightRig>
                </w14:scene3d>
              </w:rPr>
              <w:t>7.1.1</w:t>
            </w:r>
            <w:r>
              <w:rPr>
                <w:rFonts w:asciiTheme="minorHAnsi" w:eastAsiaTheme="minorEastAsia" w:hAnsiTheme="minorHAnsi" w:cstheme="minorBidi"/>
                <w:noProof/>
                <w:sz w:val="22"/>
                <w:szCs w:val="22"/>
              </w:rPr>
              <w:tab/>
            </w:r>
            <w:r w:rsidRPr="00A305AB">
              <w:rPr>
                <w:rStyle w:val="Hyperlink"/>
                <w:noProof/>
              </w:rPr>
              <w:t>Opt-in PTR</w:t>
            </w:r>
            <w:r w:rsidRPr="00A305AB">
              <w:rPr>
                <w:rStyle w:val="Hyperlink"/>
                <w:i/>
                <w:noProof/>
              </w:rPr>
              <w:t xml:space="preserve"> </w:t>
            </w:r>
            <w:r w:rsidRPr="00A305AB">
              <w:rPr>
                <w:rStyle w:val="Hyperlink"/>
                <w:noProof/>
              </w:rPr>
              <w:t>Program Description</w:t>
            </w:r>
            <w:r>
              <w:rPr>
                <w:noProof/>
                <w:webHidden/>
              </w:rPr>
              <w:tab/>
            </w:r>
            <w:r>
              <w:rPr>
                <w:noProof/>
                <w:webHidden/>
              </w:rPr>
              <w:fldChar w:fldCharType="begin"/>
            </w:r>
            <w:r>
              <w:rPr>
                <w:noProof/>
                <w:webHidden/>
              </w:rPr>
              <w:instrText xml:space="preserve"> PAGEREF _Toc447179814 \h </w:instrText>
            </w:r>
            <w:r>
              <w:rPr>
                <w:noProof/>
                <w:webHidden/>
              </w:rPr>
            </w:r>
            <w:r>
              <w:rPr>
                <w:noProof/>
                <w:webHidden/>
              </w:rPr>
              <w:fldChar w:fldCharType="separate"/>
            </w:r>
            <w:r>
              <w:rPr>
                <w:noProof/>
                <w:webHidden/>
              </w:rPr>
              <w:t>47</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15" w:history="1">
            <w:r w:rsidRPr="00A305AB">
              <w:rPr>
                <w:rStyle w:val="Hyperlink"/>
                <w:noProof/>
                <w14:scene3d>
                  <w14:camera w14:prst="orthographicFront"/>
                  <w14:lightRig w14:rig="threePt" w14:dir="t">
                    <w14:rot w14:lat="0" w14:lon="0" w14:rev="0"/>
                  </w14:lightRig>
                </w14:scene3d>
              </w:rPr>
              <w:t>7.1.2</w:t>
            </w:r>
            <w:r>
              <w:rPr>
                <w:rFonts w:asciiTheme="minorHAnsi" w:eastAsiaTheme="minorEastAsia" w:hAnsiTheme="minorHAnsi" w:cstheme="minorBidi"/>
                <w:noProof/>
                <w:sz w:val="22"/>
                <w:szCs w:val="22"/>
              </w:rPr>
              <w:tab/>
            </w:r>
            <w:r w:rsidRPr="00A305AB">
              <w:rPr>
                <w:rStyle w:val="Hyperlink"/>
                <w:noProof/>
              </w:rPr>
              <w:t>SCTD Program Description</w:t>
            </w:r>
            <w:r>
              <w:rPr>
                <w:noProof/>
                <w:webHidden/>
              </w:rPr>
              <w:tab/>
            </w:r>
            <w:r>
              <w:rPr>
                <w:noProof/>
                <w:webHidden/>
              </w:rPr>
              <w:fldChar w:fldCharType="begin"/>
            </w:r>
            <w:r>
              <w:rPr>
                <w:noProof/>
                <w:webHidden/>
              </w:rPr>
              <w:instrText xml:space="preserve"> PAGEREF _Toc447179815 \h </w:instrText>
            </w:r>
            <w:r>
              <w:rPr>
                <w:noProof/>
                <w:webHidden/>
              </w:rPr>
            </w:r>
            <w:r>
              <w:rPr>
                <w:noProof/>
                <w:webHidden/>
              </w:rPr>
              <w:fldChar w:fldCharType="separate"/>
            </w:r>
            <w:r>
              <w:rPr>
                <w:noProof/>
                <w:webHidden/>
              </w:rPr>
              <w:t>48</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16" w:history="1">
            <w:r w:rsidRPr="00A305AB">
              <w:rPr>
                <w:rStyle w:val="Hyperlink"/>
                <w:noProof/>
              </w:rPr>
              <w:t>7.2</w:t>
            </w:r>
            <w:r>
              <w:rPr>
                <w:rFonts w:asciiTheme="minorHAnsi" w:eastAsiaTheme="minorEastAsia" w:hAnsiTheme="minorHAnsi" w:cstheme="minorBidi"/>
                <w:noProof/>
                <w:sz w:val="22"/>
                <w:szCs w:val="22"/>
              </w:rPr>
              <w:tab/>
            </w:r>
            <w:r w:rsidRPr="00A305AB">
              <w:rPr>
                <w:rStyle w:val="Hyperlink"/>
                <w:noProof/>
              </w:rPr>
              <w:t>PTR and SCTD Residential Ex-Post Evaluation Methodology and Validation</w:t>
            </w:r>
            <w:r>
              <w:rPr>
                <w:noProof/>
                <w:webHidden/>
              </w:rPr>
              <w:tab/>
            </w:r>
            <w:r>
              <w:rPr>
                <w:noProof/>
                <w:webHidden/>
              </w:rPr>
              <w:fldChar w:fldCharType="begin"/>
            </w:r>
            <w:r>
              <w:rPr>
                <w:noProof/>
                <w:webHidden/>
              </w:rPr>
              <w:instrText xml:space="preserve"> PAGEREF _Toc447179816 \h </w:instrText>
            </w:r>
            <w:r>
              <w:rPr>
                <w:noProof/>
                <w:webHidden/>
              </w:rPr>
            </w:r>
            <w:r>
              <w:rPr>
                <w:noProof/>
                <w:webHidden/>
              </w:rPr>
              <w:fldChar w:fldCharType="separate"/>
            </w:r>
            <w:r>
              <w:rPr>
                <w:noProof/>
                <w:webHidden/>
              </w:rPr>
              <w:t>48</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17" w:history="1">
            <w:r w:rsidRPr="00A305AB">
              <w:rPr>
                <w:rStyle w:val="Hyperlink"/>
                <w:noProof/>
                <w14:scene3d>
                  <w14:camera w14:prst="orthographicFront"/>
                  <w14:lightRig w14:rig="threePt" w14:dir="t">
                    <w14:rot w14:lat="0" w14:lon="0" w14:rev="0"/>
                  </w14:lightRig>
                </w14:scene3d>
              </w:rPr>
              <w:t>7.2.1</w:t>
            </w:r>
            <w:r>
              <w:rPr>
                <w:rFonts w:asciiTheme="minorHAnsi" w:eastAsiaTheme="minorEastAsia" w:hAnsiTheme="minorHAnsi" w:cstheme="minorBidi"/>
                <w:noProof/>
                <w:sz w:val="22"/>
                <w:szCs w:val="22"/>
              </w:rPr>
              <w:tab/>
            </w:r>
            <w:r w:rsidRPr="00A305AB">
              <w:rPr>
                <w:rStyle w:val="Hyperlink"/>
                <w:noProof/>
              </w:rPr>
              <w:t>Control Group Selection</w:t>
            </w:r>
            <w:r>
              <w:rPr>
                <w:noProof/>
                <w:webHidden/>
              </w:rPr>
              <w:tab/>
            </w:r>
            <w:r>
              <w:rPr>
                <w:noProof/>
                <w:webHidden/>
              </w:rPr>
              <w:fldChar w:fldCharType="begin"/>
            </w:r>
            <w:r>
              <w:rPr>
                <w:noProof/>
                <w:webHidden/>
              </w:rPr>
              <w:instrText xml:space="preserve"> PAGEREF _Toc447179817 \h </w:instrText>
            </w:r>
            <w:r>
              <w:rPr>
                <w:noProof/>
                <w:webHidden/>
              </w:rPr>
            </w:r>
            <w:r>
              <w:rPr>
                <w:noProof/>
                <w:webHidden/>
              </w:rPr>
              <w:fldChar w:fldCharType="separate"/>
            </w:r>
            <w:r>
              <w:rPr>
                <w:noProof/>
                <w:webHidden/>
              </w:rPr>
              <w:t>48</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18" w:history="1">
            <w:r w:rsidRPr="00A305AB">
              <w:rPr>
                <w:rStyle w:val="Hyperlink"/>
                <w:noProof/>
                <w14:scene3d>
                  <w14:camera w14:prst="orthographicFront"/>
                  <w14:lightRig w14:rig="threePt" w14:dir="t">
                    <w14:rot w14:lat="0" w14:lon="0" w14:rev="0"/>
                  </w14:lightRig>
                </w14:scene3d>
              </w:rPr>
              <w:t>7.2.2</w:t>
            </w:r>
            <w:r>
              <w:rPr>
                <w:rFonts w:asciiTheme="minorHAnsi" w:eastAsiaTheme="minorEastAsia" w:hAnsiTheme="minorHAnsi" w:cstheme="minorBidi"/>
                <w:noProof/>
                <w:sz w:val="22"/>
                <w:szCs w:val="22"/>
              </w:rPr>
              <w:tab/>
            </w:r>
            <w:r w:rsidRPr="00A305AB">
              <w:rPr>
                <w:rStyle w:val="Hyperlink"/>
                <w:noProof/>
              </w:rPr>
              <w:t>Pre-Matching Stratification and Design</w:t>
            </w:r>
            <w:r>
              <w:rPr>
                <w:noProof/>
                <w:webHidden/>
              </w:rPr>
              <w:tab/>
            </w:r>
            <w:r>
              <w:rPr>
                <w:noProof/>
                <w:webHidden/>
              </w:rPr>
              <w:fldChar w:fldCharType="begin"/>
            </w:r>
            <w:r>
              <w:rPr>
                <w:noProof/>
                <w:webHidden/>
              </w:rPr>
              <w:instrText xml:space="preserve"> PAGEREF _Toc447179818 \h </w:instrText>
            </w:r>
            <w:r>
              <w:rPr>
                <w:noProof/>
                <w:webHidden/>
              </w:rPr>
            </w:r>
            <w:r>
              <w:rPr>
                <w:noProof/>
                <w:webHidden/>
              </w:rPr>
              <w:fldChar w:fldCharType="separate"/>
            </w:r>
            <w:r>
              <w:rPr>
                <w:noProof/>
                <w:webHidden/>
              </w:rPr>
              <w:t>48</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19" w:history="1">
            <w:r w:rsidRPr="00A305AB">
              <w:rPr>
                <w:rStyle w:val="Hyperlink"/>
                <w:noProof/>
                <w14:scene3d>
                  <w14:camera w14:prst="orthographicFront"/>
                  <w14:lightRig w14:rig="threePt" w14:dir="t">
                    <w14:rot w14:lat="0" w14:lon="0" w14:rev="0"/>
                  </w14:lightRig>
                </w14:scene3d>
              </w:rPr>
              <w:t>7.2.3</w:t>
            </w:r>
            <w:r>
              <w:rPr>
                <w:rFonts w:asciiTheme="minorHAnsi" w:eastAsiaTheme="minorEastAsia" w:hAnsiTheme="minorHAnsi" w:cstheme="minorBidi"/>
                <w:noProof/>
                <w:sz w:val="22"/>
                <w:szCs w:val="22"/>
              </w:rPr>
              <w:tab/>
            </w:r>
            <w:r w:rsidRPr="00A305AB">
              <w:rPr>
                <w:rStyle w:val="Hyperlink"/>
                <w:noProof/>
              </w:rPr>
              <w:t>Propensity Score Matching Results</w:t>
            </w:r>
            <w:r>
              <w:rPr>
                <w:noProof/>
                <w:webHidden/>
              </w:rPr>
              <w:tab/>
            </w:r>
            <w:r>
              <w:rPr>
                <w:noProof/>
                <w:webHidden/>
              </w:rPr>
              <w:fldChar w:fldCharType="begin"/>
            </w:r>
            <w:r>
              <w:rPr>
                <w:noProof/>
                <w:webHidden/>
              </w:rPr>
              <w:instrText xml:space="preserve"> PAGEREF _Toc447179819 \h </w:instrText>
            </w:r>
            <w:r>
              <w:rPr>
                <w:noProof/>
                <w:webHidden/>
              </w:rPr>
            </w:r>
            <w:r>
              <w:rPr>
                <w:noProof/>
                <w:webHidden/>
              </w:rPr>
              <w:fldChar w:fldCharType="separate"/>
            </w:r>
            <w:r>
              <w:rPr>
                <w:noProof/>
                <w:webHidden/>
              </w:rPr>
              <w:t>50</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20" w:history="1">
            <w:r w:rsidRPr="00A305AB">
              <w:rPr>
                <w:rStyle w:val="Hyperlink"/>
                <w:noProof/>
                <w14:scene3d>
                  <w14:camera w14:prst="orthographicFront"/>
                  <w14:lightRig w14:rig="threePt" w14:dir="t">
                    <w14:rot w14:lat="0" w14:lon="0" w14:rev="0"/>
                  </w14:lightRig>
                </w14:scene3d>
              </w:rPr>
              <w:t>7.2.4</w:t>
            </w:r>
            <w:r>
              <w:rPr>
                <w:rFonts w:asciiTheme="minorHAnsi" w:eastAsiaTheme="minorEastAsia" w:hAnsiTheme="minorHAnsi" w:cstheme="minorBidi"/>
                <w:noProof/>
                <w:sz w:val="22"/>
                <w:szCs w:val="22"/>
              </w:rPr>
              <w:tab/>
            </w:r>
            <w:r w:rsidRPr="00A305AB">
              <w:rPr>
                <w:rStyle w:val="Hyperlink"/>
                <w:noProof/>
              </w:rPr>
              <w:t>PTR Ex-Post Methodology</w:t>
            </w:r>
            <w:r>
              <w:rPr>
                <w:noProof/>
                <w:webHidden/>
              </w:rPr>
              <w:tab/>
            </w:r>
            <w:r>
              <w:rPr>
                <w:noProof/>
                <w:webHidden/>
              </w:rPr>
              <w:fldChar w:fldCharType="begin"/>
            </w:r>
            <w:r>
              <w:rPr>
                <w:noProof/>
                <w:webHidden/>
              </w:rPr>
              <w:instrText xml:space="preserve"> PAGEREF _Toc447179820 \h </w:instrText>
            </w:r>
            <w:r>
              <w:rPr>
                <w:noProof/>
                <w:webHidden/>
              </w:rPr>
            </w:r>
            <w:r>
              <w:rPr>
                <w:noProof/>
                <w:webHidden/>
              </w:rPr>
              <w:fldChar w:fldCharType="separate"/>
            </w:r>
            <w:r>
              <w:rPr>
                <w:noProof/>
                <w:webHidden/>
              </w:rPr>
              <w:t>50</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21" w:history="1">
            <w:r w:rsidRPr="00A305AB">
              <w:rPr>
                <w:rStyle w:val="Hyperlink"/>
                <w:noProof/>
                <w14:scene3d>
                  <w14:camera w14:prst="orthographicFront"/>
                  <w14:lightRig w14:rig="threePt" w14:dir="t">
                    <w14:rot w14:lat="0" w14:lon="0" w14:rev="0"/>
                  </w14:lightRig>
                </w14:scene3d>
              </w:rPr>
              <w:t>7.2.5</w:t>
            </w:r>
            <w:r>
              <w:rPr>
                <w:rFonts w:asciiTheme="minorHAnsi" w:eastAsiaTheme="minorEastAsia" w:hAnsiTheme="minorHAnsi" w:cstheme="minorBidi"/>
                <w:noProof/>
                <w:sz w:val="22"/>
                <w:szCs w:val="22"/>
              </w:rPr>
              <w:tab/>
            </w:r>
            <w:r w:rsidRPr="00A305AB">
              <w:rPr>
                <w:rStyle w:val="Hyperlink"/>
                <w:noProof/>
              </w:rPr>
              <w:t>SCTD Residential Ex-Post Methodology</w:t>
            </w:r>
            <w:r>
              <w:rPr>
                <w:noProof/>
                <w:webHidden/>
              </w:rPr>
              <w:tab/>
            </w:r>
            <w:r>
              <w:rPr>
                <w:noProof/>
                <w:webHidden/>
              </w:rPr>
              <w:fldChar w:fldCharType="begin"/>
            </w:r>
            <w:r>
              <w:rPr>
                <w:noProof/>
                <w:webHidden/>
              </w:rPr>
              <w:instrText xml:space="preserve"> PAGEREF _Toc447179821 \h </w:instrText>
            </w:r>
            <w:r>
              <w:rPr>
                <w:noProof/>
                <w:webHidden/>
              </w:rPr>
            </w:r>
            <w:r>
              <w:rPr>
                <w:noProof/>
                <w:webHidden/>
              </w:rPr>
              <w:fldChar w:fldCharType="separate"/>
            </w:r>
            <w:r>
              <w:rPr>
                <w:noProof/>
                <w:webHidden/>
              </w:rPr>
              <w:t>51</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22" w:history="1">
            <w:r w:rsidRPr="00A305AB">
              <w:rPr>
                <w:rStyle w:val="Hyperlink"/>
                <w:noProof/>
              </w:rPr>
              <w:t>7.3</w:t>
            </w:r>
            <w:r>
              <w:rPr>
                <w:rFonts w:asciiTheme="minorHAnsi" w:eastAsiaTheme="minorEastAsia" w:hAnsiTheme="minorHAnsi" w:cstheme="minorBidi"/>
                <w:noProof/>
                <w:sz w:val="22"/>
                <w:szCs w:val="22"/>
              </w:rPr>
              <w:tab/>
            </w:r>
            <w:r w:rsidRPr="00A305AB">
              <w:rPr>
                <w:rStyle w:val="Hyperlink"/>
                <w:noProof/>
              </w:rPr>
              <w:t>PTR and SCTD Residential Ex-Post Load Impact Estimates</w:t>
            </w:r>
            <w:r>
              <w:rPr>
                <w:noProof/>
                <w:webHidden/>
              </w:rPr>
              <w:tab/>
            </w:r>
            <w:r>
              <w:rPr>
                <w:noProof/>
                <w:webHidden/>
              </w:rPr>
              <w:fldChar w:fldCharType="begin"/>
            </w:r>
            <w:r>
              <w:rPr>
                <w:noProof/>
                <w:webHidden/>
              </w:rPr>
              <w:instrText xml:space="preserve"> PAGEREF _Toc447179822 \h </w:instrText>
            </w:r>
            <w:r>
              <w:rPr>
                <w:noProof/>
                <w:webHidden/>
              </w:rPr>
            </w:r>
            <w:r>
              <w:rPr>
                <w:noProof/>
                <w:webHidden/>
              </w:rPr>
              <w:fldChar w:fldCharType="separate"/>
            </w:r>
            <w:r>
              <w:rPr>
                <w:noProof/>
                <w:webHidden/>
              </w:rPr>
              <w:t>51</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23" w:history="1">
            <w:r w:rsidRPr="00A305AB">
              <w:rPr>
                <w:rStyle w:val="Hyperlink"/>
                <w:noProof/>
              </w:rPr>
              <w:t>7.1</w:t>
            </w:r>
            <w:r>
              <w:rPr>
                <w:rFonts w:asciiTheme="minorHAnsi" w:eastAsiaTheme="minorEastAsia" w:hAnsiTheme="minorHAnsi" w:cstheme="minorBidi"/>
                <w:noProof/>
                <w:sz w:val="22"/>
                <w:szCs w:val="22"/>
              </w:rPr>
              <w:tab/>
            </w:r>
            <w:r w:rsidRPr="00A305AB">
              <w:rPr>
                <w:rStyle w:val="Hyperlink"/>
                <w:noProof/>
              </w:rPr>
              <w:t>Summary of 2015 PTR and SCTD Events</w:t>
            </w:r>
            <w:r>
              <w:rPr>
                <w:noProof/>
                <w:webHidden/>
              </w:rPr>
              <w:tab/>
            </w:r>
            <w:r>
              <w:rPr>
                <w:noProof/>
                <w:webHidden/>
              </w:rPr>
              <w:fldChar w:fldCharType="begin"/>
            </w:r>
            <w:r>
              <w:rPr>
                <w:noProof/>
                <w:webHidden/>
              </w:rPr>
              <w:instrText xml:space="preserve"> PAGEREF _Toc447179823 \h </w:instrText>
            </w:r>
            <w:r>
              <w:rPr>
                <w:noProof/>
                <w:webHidden/>
              </w:rPr>
            </w:r>
            <w:r>
              <w:rPr>
                <w:noProof/>
                <w:webHidden/>
              </w:rPr>
              <w:fldChar w:fldCharType="separate"/>
            </w:r>
            <w:r>
              <w:rPr>
                <w:noProof/>
                <w:webHidden/>
              </w:rPr>
              <w:t>51</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24" w:history="1">
            <w:r w:rsidRPr="00A305AB">
              <w:rPr>
                <w:rStyle w:val="Hyperlink"/>
                <w:noProof/>
              </w:rPr>
              <w:t>7.2</w:t>
            </w:r>
            <w:r>
              <w:rPr>
                <w:rFonts w:asciiTheme="minorHAnsi" w:eastAsiaTheme="minorEastAsia" w:hAnsiTheme="minorHAnsi" w:cstheme="minorBidi"/>
                <w:noProof/>
                <w:sz w:val="22"/>
                <w:szCs w:val="22"/>
              </w:rPr>
              <w:tab/>
            </w:r>
            <w:r w:rsidRPr="00A305AB">
              <w:rPr>
                <w:rStyle w:val="Hyperlink"/>
                <w:noProof/>
              </w:rPr>
              <w:t>PTR Ex-Ante Evaluation Methodology</w:t>
            </w:r>
            <w:r>
              <w:rPr>
                <w:noProof/>
                <w:webHidden/>
              </w:rPr>
              <w:tab/>
            </w:r>
            <w:r>
              <w:rPr>
                <w:noProof/>
                <w:webHidden/>
              </w:rPr>
              <w:fldChar w:fldCharType="begin"/>
            </w:r>
            <w:r>
              <w:rPr>
                <w:noProof/>
                <w:webHidden/>
              </w:rPr>
              <w:instrText xml:space="preserve"> PAGEREF _Toc447179824 \h </w:instrText>
            </w:r>
            <w:r>
              <w:rPr>
                <w:noProof/>
                <w:webHidden/>
              </w:rPr>
            </w:r>
            <w:r>
              <w:rPr>
                <w:noProof/>
                <w:webHidden/>
              </w:rPr>
              <w:fldChar w:fldCharType="separate"/>
            </w:r>
            <w:r>
              <w:rPr>
                <w:noProof/>
                <w:webHidden/>
              </w:rPr>
              <w:t>53</w:t>
            </w:r>
            <w:r>
              <w:rPr>
                <w:noProof/>
                <w:webHidden/>
              </w:rPr>
              <w:fldChar w:fldCharType="end"/>
            </w:r>
          </w:hyperlink>
        </w:p>
        <w:p w:rsidR="0024252A" w:rsidRDefault="0024252A">
          <w:pPr>
            <w:pStyle w:val="TOC2"/>
            <w:tabs>
              <w:tab w:val="right" w:leader="dot" w:pos="9350"/>
            </w:tabs>
            <w:rPr>
              <w:rFonts w:asciiTheme="minorHAnsi" w:eastAsiaTheme="minorEastAsia" w:hAnsiTheme="minorHAnsi" w:cstheme="minorBidi"/>
              <w:noProof/>
              <w:sz w:val="22"/>
              <w:szCs w:val="22"/>
            </w:rPr>
          </w:pPr>
          <w:hyperlink w:anchor="_Toc447179825" w:history="1">
            <w:r w:rsidRPr="00A305AB">
              <w:rPr>
                <w:rStyle w:val="Hyperlink"/>
                <w:noProof/>
              </w:rPr>
              <w:t>7.6 PTR Ex-Ante Load Impact Estimates</w:t>
            </w:r>
            <w:r>
              <w:rPr>
                <w:noProof/>
                <w:webHidden/>
              </w:rPr>
              <w:tab/>
            </w:r>
            <w:r>
              <w:rPr>
                <w:noProof/>
                <w:webHidden/>
              </w:rPr>
              <w:fldChar w:fldCharType="begin"/>
            </w:r>
            <w:r>
              <w:rPr>
                <w:noProof/>
                <w:webHidden/>
              </w:rPr>
              <w:instrText xml:space="preserve"> PAGEREF _Toc447179825 \h </w:instrText>
            </w:r>
            <w:r>
              <w:rPr>
                <w:noProof/>
                <w:webHidden/>
              </w:rPr>
            </w:r>
            <w:r>
              <w:rPr>
                <w:noProof/>
                <w:webHidden/>
              </w:rPr>
              <w:fldChar w:fldCharType="separate"/>
            </w:r>
            <w:r>
              <w:rPr>
                <w:noProof/>
                <w:webHidden/>
              </w:rPr>
              <w:t>54</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26" w:history="1">
            <w:r w:rsidRPr="00A305AB">
              <w:rPr>
                <w:rStyle w:val="Hyperlink"/>
                <w:noProof/>
                <w14:scene3d>
                  <w14:camera w14:prst="orthographicFront"/>
                  <w14:lightRig w14:rig="threePt" w14:dir="t">
                    <w14:rot w14:lat="0" w14:lon="0" w14:rev="0"/>
                  </w14:lightRig>
                </w14:scene3d>
              </w:rPr>
              <w:t>7.2.1</w:t>
            </w:r>
            <w:r>
              <w:rPr>
                <w:rFonts w:asciiTheme="minorHAnsi" w:eastAsiaTheme="minorEastAsia" w:hAnsiTheme="minorHAnsi" w:cstheme="minorBidi"/>
                <w:noProof/>
                <w:sz w:val="22"/>
                <w:szCs w:val="22"/>
              </w:rPr>
              <w:tab/>
            </w:r>
            <w:r w:rsidRPr="00A305AB">
              <w:rPr>
                <w:rStyle w:val="Hyperlink"/>
                <w:noProof/>
              </w:rPr>
              <w:t>PTR Only</w:t>
            </w:r>
            <w:r>
              <w:rPr>
                <w:noProof/>
                <w:webHidden/>
              </w:rPr>
              <w:tab/>
            </w:r>
            <w:r>
              <w:rPr>
                <w:noProof/>
                <w:webHidden/>
              </w:rPr>
              <w:fldChar w:fldCharType="begin"/>
            </w:r>
            <w:r>
              <w:rPr>
                <w:noProof/>
                <w:webHidden/>
              </w:rPr>
              <w:instrText xml:space="preserve"> PAGEREF _Toc447179826 \h </w:instrText>
            </w:r>
            <w:r>
              <w:rPr>
                <w:noProof/>
                <w:webHidden/>
              </w:rPr>
            </w:r>
            <w:r>
              <w:rPr>
                <w:noProof/>
                <w:webHidden/>
              </w:rPr>
              <w:fldChar w:fldCharType="separate"/>
            </w:r>
            <w:r>
              <w:rPr>
                <w:noProof/>
                <w:webHidden/>
              </w:rPr>
              <w:t>54</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27" w:history="1">
            <w:r w:rsidRPr="00A305AB">
              <w:rPr>
                <w:rStyle w:val="Hyperlink"/>
                <w:noProof/>
                <w14:scene3d>
                  <w14:camera w14:prst="orthographicFront"/>
                  <w14:lightRig w14:rig="threePt" w14:dir="t">
                    <w14:rot w14:lat="0" w14:lon="0" w14:rev="0"/>
                  </w14:lightRig>
                </w14:scene3d>
              </w:rPr>
              <w:t>7.2.2</w:t>
            </w:r>
            <w:r>
              <w:rPr>
                <w:rFonts w:asciiTheme="minorHAnsi" w:eastAsiaTheme="minorEastAsia" w:hAnsiTheme="minorHAnsi" w:cstheme="minorBidi"/>
                <w:noProof/>
                <w:sz w:val="22"/>
                <w:szCs w:val="22"/>
              </w:rPr>
              <w:tab/>
            </w:r>
            <w:r w:rsidRPr="00A305AB">
              <w:rPr>
                <w:rStyle w:val="Hyperlink"/>
                <w:noProof/>
              </w:rPr>
              <w:t>PTR Dually Enrolled in Summer Saver</w:t>
            </w:r>
            <w:r>
              <w:rPr>
                <w:noProof/>
                <w:webHidden/>
              </w:rPr>
              <w:tab/>
            </w:r>
            <w:r>
              <w:rPr>
                <w:noProof/>
                <w:webHidden/>
              </w:rPr>
              <w:fldChar w:fldCharType="begin"/>
            </w:r>
            <w:r>
              <w:rPr>
                <w:noProof/>
                <w:webHidden/>
              </w:rPr>
              <w:instrText xml:space="preserve"> PAGEREF _Toc447179827 \h </w:instrText>
            </w:r>
            <w:r>
              <w:rPr>
                <w:noProof/>
                <w:webHidden/>
              </w:rPr>
            </w:r>
            <w:r>
              <w:rPr>
                <w:noProof/>
                <w:webHidden/>
              </w:rPr>
              <w:fldChar w:fldCharType="separate"/>
            </w:r>
            <w:r>
              <w:rPr>
                <w:noProof/>
                <w:webHidden/>
              </w:rPr>
              <w:t>55</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28" w:history="1">
            <w:r w:rsidRPr="00A305AB">
              <w:rPr>
                <w:rStyle w:val="Hyperlink"/>
                <w:noProof/>
                <w14:scene3d>
                  <w14:camera w14:prst="orthographicFront"/>
                  <w14:lightRig w14:rig="threePt" w14:dir="t">
                    <w14:rot w14:lat="0" w14:lon="0" w14:rev="0"/>
                  </w14:lightRig>
                </w14:scene3d>
              </w:rPr>
              <w:t>7.2.3</w:t>
            </w:r>
            <w:r>
              <w:rPr>
                <w:rFonts w:asciiTheme="minorHAnsi" w:eastAsiaTheme="minorEastAsia" w:hAnsiTheme="minorHAnsi" w:cstheme="minorBidi"/>
                <w:noProof/>
                <w:sz w:val="22"/>
                <w:szCs w:val="22"/>
              </w:rPr>
              <w:tab/>
            </w:r>
            <w:r w:rsidRPr="00A305AB">
              <w:rPr>
                <w:rStyle w:val="Hyperlink"/>
                <w:noProof/>
              </w:rPr>
              <w:t>PTRR Dually Enrolled in SCTD</w:t>
            </w:r>
            <w:r>
              <w:rPr>
                <w:noProof/>
                <w:webHidden/>
              </w:rPr>
              <w:tab/>
            </w:r>
            <w:r>
              <w:rPr>
                <w:noProof/>
                <w:webHidden/>
              </w:rPr>
              <w:fldChar w:fldCharType="begin"/>
            </w:r>
            <w:r>
              <w:rPr>
                <w:noProof/>
                <w:webHidden/>
              </w:rPr>
              <w:instrText xml:space="preserve"> PAGEREF _Toc447179828 \h </w:instrText>
            </w:r>
            <w:r>
              <w:rPr>
                <w:noProof/>
                <w:webHidden/>
              </w:rPr>
            </w:r>
            <w:r>
              <w:rPr>
                <w:noProof/>
                <w:webHidden/>
              </w:rPr>
              <w:fldChar w:fldCharType="separate"/>
            </w:r>
            <w:r>
              <w:rPr>
                <w:noProof/>
                <w:webHidden/>
              </w:rPr>
              <w:t>56</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29" w:history="1">
            <w:r w:rsidRPr="00A305AB">
              <w:rPr>
                <w:rStyle w:val="Hyperlink"/>
                <w:noProof/>
                <w14:scene3d>
                  <w14:camera w14:prst="orthographicFront"/>
                  <w14:lightRig w14:rig="threePt" w14:dir="t">
                    <w14:rot w14:lat="0" w14:lon="0" w14:rev="0"/>
                  </w14:lightRig>
                </w14:scene3d>
              </w:rPr>
              <w:t>7.2.4</w:t>
            </w:r>
            <w:r>
              <w:rPr>
                <w:rFonts w:asciiTheme="minorHAnsi" w:eastAsiaTheme="minorEastAsia" w:hAnsiTheme="minorHAnsi" w:cstheme="minorBidi"/>
                <w:noProof/>
                <w:sz w:val="22"/>
                <w:szCs w:val="22"/>
              </w:rPr>
              <w:tab/>
            </w:r>
            <w:r w:rsidRPr="00A305AB">
              <w:rPr>
                <w:rStyle w:val="Hyperlink"/>
                <w:noProof/>
              </w:rPr>
              <w:t>SCTD Only</w:t>
            </w:r>
            <w:r>
              <w:rPr>
                <w:noProof/>
                <w:webHidden/>
              </w:rPr>
              <w:tab/>
            </w:r>
            <w:r>
              <w:rPr>
                <w:noProof/>
                <w:webHidden/>
              </w:rPr>
              <w:fldChar w:fldCharType="begin"/>
            </w:r>
            <w:r>
              <w:rPr>
                <w:noProof/>
                <w:webHidden/>
              </w:rPr>
              <w:instrText xml:space="preserve"> PAGEREF _Toc447179829 \h </w:instrText>
            </w:r>
            <w:r>
              <w:rPr>
                <w:noProof/>
                <w:webHidden/>
              </w:rPr>
            </w:r>
            <w:r>
              <w:rPr>
                <w:noProof/>
                <w:webHidden/>
              </w:rPr>
              <w:fldChar w:fldCharType="separate"/>
            </w:r>
            <w:r>
              <w:rPr>
                <w:noProof/>
                <w:webHidden/>
              </w:rPr>
              <w:t>57</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30" w:history="1">
            <w:r w:rsidRPr="00A305AB">
              <w:rPr>
                <w:rStyle w:val="Hyperlink"/>
                <w:noProof/>
                <w14:scene3d>
                  <w14:camera w14:prst="orthographicFront"/>
                  <w14:lightRig w14:rig="threePt" w14:dir="t">
                    <w14:rot w14:lat="0" w14:lon="0" w14:rev="0"/>
                  </w14:lightRig>
                </w14:scene3d>
              </w:rPr>
              <w:t>7.2.5</w:t>
            </w:r>
            <w:r>
              <w:rPr>
                <w:rFonts w:asciiTheme="minorHAnsi" w:eastAsiaTheme="minorEastAsia" w:hAnsiTheme="minorHAnsi" w:cstheme="minorBidi"/>
                <w:noProof/>
                <w:sz w:val="22"/>
                <w:szCs w:val="22"/>
              </w:rPr>
              <w:tab/>
            </w:r>
            <w:r w:rsidRPr="00A305AB">
              <w:rPr>
                <w:rStyle w:val="Hyperlink"/>
                <w:noProof/>
              </w:rPr>
              <w:t>Comparison of 2015 and 2014 Ex Ante Estimates</w:t>
            </w:r>
            <w:r>
              <w:rPr>
                <w:noProof/>
                <w:webHidden/>
              </w:rPr>
              <w:tab/>
            </w:r>
            <w:r>
              <w:rPr>
                <w:noProof/>
                <w:webHidden/>
              </w:rPr>
              <w:fldChar w:fldCharType="begin"/>
            </w:r>
            <w:r>
              <w:rPr>
                <w:noProof/>
                <w:webHidden/>
              </w:rPr>
              <w:instrText xml:space="preserve"> PAGEREF _Toc447179830 \h </w:instrText>
            </w:r>
            <w:r>
              <w:rPr>
                <w:noProof/>
                <w:webHidden/>
              </w:rPr>
            </w:r>
            <w:r>
              <w:rPr>
                <w:noProof/>
                <w:webHidden/>
              </w:rPr>
              <w:fldChar w:fldCharType="separate"/>
            </w:r>
            <w:r>
              <w:rPr>
                <w:noProof/>
                <w:webHidden/>
              </w:rPr>
              <w:t>57</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31" w:history="1">
            <w:r w:rsidRPr="00A305AB">
              <w:rPr>
                <w:rStyle w:val="Hyperlink"/>
                <w:noProof/>
              </w:rPr>
              <w:t>7.3</w:t>
            </w:r>
            <w:r>
              <w:rPr>
                <w:rFonts w:asciiTheme="minorHAnsi" w:eastAsiaTheme="minorEastAsia" w:hAnsiTheme="minorHAnsi" w:cstheme="minorBidi"/>
                <w:noProof/>
                <w:sz w:val="22"/>
                <w:szCs w:val="22"/>
              </w:rPr>
              <w:tab/>
            </w:r>
            <w:r w:rsidRPr="00A305AB">
              <w:rPr>
                <w:rStyle w:val="Hyperlink"/>
                <w:noProof/>
              </w:rPr>
              <w:t>Relationship between Ex Post and Ex Ante Estimates</w:t>
            </w:r>
            <w:r>
              <w:rPr>
                <w:noProof/>
                <w:webHidden/>
              </w:rPr>
              <w:tab/>
            </w:r>
            <w:r>
              <w:rPr>
                <w:noProof/>
                <w:webHidden/>
              </w:rPr>
              <w:fldChar w:fldCharType="begin"/>
            </w:r>
            <w:r>
              <w:rPr>
                <w:noProof/>
                <w:webHidden/>
              </w:rPr>
              <w:instrText xml:space="preserve"> PAGEREF _Toc447179831 \h </w:instrText>
            </w:r>
            <w:r>
              <w:rPr>
                <w:noProof/>
                <w:webHidden/>
              </w:rPr>
            </w:r>
            <w:r>
              <w:rPr>
                <w:noProof/>
                <w:webHidden/>
              </w:rPr>
              <w:fldChar w:fldCharType="separate"/>
            </w:r>
            <w:r>
              <w:rPr>
                <w:noProof/>
                <w:webHidden/>
              </w:rPr>
              <w:t>59</w:t>
            </w:r>
            <w:r>
              <w:rPr>
                <w:noProof/>
                <w:webHidden/>
              </w:rPr>
              <w:fldChar w:fldCharType="end"/>
            </w:r>
          </w:hyperlink>
        </w:p>
        <w:p w:rsidR="0024252A" w:rsidRDefault="0024252A">
          <w:pPr>
            <w:pStyle w:val="TOC1"/>
            <w:tabs>
              <w:tab w:val="left" w:pos="480"/>
              <w:tab w:val="right" w:leader="dot" w:pos="9350"/>
            </w:tabs>
            <w:rPr>
              <w:rFonts w:asciiTheme="minorHAnsi" w:eastAsiaTheme="minorEastAsia" w:hAnsiTheme="minorHAnsi" w:cstheme="minorBidi"/>
              <w:noProof/>
              <w:sz w:val="22"/>
              <w:szCs w:val="22"/>
            </w:rPr>
          </w:pPr>
          <w:hyperlink w:anchor="_Toc447179832" w:history="1">
            <w:r w:rsidRPr="00A305AB">
              <w:rPr>
                <w:rStyle w:val="Hyperlink"/>
                <w:noProof/>
              </w:rPr>
              <w:t>8</w:t>
            </w:r>
            <w:r>
              <w:rPr>
                <w:rFonts w:asciiTheme="minorHAnsi" w:eastAsiaTheme="minorEastAsia" w:hAnsiTheme="minorHAnsi" w:cstheme="minorBidi"/>
                <w:noProof/>
                <w:sz w:val="22"/>
                <w:szCs w:val="22"/>
              </w:rPr>
              <w:tab/>
            </w:r>
            <w:r w:rsidRPr="00A305AB">
              <w:rPr>
                <w:rStyle w:val="Hyperlink"/>
                <w:noProof/>
              </w:rPr>
              <w:t>Permanent Load Shifting</w:t>
            </w:r>
            <w:r>
              <w:rPr>
                <w:noProof/>
                <w:webHidden/>
              </w:rPr>
              <w:tab/>
            </w:r>
            <w:r>
              <w:rPr>
                <w:noProof/>
                <w:webHidden/>
              </w:rPr>
              <w:fldChar w:fldCharType="begin"/>
            </w:r>
            <w:r>
              <w:rPr>
                <w:noProof/>
                <w:webHidden/>
              </w:rPr>
              <w:instrText xml:space="preserve"> PAGEREF _Toc447179832 \h </w:instrText>
            </w:r>
            <w:r>
              <w:rPr>
                <w:noProof/>
                <w:webHidden/>
              </w:rPr>
            </w:r>
            <w:r>
              <w:rPr>
                <w:noProof/>
                <w:webHidden/>
              </w:rPr>
              <w:fldChar w:fldCharType="separate"/>
            </w:r>
            <w:r>
              <w:rPr>
                <w:noProof/>
                <w:webHidden/>
              </w:rPr>
              <w:t>63</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33" w:history="1">
            <w:r w:rsidRPr="00A305AB">
              <w:rPr>
                <w:rStyle w:val="Hyperlink"/>
                <w:noProof/>
              </w:rPr>
              <w:t>8.1</w:t>
            </w:r>
            <w:r>
              <w:rPr>
                <w:rFonts w:asciiTheme="minorHAnsi" w:eastAsiaTheme="minorEastAsia" w:hAnsiTheme="minorHAnsi" w:cstheme="minorBidi"/>
                <w:noProof/>
                <w:sz w:val="22"/>
                <w:szCs w:val="22"/>
              </w:rPr>
              <w:tab/>
            </w:r>
            <w:r w:rsidRPr="00A305AB">
              <w:rPr>
                <w:rStyle w:val="Hyperlink"/>
                <w:noProof/>
              </w:rPr>
              <w:t>PLS Program Overview</w:t>
            </w:r>
            <w:r>
              <w:rPr>
                <w:noProof/>
                <w:webHidden/>
              </w:rPr>
              <w:tab/>
            </w:r>
            <w:r>
              <w:rPr>
                <w:noProof/>
                <w:webHidden/>
              </w:rPr>
              <w:fldChar w:fldCharType="begin"/>
            </w:r>
            <w:r>
              <w:rPr>
                <w:noProof/>
                <w:webHidden/>
              </w:rPr>
              <w:instrText xml:space="preserve"> PAGEREF _Toc447179833 \h </w:instrText>
            </w:r>
            <w:r>
              <w:rPr>
                <w:noProof/>
                <w:webHidden/>
              </w:rPr>
            </w:r>
            <w:r>
              <w:rPr>
                <w:noProof/>
                <w:webHidden/>
              </w:rPr>
              <w:fldChar w:fldCharType="separate"/>
            </w:r>
            <w:r>
              <w:rPr>
                <w:noProof/>
                <w:webHidden/>
              </w:rPr>
              <w:t>63</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34" w:history="1">
            <w:r w:rsidRPr="00A305AB">
              <w:rPr>
                <w:rStyle w:val="Hyperlink"/>
                <w:noProof/>
              </w:rPr>
              <w:t>8.2</w:t>
            </w:r>
            <w:r>
              <w:rPr>
                <w:rFonts w:asciiTheme="minorHAnsi" w:eastAsiaTheme="minorEastAsia" w:hAnsiTheme="minorHAnsi" w:cstheme="minorBidi"/>
                <w:noProof/>
                <w:sz w:val="22"/>
                <w:szCs w:val="22"/>
              </w:rPr>
              <w:tab/>
            </w:r>
            <w:r w:rsidRPr="00A305AB">
              <w:rPr>
                <w:rStyle w:val="Hyperlink"/>
                <w:noProof/>
              </w:rPr>
              <w:t>PLS Ex-Ante Evaluation Methodology</w:t>
            </w:r>
            <w:r>
              <w:rPr>
                <w:noProof/>
                <w:webHidden/>
              </w:rPr>
              <w:tab/>
            </w:r>
            <w:r>
              <w:rPr>
                <w:noProof/>
                <w:webHidden/>
              </w:rPr>
              <w:fldChar w:fldCharType="begin"/>
            </w:r>
            <w:r>
              <w:rPr>
                <w:noProof/>
                <w:webHidden/>
              </w:rPr>
              <w:instrText xml:space="preserve"> PAGEREF _Toc447179834 \h </w:instrText>
            </w:r>
            <w:r>
              <w:rPr>
                <w:noProof/>
                <w:webHidden/>
              </w:rPr>
            </w:r>
            <w:r>
              <w:rPr>
                <w:noProof/>
                <w:webHidden/>
              </w:rPr>
              <w:fldChar w:fldCharType="separate"/>
            </w:r>
            <w:r>
              <w:rPr>
                <w:noProof/>
                <w:webHidden/>
              </w:rPr>
              <w:t>64</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35" w:history="1">
            <w:r w:rsidRPr="00A305AB">
              <w:rPr>
                <w:rStyle w:val="Hyperlink"/>
                <w:noProof/>
              </w:rPr>
              <w:t>8.3</w:t>
            </w:r>
            <w:r>
              <w:rPr>
                <w:rFonts w:asciiTheme="minorHAnsi" w:eastAsiaTheme="minorEastAsia" w:hAnsiTheme="minorHAnsi" w:cstheme="minorBidi"/>
                <w:noProof/>
                <w:sz w:val="22"/>
                <w:szCs w:val="22"/>
              </w:rPr>
              <w:tab/>
            </w:r>
            <w:r w:rsidRPr="00A305AB">
              <w:rPr>
                <w:rStyle w:val="Hyperlink"/>
                <w:noProof/>
              </w:rPr>
              <w:t>Estimating Ex-Ante Weather Conditions</w:t>
            </w:r>
            <w:r>
              <w:rPr>
                <w:noProof/>
                <w:webHidden/>
              </w:rPr>
              <w:tab/>
            </w:r>
            <w:r>
              <w:rPr>
                <w:noProof/>
                <w:webHidden/>
              </w:rPr>
              <w:fldChar w:fldCharType="begin"/>
            </w:r>
            <w:r>
              <w:rPr>
                <w:noProof/>
                <w:webHidden/>
              </w:rPr>
              <w:instrText xml:space="preserve"> PAGEREF _Toc447179835 \h </w:instrText>
            </w:r>
            <w:r>
              <w:rPr>
                <w:noProof/>
                <w:webHidden/>
              </w:rPr>
            </w:r>
            <w:r>
              <w:rPr>
                <w:noProof/>
                <w:webHidden/>
              </w:rPr>
              <w:fldChar w:fldCharType="separate"/>
            </w:r>
            <w:r>
              <w:rPr>
                <w:noProof/>
                <w:webHidden/>
              </w:rPr>
              <w:t>67</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36" w:history="1">
            <w:r w:rsidRPr="00A305AB">
              <w:rPr>
                <w:rStyle w:val="Hyperlink"/>
                <w:noProof/>
              </w:rPr>
              <w:t>8.4</w:t>
            </w:r>
            <w:r>
              <w:rPr>
                <w:rFonts w:asciiTheme="minorHAnsi" w:eastAsiaTheme="minorEastAsia" w:hAnsiTheme="minorHAnsi" w:cstheme="minorBidi"/>
                <w:noProof/>
                <w:sz w:val="22"/>
                <w:szCs w:val="22"/>
              </w:rPr>
              <w:tab/>
            </w:r>
            <w:r w:rsidRPr="00A305AB">
              <w:rPr>
                <w:rStyle w:val="Hyperlink"/>
                <w:noProof/>
              </w:rPr>
              <w:t>PLS Ex-Ante Load Impact Estimates</w:t>
            </w:r>
            <w:r>
              <w:rPr>
                <w:noProof/>
                <w:webHidden/>
              </w:rPr>
              <w:tab/>
            </w:r>
            <w:r>
              <w:rPr>
                <w:noProof/>
                <w:webHidden/>
              </w:rPr>
              <w:fldChar w:fldCharType="begin"/>
            </w:r>
            <w:r>
              <w:rPr>
                <w:noProof/>
                <w:webHidden/>
              </w:rPr>
              <w:instrText xml:space="preserve"> PAGEREF _Toc447179836 \h </w:instrText>
            </w:r>
            <w:r>
              <w:rPr>
                <w:noProof/>
                <w:webHidden/>
              </w:rPr>
            </w:r>
            <w:r>
              <w:rPr>
                <w:noProof/>
                <w:webHidden/>
              </w:rPr>
              <w:fldChar w:fldCharType="separate"/>
            </w:r>
            <w:r>
              <w:rPr>
                <w:noProof/>
                <w:webHidden/>
              </w:rPr>
              <w:t>68</w:t>
            </w:r>
            <w:r>
              <w:rPr>
                <w:noProof/>
                <w:webHidden/>
              </w:rPr>
              <w:fldChar w:fldCharType="end"/>
            </w:r>
          </w:hyperlink>
        </w:p>
        <w:p w:rsidR="0024252A" w:rsidRDefault="0024252A">
          <w:pPr>
            <w:pStyle w:val="TOC1"/>
            <w:tabs>
              <w:tab w:val="left" w:pos="480"/>
              <w:tab w:val="right" w:leader="dot" w:pos="9350"/>
            </w:tabs>
            <w:rPr>
              <w:rFonts w:asciiTheme="minorHAnsi" w:eastAsiaTheme="minorEastAsia" w:hAnsiTheme="minorHAnsi" w:cstheme="minorBidi"/>
              <w:noProof/>
              <w:sz w:val="22"/>
              <w:szCs w:val="22"/>
            </w:rPr>
          </w:pPr>
          <w:hyperlink w:anchor="_Toc447179837" w:history="1">
            <w:r w:rsidRPr="00A305AB">
              <w:rPr>
                <w:rStyle w:val="Hyperlink"/>
                <w:noProof/>
              </w:rPr>
              <w:t>9</w:t>
            </w:r>
            <w:r>
              <w:rPr>
                <w:rFonts w:asciiTheme="minorHAnsi" w:eastAsiaTheme="minorEastAsia" w:hAnsiTheme="minorHAnsi" w:cstheme="minorBidi"/>
                <w:noProof/>
                <w:sz w:val="22"/>
                <w:szCs w:val="22"/>
              </w:rPr>
              <w:tab/>
            </w:r>
            <w:r w:rsidRPr="00A305AB">
              <w:rPr>
                <w:rStyle w:val="Hyperlink"/>
                <w:noProof/>
              </w:rPr>
              <w:t>SPP Rates</w:t>
            </w:r>
            <w:r>
              <w:rPr>
                <w:noProof/>
                <w:webHidden/>
              </w:rPr>
              <w:tab/>
            </w:r>
            <w:r>
              <w:rPr>
                <w:noProof/>
                <w:webHidden/>
              </w:rPr>
              <w:fldChar w:fldCharType="begin"/>
            </w:r>
            <w:r>
              <w:rPr>
                <w:noProof/>
                <w:webHidden/>
              </w:rPr>
              <w:instrText xml:space="preserve"> PAGEREF _Toc447179837 \h </w:instrText>
            </w:r>
            <w:r>
              <w:rPr>
                <w:noProof/>
                <w:webHidden/>
              </w:rPr>
            </w:r>
            <w:r>
              <w:rPr>
                <w:noProof/>
                <w:webHidden/>
              </w:rPr>
              <w:fldChar w:fldCharType="separate"/>
            </w:r>
            <w:r>
              <w:rPr>
                <w:noProof/>
                <w:webHidden/>
              </w:rPr>
              <w:t>69</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38" w:history="1">
            <w:r w:rsidRPr="00A305AB">
              <w:rPr>
                <w:rStyle w:val="Hyperlink"/>
                <w:noProof/>
              </w:rPr>
              <w:t>9.1</w:t>
            </w:r>
            <w:r>
              <w:rPr>
                <w:rFonts w:asciiTheme="minorHAnsi" w:eastAsiaTheme="minorEastAsia" w:hAnsiTheme="minorHAnsi" w:cstheme="minorBidi"/>
                <w:noProof/>
                <w:sz w:val="22"/>
                <w:szCs w:val="22"/>
              </w:rPr>
              <w:tab/>
            </w:r>
            <w:r w:rsidRPr="00A305AB">
              <w:rPr>
                <w:rStyle w:val="Hyperlink"/>
                <w:noProof/>
              </w:rPr>
              <w:t>Small Commercial SPP Rates Overview</w:t>
            </w:r>
            <w:r>
              <w:rPr>
                <w:noProof/>
                <w:webHidden/>
              </w:rPr>
              <w:tab/>
            </w:r>
            <w:r>
              <w:rPr>
                <w:noProof/>
                <w:webHidden/>
              </w:rPr>
              <w:fldChar w:fldCharType="begin"/>
            </w:r>
            <w:r>
              <w:rPr>
                <w:noProof/>
                <w:webHidden/>
              </w:rPr>
              <w:instrText xml:space="preserve"> PAGEREF _Toc447179838 \h </w:instrText>
            </w:r>
            <w:r>
              <w:rPr>
                <w:noProof/>
                <w:webHidden/>
              </w:rPr>
            </w:r>
            <w:r>
              <w:rPr>
                <w:noProof/>
                <w:webHidden/>
              </w:rPr>
              <w:fldChar w:fldCharType="separate"/>
            </w:r>
            <w:r>
              <w:rPr>
                <w:noProof/>
                <w:webHidden/>
              </w:rPr>
              <w:t>69</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39" w:history="1">
            <w:r w:rsidRPr="00A305AB">
              <w:rPr>
                <w:rStyle w:val="Hyperlink"/>
                <w:noProof/>
              </w:rPr>
              <w:t>9.2</w:t>
            </w:r>
            <w:r>
              <w:rPr>
                <w:rFonts w:asciiTheme="minorHAnsi" w:eastAsiaTheme="minorEastAsia" w:hAnsiTheme="minorHAnsi" w:cstheme="minorBidi"/>
                <w:noProof/>
                <w:sz w:val="22"/>
                <w:szCs w:val="22"/>
              </w:rPr>
              <w:tab/>
            </w:r>
            <w:r w:rsidRPr="00A305AB">
              <w:rPr>
                <w:rStyle w:val="Hyperlink"/>
                <w:noProof/>
              </w:rPr>
              <w:t>Residential SPP Rates Overview</w:t>
            </w:r>
            <w:r>
              <w:rPr>
                <w:noProof/>
                <w:webHidden/>
              </w:rPr>
              <w:tab/>
            </w:r>
            <w:r>
              <w:rPr>
                <w:noProof/>
                <w:webHidden/>
              </w:rPr>
              <w:fldChar w:fldCharType="begin"/>
            </w:r>
            <w:r>
              <w:rPr>
                <w:noProof/>
                <w:webHidden/>
              </w:rPr>
              <w:instrText xml:space="preserve"> PAGEREF _Toc447179839 \h </w:instrText>
            </w:r>
            <w:r>
              <w:rPr>
                <w:noProof/>
                <w:webHidden/>
              </w:rPr>
            </w:r>
            <w:r>
              <w:rPr>
                <w:noProof/>
                <w:webHidden/>
              </w:rPr>
              <w:fldChar w:fldCharType="separate"/>
            </w:r>
            <w:r>
              <w:rPr>
                <w:noProof/>
                <w:webHidden/>
              </w:rPr>
              <w:t>70</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40" w:history="1">
            <w:r w:rsidRPr="00A305AB">
              <w:rPr>
                <w:rStyle w:val="Hyperlink"/>
                <w:noProof/>
              </w:rPr>
              <w:t>9.1</w:t>
            </w:r>
            <w:r>
              <w:rPr>
                <w:rFonts w:asciiTheme="minorHAnsi" w:eastAsiaTheme="minorEastAsia" w:hAnsiTheme="minorHAnsi" w:cstheme="minorBidi"/>
                <w:noProof/>
                <w:sz w:val="22"/>
                <w:szCs w:val="22"/>
              </w:rPr>
              <w:tab/>
            </w:r>
            <w:r w:rsidRPr="00A305AB">
              <w:rPr>
                <w:rStyle w:val="Hyperlink"/>
                <w:noProof/>
              </w:rPr>
              <w:t>SDG&amp;E’s Implementation of Time Varying Rates</w:t>
            </w:r>
            <w:r>
              <w:rPr>
                <w:noProof/>
                <w:webHidden/>
              </w:rPr>
              <w:tab/>
            </w:r>
            <w:r>
              <w:rPr>
                <w:noProof/>
                <w:webHidden/>
              </w:rPr>
              <w:fldChar w:fldCharType="begin"/>
            </w:r>
            <w:r>
              <w:rPr>
                <w:noProof/>
                <w:webHidden/>
              </w:rPr>
              <w:instrText xml:space="preserve"> PAGEREF _Toc447179840 \h </w:instrText>
            </w:r>
            <w:r>
              <w:rPr>
                <w:noProof/>
                <w:webHidden/>
              </w:rPr>
            </w:r>
            <w:r>
              <w:rPr>
                <w:noProof/>
                <w:webHidden/>
              </w:rPr>
              <w:fldChar w:fldCharType="separate"/>
            </w:r>
            <w:r>
              <w:rPr>
                <w:noProof/>
                <w:webHidden/>
              </w:rPr>
              <w:t>71</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41" w:history="1">
            <w:r w:rsidRPr="00A305AB">
              <w:rPr>
                <w:rStyle w:val="Hyperlink"/>
                <w:noProof/>
              </w:rPr>
              <w:t>9.2</w:t>
            </w:r>
            <w:r>
              <w:rPr>
                <w:rFonts w:asciiTheme="minorHAnsi" w:eastAsiaTheme="minorEastAsia" w:hAnsiTheme="minorHAnsi" w:cstheme="minorBidi"/>
                <w:noProof/>
                <w:sz w:val="22"/>
                <w:szCs w:val="22"/>
              </w:rPr>
              <w:tab/>
            </w:r>
            <w:r w:rsidRPr="00A305AB">
              <w:rPr>
                <w:rStyle w:val="Hyperlink"/>
                <w:noProof/>
              </w:rPr>
              <w:t>Small Commercial SPP Ex-Post Evaluation Design and Methodology</w:t>
            </w:r>
            <w:r>
              <w:rPr>
                <w:noProof/>
                <w:webHidden/>
              </w:rPr>
              <w:tab/>
            </w:r>
            <w:r>
              <w:rPr>
                <w:noProof/>
                <w:webHidden/>
              </w:rPr>
              <w:fldChar w:fldCharType="begin"/>
            </w:r>
            <w:r>
              <w:rPr>
                <w:noProof/>
                <w:webHidden/>
              </w:rPr>
              <w:instrText xml:space="preserve"> PAGEREF _Toc447179841 \h </w:instrText>
            </w:r>
            <w:r>
              <w:rPr>
                <w:noProof/>
                <w:webHidden/>
              </w:rPr>
            </w:r>
            <w:r>
              <w:rPr>
                <w:noProof/>
                <w:webHidden/>
              </w:rPr>
              <w:fldChar w:fldCharType="separate"/>
            </w:r>
            <w:r>
              <w:rPr>
                <w:noProof/>
                <w:webHidden/>
              </w:rPr>
              <w:t>72</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42" w:history="1">
            <w:r w:rsidRPr="00A305AB">
              <w:rPr>
                <w:rStyle w:val="Hyperlink"/>
                <w:noProof/>
              </w:rPr>
              <w:t>9.2.1</w:t>
            </w:r>
            <w:r>
              <w:rPr>
                <w:rFonts w:asciiTheme="minorHAnsi" w:eastAsiaTheme="minorEastAsia" w:hAnsiTheme="minorHAnsi" w:cstheme="minorBidi"/>
                <w:noProof/>
                <w:sz w:val="22"/>
                <w:szCs w:val="22"/>
              </w:rPr>
              <w:tab/>
            </w:r>
            <w:r w:rsidRPr="00A305AB">
              <w:rPr>
                <w:rStyle w:val="Hyperlink"/>
                <w:noProof/>
              </w:rPr>
              <w:t>Statistical Matching</w:t>
            </w:r>
            <w:r>
              <w:rPr>
                <w:noProof/>
                <w:webHidden/>
              </w:rPr>
              <w:tab/>
            </w:r>
            <w:r>
              <w:rPr>
                <w:noProof/>
                <w:webHidden/>
              </w:rPr>
              <w:fldChar w:fldCharType="begin"/>
            </w:r>
            <w:r>
              <w:rPr>
                <w:noProof/>
                <w:webHidden/>
              </w:rPr>
              <w:instrText xml:space="preserve"> PAGEREF _Toc447179842 \h </w:instrText>
            </w:r>
            <w:r>
              <w:rPr>
                <w:noProof/>
                <w:webHidden/>
              </w:rPr>
            </w:r>
            <w:r>
              <w:rPr>
                <w:noProof/>
                <w:webHidden/>
              </w:rPr>
              <w:fldChar w:fldCharType="separate"/>
            </w:r>
            <w:r>
              <w:rPr>
                <w:noProof/>
                <w:webHidden/>
              </w:rPr>
              <w:t>72</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43" w:history="1">
            <w:r w:rsidRPr="00A305AB">
              <w:rPr>
                <w:rStyle w:val="Hyperlink"/>
                <w:noProof/>
              </w:rPr>
              <w:t>9.2.2</w:t>
            </w:r>
            <w:r>
              <w:rPr>
                <w:rFonts w:asciiTheme="minorHAnsi" w:eastAsiaTheme="minorEastAsia" w:hAnsiTheme="minorHAnsi" w:cstheme="minorBidi"/>
                <w:noProof/>
                <w:sz w:val="22"/>
                <w:szCs w:val="22"/>
              </w:rPr>
              <w:tab/>
            </w:r>
            <w:r w:rsidRPr="00A305AB">
              <w:rPr>
                <w:rStyle w:val="Hyperlink"/>
                <w:noProof/>
              </w:rPr>
              <w:t>Difference in Differences</w:t>
            </w:r>
            <w:r>
              <w:rPr>
                <w:noProof/>
                <w:webHidden/>
              </w:rPr>
              <w:tab/>
            </w:r>
            <w:r>
              <w:rPr>
                <w:noProof/>
                <w:webHidden/>
              </w:rPr>
              <w:fldChar w:fldCharType="begin"/>
            </w:r>
            <w:r>
              <w:rPr>
                <w:noProof/>
                <w:webHidden/>
              </w:rPr>
              <w:instrText xml:space="preserve"> PAGEREF _Toc447179843 \h </w:instrText>
            </w:r>
            <w:r>
              <w:rPr>
                <w:noProof/>
                <w:webHidden/>
              </w:rPr>
            </w:r>
            <w:r>
              <w:rPr>
                <w:noProof/>
                <w:webHidden/>
              </w:rPr>
              <w:fldChar w:fldCharType="separate"/>
            </w:r>
            <w:r>
              <w:rPr>
                <w:noProof/>
                <w:webHidden/>
              </w:rPr>
              <w:t>72</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44" w:history="1">
            <w:r w:rsidRPr="00A305AB">
              <w:rPr>
                <w:rStyle w:val="Hyperlink"/>
                <w:noProof/>
              </w:rPr>
              <w:t>9.3</w:t>
            </w:r>
            <w:r>
              <w:rPr>
                <w:rFonts w:asciiTheme="minorHAnsi" w:eastAsiaTheme="minorEastAsia" w:hAnsiTheme="minorHAnsi" w:cstheme="minorBidi"/>
                <w:noProof/>
                <w:sz w:val="22"/>
                <w:szCs w:val="22"/>
              </w:rPr>
              <w:tab/>
            </w:r>
            <w:r w:rsidRPr="00A305AB">
              <w:rPr>
                <w:rStyle w:val="Hyperlink"/>
                <w:noProof/>
              </w:rPr>
              <w:t>Small Commercial SPP Rates Ex-Post Load Impact Estimates</w:t>
            </w:r>
            <w:r>
              <w:rPr>
                <w:noProof/>
                <w:webHidden/>
              </w:rPr>
              <w:tab/>
            </w:r>
            <w:r>
              <w:rPr>
                <w:noProof/>
                <w:webHidden/>
              </w:rPr>
              <w:fldChar w:fldCharType="begin"/>
            </w:r>
            <w:r>
              <w:rPr>
                <w:noProof/>
                <w:webHidden/>
              </w:rPr>
              <w:instrText xml:space="preserve"> PAGEREF _Toc447179844 \h </w:instrText>
            </w:r>
            <w:r>
              <w:rPr>
                <w:noProof/>
                <w:webHidden/>
              </w:rPr>
            </w:r>
            <w:r>
              <w:rPr>
                <w:noProof/>
                <w:webHidden/>
              </w:rPr>
              <w:fldChar w:fldCharType="separate"/>
            </w:r>
            <w:r>
              <w:rPr>
                <w:noProof/>
                <w:webHidden/>
              </w:rPr>
              <w:t>73</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45" w:history="1">
            <w:r w:rsidRPr="00A305AB">
              <w:rPr>
                <w:rStyle w:val="Hyperlink"/>
                <w:noProof/>
              </w:rPr>
              <w:t>9.3.1</w:t>
            </w:r>
            <w:r>
              <w:rPr>
                <w:rFonts w:asciiTheme="minorHAnsi" w:eastAsiaTheme="minorEastAsia" w:hAnsiTheme="minorHAnsi" w:cstheme="minorBidi"/>
                <w:noProof/>
                <w:sz w:val="22"/>
                <w:szCs w:val="22"/>
              </w:rPr>
              <w:tab/>
            </w:r>
            <w:r w:rsidRPr="00A305AB">
              <w:rPr>
                <w:rStyle w:val="Hyperlink"/>
                <w:noProof/>
              </w:rPr>
              <w:t>TOU Results</w:t>
            </w:r>
            <w:r>
              <w:rPr>
                <w:noProof/>
                <w:webHidden/>
              </w:rPr>
              <w:tab/>
            </w:r>
            <w:r>
              <w:rPr>
                <w:noProof/>
                <w:webHidden/>
              </w:rPr>
              <w:fldChar w:fldCharType="begin"/>
            </w:r>
            <w:r>
              <w:rPr>
                <w:noProof/>
                <w:webHidden/>
              </w:rPr>
              <w:instrText xml:space="preserve"> PAGEREF _Toc447179845 \h </w:instrText>
            </w:r>
            <w:r>
              <w:rPr>
                <w:noProof/>
                <w:webHidden/>
              </w:rPr>
            </w:r>
            <w:r>
              <w:rPr>
                <w:noProof/>
                <w:webHidden/>
              </w:rPr>
              <w:fldChar w:fldCharType="separate"/>
            </w:r>
            <w:r>
              <w:rPr>
                <w:noProof/>
                <w:webHidden/>
              </w:rPr>
              <w:t>73</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46" w:history="1">
            <w:r w:rsidRPr="00A305AB">
              <w:rPr>
                <w:rStyle w:val="Hyperlink"/>
                <w:noProof/>
              </w:rPr>
              <w:t>9.4</w:t>
            </w:r>
            <w:r>
              <w:rPr>
                <w:rFonts w:asciiTheme="minorHAnsi" w:eastAsiaTheme="minorEastAsia" w:hAnsiTheme="minorHAnsi" w:cstheme="minorBidi"/>
                <w:noProof/>
                <w:sz w:val="22"/>
                <w:szCs w:val="22"/>
              </w:rPr>
              <w:tab/>
            </w:r>
            <w:r w:rsidRPr="00A305AB">
              <w:rPr>
                <w:rStyle w:val="Hyperlink"/>
                <w:noProof/>
              </w:rPr>
              <w:t>TOU-CPP Results</w:t>
            </w:r>
            <w:r>
              <w:rPr>
                <w:noProof/>
                <w:webHidden/>
              </w:rPr>
              <w:tab/>
            </w:r>
            <w:r>
              <w:rPr>
                <w:noProof/>
                <w:webHidden/>
              </w:rPr>
              <w:fldChar w:fldCharType="begin"/>
            </w:r>
            <w:r>
              <w:rPr>
                <w:noProof/>
                <w:webHidden/>
              </w:rPr>
              <w:instrText xml:space="preserve"> PAGEREF _Toc447179846 \h </w:instrText>
            </w:r>
            <w:r>
              <w:rPr>
                <w:noProof/>
                <w:webHidden/>
              </w:rPr>
            </w:r>
            <w:r>
              <w:rPr>
                <w:noProof/>
                <w:webHidden/>
              </w:rPr>
              <w:fldChar w:fldCharType="separate"/>
            </w:r>
            <w:r>
              <w:rPr>
                <w:noProof/>
                <w:webHidden/>
              </w:rPr>
              <w:t>74</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47" w:history="1">
            <w:r w:rsidRPr="00A305AB">
              <w:rPr>
                <w:rStyle w:val="Hyperlink"/>
                <w:noProof/>
              </w:rPr>
              <w:t>9.4.1</w:t>
            </w:r>
            <w:r>
              <w:rPr>
                <w:rFonts w:asciiTheme="minorHAnsi" w:eastAsiaTheme="minorEastAsia" w:hAnsiTheme="minorHAnsi" w:cstheme="minorBidi"/>
                <w:noProof/>
                <w:sz w:val="22"/>
                <w:szCs w:val="22"/>
              </w:rPr>
              <w:tab/>
            </w:r>
            <w:r w:rsidRPr="00A305AB">
              <w:rPr>
                <w:rStyle w:val="Hyperlink"/>
                <w:noProof/>
              </w:rPr>
              <w:t>Overall Event Day Impacts</w:t>
            </w:r>
            <w:r>
              <w:rPr>
                <w:noProof/>
                <w:webHidden/>
              </w:rPr>
              <w:tab/>
            </w:r>
            <w:r>
              <w:rPr>
                <w:noProof/>
                <w:webHidden/>
              </w:rPr>
              <w:fldChar w:fldCharType="begin"/>
            </w:r>
            <w:r>
              <w:rPr>
                <w:noProof/>
                <w:webHidden/>
              </w:rPr>
              <w:instrText xml:space="preserve"> PAGEREF _Toc447179847 \h </w:instrText>
            </w:r>
            <w:r>
              <w:rPr>
                <w:noProof/>
                <w:webHidden/>
              </w:rPr>
            </w:r>
            <w:r>
              <w:rPr>
                <w:noProof/>
                <w:webHidden/>
              </w:rPr>
              <w:fldChar w:fldCharType="separate"/>
            </w:r>
            <w:r>
              <w:rPr>
                <w:noProof/>
                <w:webHidden/>
              </w:rPr>
              <w:t>74</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48" w:history="1">
            <w:r w:rsidRPr="00A305AB">
              <w:rPr>
                <w:rStyle w:val="Hyperlink"/>
                <w:noProof/>
              </w:rPr>
              <w:t>9.5</w:t>
            </w:r>
            <w:r>
              <w:rPr>
                <w:rFonts w:asciiTheme="minorHAnsi" w:eastAsiaTheme="minorEastAsia" w:hAnsiTheme="minorHAnsi" w:cstheme="minorBidi"/>
                <w:noProof/>
                <w:sz w:val="22"/>
                <w:szCs w:val="22"/>
              </w:rPr>
              <w:tab/>
            </w:r>
            <w:r w:rsidRPr="00A305AB">
              <w:rPr>
                <w:rStyle w:val="Hyperlink"/>
                <w:noProof/>
              </w:rPr>
              <w:t>Small Commercial SPP Ex-Ante Evaluation Methodology</w:t>
            </w:r>
            <w:r>
              <w:rPr>
                <w:noProof/>
                <w:webHidden/>
              </w:rPr>
              <w:tab/>
            </w:r>
            <w:r>
              <w:rPr>
                <w:noProof/>
                <w:webHidden/>
              </w:rPr>
              <w:fldChar w:fldCharType="begin"/>
            </w:r>
            <w:r>
              <w:rPr>
                <w:noProof/>
                <w:webHidden/>
              </w:rPr>
              <w:instrText xml:space="preserve"> PAGEREF _Toc447179848 \h </w:instrText>
            </w:r>
            <w:r>
              <w:rPr>
                <w:noProof/>
                <w:webHidden/>
              </w:rPr>
            </w:r>
            <w:r>
              <w:rPr>
                <w:noProof/>
                <w:webHidden/>
              </w:rPr>
              <w:fldChar w:fldCharType="separate"/>
            </w:r>
            <w:r>
              <w:rPr>
                <w:noProof/>
                <w:webHidden/>
              </w:rPr>
              <w:t>74</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49" w:history="1">
            <w:r w:rsidRPr="00A305AB">
              <w:rPr>
                <w:rStyle w:val="Hyperlink"/>
                <w:noProof/>
              </w:rPr>
              <w:t>9.5.1</w:t>
            </w:r>
            <w:r>
              <w:rPr>
                <w:rFonts w:asciiTheme="minorHAnsi" w:eastAsiaTheme="minorEastAsia" w:hAnsiTheme="minorHAnsi" w:cstheme="minorBidi"/>
                <w:noProof/>
                <w:sz w:val="22"/>
                <w:szCs w:val="22"/>
              </w:rPr>
              <w:tab/>
            </w:r>
            <w:r w:rsidRPr="00A305AB">
              <w:rPr>
                <w:rStyle w:val="Hyperlink"/>
                <w:noProof/>
              </w:rPr>
              <w:t>Enrollment Forecast</w:t>
            </w:r>
            <w:r>
              <w:rPr>
                <w:noProof/>
                <w:webHidden/>
              </w:rPr>
              <w:tab/>
            </w:r>
            <w:r>
              <w:rPr>
                <w:noProof/>
                <w:webHidden/>
              </w:rPr>
              <w:fldChar w:fldCharType="begin"/>
            </w:r>
            <w:r>
              <w:rPr>
                <w:noProof/>
                <w:webHidden/>
              </w:rPr>
              <w:instrText xml:space="preserve"> PAGEREF _Toc447179849 \h </w:instrText>
            </w:r>
            <w:r>
              <w:rPr>
                <w:noProof/>
                <w:webHidden/>
              </w:rPr>
            </w:r>
            <w:r>
              <w:rPr>
                <w:noProof/>
                <w:webHidden/>
              </w:rPr>
              <w:fldChar w:fldCharType="separate"/>
            </w:r>
            <w:r>
              <w:rPr>
                <w:noProof/>
                <w:webHidden/>
              </w:rPr>
              <w:t>74</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50" w:history="1">
            <w:r w:rsidRPr="00A305AB">
              <w:rPr>
                <w:rStyle w:val="Hyperlink"/>
                <w:noProof/>
              </w:rPr>
              <w:t>9.5.2</w:t>
            </w:r>
            <w:r>
              <w:rPr>
                <w:rFonts w:asciiTheme="minorHAnsi" w:eastAsiaTheme="minorEastAsia" w:hAnsiTheme="minorHAnsi" w:cstheme="minorBidi"/>
                <w:noProof/>
                <w:sz w:val="22"/>
                <w:szCs w:val="22"/>
              </w:rPr>
              <w:tab/>
            </w:r>
            <w:r w:rsidRPr="00A305AB">
              <w:rPr>
                <w:rStyle w:val="Hyperlink"/>
                <w:noProof/>
              </w:rPr>
              <w:t>Reference Loads</w:t>
            </w:r>
            <w:r>
              <w:rPr>
                <w:noProof/>
                <w:webHidden/>
              </w:rPr>
              <w:tab/>
            </w:r>
            <w:r>
              <w:rPr>
                <w:noProof/>
                <w:webHidden/>
              </w:rPr>
              <w:fldChar w:fldCharType="begin"/>
            </w:r>
            <w:r>
              <w:rPr>
                <w:noProof/>
                <w:webHidden/>
              </w:rPr>
              <w:instrText xml:space="preserve"> PAGEREF _Toc447179850 \h </w:instrText>
            </w:r>
            <w:r>
              <w:rPr>
                <w:noProof/>
                <w:webHidden/>
              </w:rPr>
            </w:r>
            <w:r>
              <w:rPr>
                <w:noProof/>
                <w:webHidden/>
              </w:rPr>
              <w:fldChar w:fldCharType="separate"/>
            </w:r>
            <w:r>
              <w:rPr>
                <w:noProof/>
                <w:webHidden/>
              </w:rPr>
              <w:t>75</w:t>
            </w:r>
            <w:r>
              <w:rPr>
                <w:noProof/>
                <w:webHidden/>
              </w:rPr>
              <w:fldChar w:fldCharType="end"/>
            </w:r>
          </w:hyperlink>
        </w:p>
        <w:p w:rsidR="0024252A" w:rsidRDefault="0024252A">
          <w:pPr>
            <w:pStyle w:val="TOC2"/>
            <w:tabs>
              <w:tab w:val="left" w:pos="880"/>
              <w:tab w:val="right" w:leader="dot" w:pos="9350"/>
            </w:tabs>
            <w:rPr>
              <w:rFonts w:asciiTheme="minorHAnsi" w:eastAsiaTheme="minorEastAsia" w:hAnsiTheme="minorHAnsi" w:cstheme="minorBidi"/>
              <w:noProof/>
              <w:sz w:val="22"/>
              <w:szCs w:val="22"/>
            </w:rPr>
          </w:pPr>
          <w:hyperlink w:anchor="_Toc447179851" w:history="1">
            <w:r w:rsidRPr="00A305AB">
              <w:rPr>
                <w:rStyle w:val="Hyperlink"/>
                <w:noProof/>
              </w:rPr>
              <w:t>9.6</w:t>
            </w:r>
            <w:r>
              <w:rPr>
                <w:rFonts w:asciiTheme="minorHAnsi" w:eastAsiaTheme="minorEastAsia" w:hAnsiTheme="minorHAnsi" w:cstheme="minorBidi"/>
                <w:noProof/>
                <w:sz w:val="22"/>
                <w:szCs w:val="22"/>
              </w:rPr>
              <w:tab/>
            </w:r>
            <w:r w:rsidRPr="00A305AB">
              <w:rPr>
                <w:rStyle w:val="Hyperlink"/>
                <w:noProof/>
              </w:rPr>
              <w:t>Small Commercial SPP Rates Ex-Ante Load Impact Estimates</w:t>
            </w:r>
            <w:r>
              <w:rPr>
                <w:noProof/>
                <w:webHidden/>
              </w:rPr>
              <w:tab/>
            </w:r>
            <w:r>
              <w:rPr>
                <w:noProof/>
                <w:webHidden/>
              </w:rPr>
              <w:fldChar w:fldCharType="begin"/>
            </w:r>
            <w:r>
              <w:rPr>
                <w:noProof/>
                <w:webHidden/>
              </w:rPr>
              <w:instrText xml:space="preserve"> PAGEREF _Toc447179851 \h </w:instrText>
            </w:r>
            <w:r>
              <w:rPr>
                <w:noProof/>
                <w:webHidden/>
              </w:rPr>
            </w:r>
            <w:r>
              <w:rPr>
                <w:noProof/>
                <w:webHidden/>
              </w:rPr>
              <w:fldChar w:fldCharType="separate"/>
            </w:r>
            <w:r>
              <w:rPr>
                <w:noProof/>
                <w:webHidden/>
              </w:rPr>
              <w:t>76</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52" w:history="1">
            <w:r w:rsidRPr="00A305AB">
              <w:rPr>
                <w:rStyle w:val="Hyperlink"/>
                <w:noProof/>
              </w:rPr>
              <w:t>9.6.1</w:t>
            </w:r>
            <w:r>
              <w:rPr>
                <w:rFonts w:asciiTheme="minorHAnsi" w:eastAsiaTheme="minorEastAsia" w:hAnsiTheme="minorHAnsi" w:cstheme="minorBidi"/>
                <w:noProof/>
                <w:sz w:val="22"/>
                <w:szCs w:val="22"/>
              </w:rPr>
              <w:tab/>
            </w:r>
            <w:r w:rsidRPr="00A305AB">
              <w:rPr>
                <w:rStyle w:val="Hyperlink"/>
                <w:noProof/>
              </w:rPr>
              <w:t>TOU Ex-Ante Load Impact Estimates</w:t>
            </w:r>
            <w:r>
              <w:rPr>
                <w:noProof/>
                <w:webHidden/>
              </w:rPr>
              <w:tab/>
            </w:r>
            <w:r>
              <w:rPr>
                <w:noProof/>
                <w:webHidden/>
              </w:rPr>
              <w:fldChar w:fldCharType="begin"/>
            </w:r>
            <w:r>
              <w:rPr>
                <w:noProof/>
                <w:webHidden/>
              </w:rPr>
              <w:instrText xml:space="preserve"> PAGEREF _Toc447179852 \h </w:instrText>
            </w:r>
            <w:r>
              <w:rPr>
                <w:noProof/>
                <w:webHidden/>
              </w:rPr>
            </w:r>
            <w:r>
              <w:rPr>
                <w:noProof/>
                <w:webHidden/>
              </w:rPr>
              <w:fldChar w:fldCharType="separate"/>
            </w:r>
            <w:r>
              <w:rPr>
                <w:noProof/>
                <w:webHidden/>
              </w:rPr>
              <w:t>77</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53" w:history="1">
            <w:r w:rsidRPr="00A305AB">
              <w:rPr>
                <w:rStyle w:val="Hyperlink"/>
                <w:noProof/>
              </w:rPr>
              <w:t>9.6.2</w:t>
            </w:r>
            <w:r>
              <w:rPr>
                <w:rFonts w:asciiTheme="minorHAnsi" w:eastAsiaTheme="minorEastAsia" w:hAnsiTheme="minorHAnsi" w:cstheme="minorBidi"/>
                <w:noProof/>
                <w:sz w:val="22"/>
                <w:szCs w:val="22"/>
              </w:rPr>
              <w:tab/>
            </w:r>
            <w:r w:rsidRPr="00A305AB">
              <w:rPr>
                <w:rStyle w:val="Hyperlink"/>
                <w:noProof/>
              </w:rPr>
              <w:t>TOU-CPP Ex-Ante Load Impact Estimates</w:t>
            </w:r>
            <w:r>
              <w:rPr>
                <w:noProof/>
                <w:webHidden/>
              </w:rPr>
              <w:tab/>
            </w:r>
            <w:r>
              <w:rPr>
                <w:noProof/>
                <w:webHidden/>
              </w:rPr>
              <w:fldChar w:fldCharType="begin"/>
            </w:r>
            <w:r>
              <w:rPr>
                <w:noProof/>
                <w:webHidden/>
              </w:rPr>
              <w:instrText xml:space="preserve"> PAGEREF _Toc447179853 \h </w:instrText>
            </w:r>
            <w:r>
              <w:rPr>
                <w:noProof/>
                <w:webHidden/>
              </w:rPr>
            </w:r>
            <w:r>
              <w:rPr>
                <w:noProof/>
                <w:webHidden/>
              </w:rPr>
              <w:fldChar w:fldCharType="separate"/>
            </w:r>
            <w:r>
              <w:rPr>
                <w:noProof/>
                <w:webHidden/>
              </w:rPr>
              <w:t>78</w:t>
            </w:r>
            <w:r>
              <w:rPr>
                <w:noProof/>
                <w:webHidden/>
              </w:rPr>
              <w:fldChar w:fldCharType="end"/>
            </w:r>
          </w:hyperlink>
        </w:p>
        <w:p w:rsidR="0024252A" w:rsidRDefault="0024252A">
          <w:pPr>
            <w:pStyle w:val="TOC1"/>
            <w:tabs>
              <w:tab w:val="left" w:pos="480"/>
              <w:tab w:val="right" w:leader="dot" w:pos="9350"/>
            </w:tabs>
            <w:rPr>
              <w:rFonts w:asciiTheme="minorHAnsi" w:eastAsiaTheme="minorEastAsia" w:hAnsiTheme="minorHAnsi" w:cstheme="minorBidi"/>
              <w:noProof/>
              <w:sz w:val="22"/>
              <w:szCs w:val="22"/>
            </w:rPr>
          </w:pPr>
          <w:hyperlink w:anchor="_Toc447179854" w:history="1">
            <w:r w:rsidRPr="00A305AB">
              <w:rPr>
                <w:rStyle w:val="Hyperlink"/>
                <w:noProof/>
              </w:rPr>
              <w:t>10</w:t>
            </w:r>
            <w:r>
              <w:rPr>
                <w:rFonts w:asciiTheme="minorHAnsi" w:eastAsiaTheme="minorEastAsia" w:hAnsiTheme="minorHAnsi" w:cstheme="minorBidi"/>
                <w:noProof/>
                <w:sz w:val="22"/>
                <w:szCs w:val="22"/>
              </w:rPr>
              <w:tab/>
            </w:r>
            <w:r w:rsidRPr="00A305AB">
              <w:rPr>
                <w:rStyle w:val="Hyperlink"/>
                <w:noProof/>
              </w:rPr>
              <w:t>Commercial Thermostats</w:t>
            </w:r>
            <w:r>
              <w:rPr>
                <w:noProof/>
                <w:webHidden/>
              </w:rPr>
              <w:tab/>
            </w:r>
            <w:r>
              <w:rPr>
                <w:noProof/>
                <w:webHidden/>
              </w:rPr>
              <w:fldChar w:fldCharType="begin"/>
            </w:r>
            <w:r>
              <w:rPr>
                <w:noProof/>
                <w:webHidden/>
              </w:rPr>
              <w:instrText xml:space="preserve"> PAGEREF _Toc447179854 \h </w:instrText>
            </w:r>
            <w:r>
              <w:rPr>
                <w:noProof/>
                <w:webHidden/>
              </w:rPr>
            </w:r>
            <w:r>
              <w:rPr>
                <w:noProof/>
                <w:webHidden/>
              </w:rPr>
              <w:fldChar w:fldCharType="separate"/>
            </w:r>
            <w:r>
              <w:rPr>
                <w:noProof/>
                <w:webHidden/>
              </w:rPr>
              <w:t>79</w:t>
            </w:r>
            <w:r>
              <w:rPr>
                <w:noProof/>
                <w:webHidden/>
              </w:rPr>
              <w:fldChar w:fldCharType="end"/>
            </w:r>
          </w:hyperlink>
        </w:p>
        <w:p w:rsidR="0024252A" w:rsidRDefault="0024252A">
          <w:pPr>
            <w:pStyle w:val="TOC2"/>
            <w:tabs>
              <w:tab w:val="left" w:pos="1100"/>
              <w:tab w:val="right" w:leader="dot" w:pos="9350"/>
            </w:tabs>
            <w:rPr>
              <w:rFonts w:asciiTheme="minorHAnsi" w:eastAsiaTheme="minorEastAsia" w:hAnsiTheme="minorHAnsi" w:cstheme="minorBidi"/>
              <w:noProof/>
              <w:sz w:val="22"/>
              <w:szCs w:val="22"/>
            </w:rPr>
          </w:pPr>
          <w:hyperlink w:anchor="_Toc447179855" w:history="1">
            <w:r w:rsidRPr="00A305AB">
              <w:rPr>
                <w:rStyle w:val="Hyperlink"/>
                <w:noProof/>
              </w:rPr>
              <w:t>10.1</w:t>
            </w:r>
            <w:r>
              <w:rPr>
                <w:rFonts w:asciiTheme="minorHAnsi" w:eastAsiaTheme="minorEastAsia" w:hAnsiTheme="minorHAnsi" w:cstheme="minorBidi"/>
                <w:noProof/>
                <w:sz w:val="22"/>
                <w:szCs w:val="22"/>
              </w:rPr>
              <w:tab/>
            </w:r>
            <w:r w:rsidRPr="00A305AB">
              <w:rPr>
                <w:rStyle w:val="Hyperlink"/>
                <w:noProof/>
              </w:rPr>
              <w:t>Commercial Thermostats Overview</w:t>
            </w:r>
            <w:r>
              <w:rPr>
                <w:noProof/>
                <w:webHidden/>
              </w:rPr>
              <w:tab/>
            </w:r>
            <w:r>
              <w:rPr>
                <w:noProof/>
                <w:webHidden/>
              </w:rPr>
              <w:fldChar w:fldCharType="begin"/>
            </w:r>
            <w:r>
              <w:rPr>
                <w:noProof/>
                <w:webHidden/>
              </w:rPr>
              <w:instrText xml:space="preserve"> PAGEREF _Toc447179855 \h </w:instrText>
            </w:r>
            <w:r>
              <w:rPr>
                <w:noProof/>
                <w:webHidden/>
              </w:rPr>
            </w:r>
            <w:r>
              <w:rPr>
                <w:noProof/>
                <w:webHidden/>
              </w:rPr>
              <w:fldChar w:fldCharType="separate"/>
            </w:r>
            <w:r>
              <w:rPr>
                <w:noProof/>
                <w:webHidden/>
              </w:rPr>
              <w:t>79</w:t>
            </w:r>
            <w:r>
              <w:rPr>
                <w:noProof/>
                <w:webHidden/>
              </w:rPr>
              <w:fldChar w:fldCharType="end"/>
            </w:r>
          </w:hyperlink>
        </w:p>
        <w:p w:rsidR="0024252A" w:rsidRDefault="0024252A">
          <w:pPr>
            <w:pStyle w:val="TOC2"/>
            <w:tabs>
              <w:tab w:val="left" w:pos="1100"/>
              <w:tab w:val="right" w:leader="dot" w:pos="9350"/>
            </w:tabs>
            <w:rPr>
              <w:rFonts w:asciiTheme="minorHAnsi" w:eastAsiaTheme="minorEastAsia" w:hAnsiTheme="minorHAnsi" w:cstheme="minorBidi"/>
              <w:noProof/>
              <w:sz w:val="22"/>
              <w:szCs w:val="22"/>
            </w:rPr>
          </w:pPr>
          <w:hyperlink w:anchor="_Toc447179856" w:history="1">
            <w:r w:rsidRPr="00A305AB">
              <w:rPr>
                <w:rStyle w:val="Hyperlink"/>
                <w:noProof/>
              </w:rPr>
              <w:t>10.2</w:t>
            </w:r>
            <w:r>
              <w:rPr>
                <w:rFonts w:asciiTheme="minorHAnsi" w:eastAsiaTheme="minorEastAsia" w:hAnsiTheme="minorHAnsi" w:cstheme="minorBidi"/>
                <w:noProof/>
                <w:sz w:val="22"/>
                <w:szCs w:val="22"/>
              </w:rPr>
              <w:tab/>
            </w:r>
            <w:r w:rsidRPr="00A305AB">
              <w:rPr>
                <w:rStyle w:val="Hyperlink"/>
                <w:noProof/>
              </w:rPr>
              <w:t>Commercial Thermostats Ex-Post Evaluation Methodology and Validation</w:t>
            </w:r>
            <w:r>
              <w:rPr>
                <w:noProof/>
                <w:webHidden/>
              </w:rPr>
              <w:tab/>
            </w:r>
            <w:r>
              <w:rPr>
                <w:noProof/>
                <w:webHidden/>
              </w:rPr>
              <w:fldChar w:fldCharType="begin"/>
            </w:r>
            <w:r>
              <w:rPr>
                <w:noProof/>
                <w:webHidden/>
              </w:rPr>
              <w:instrText xml:space="preserve"> PAGEREF _Toc447179856 \h </w:instrText>
            </w:r>
            <w:r>
              <w:rPr>
                <w:noProof/>
                <w:webHidden/>
              </w:rPr>
            </w:r>
            <w:r>
              <w:rPr>
                <w:noProof/>
                <w:webHidden/>
              </w:rPr>
              <w:fldChar w:fldCharType="separate"/>
            </w:r>
            <w:r>
              <w:rPr>
                <w:noProof/>
                <w:webHidden/>
              </w:rPr>
              <w:t>79</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57" w:history="1">
            <w:r w:rsidRPr="00A305AB">
              <w:rPr>
                <w:rStyle w:val="Hyperlink"/>
                <w:noProof/>
                <w14:scene3d>
                  <w14:camera w14:prst="orthographicFront"/>
                  <w14:lightRig w14:rig="threePt" w14:dir="t">
                    <w14:rot w14:lat="0" w14:lon="0" w14:rev="0"/>
                  </w14:lightRig>
                </w14:scene3d>
              </w:rPr>
              <w:t>10.2.1</w:t>
            </w:r>
            <w:r>
              <w:rPr>
                <w:rFonts w:asciiTheme="minorHAnsi" w:eastAsiaTheme="minorEastAsia" w:hAnsiTheme="minorHAnsi" w:cstheme="minorBidi"/>
                <w:noProof/>
                <w:sz w:val="22"/>
                <w:szCs w:val="22"/>
              </w:rPr>
              <w:tab/>
            </w:r>
            <w:r w:rsidRPr="00A305AB">
              <w:rPr>
                <w:rStyle w:val="Hyperlink"/>
                <w:noProof/>
              </w:rPr>
              <w:t>Matched Control Group Methodology – Commercial</w:t>
            </w:r>
            <w:r>
              <w:rPr>
                <w:noProof/>
                <w:webHidden/>
              </w:rPr>
              <w:tab/>
            </w:r>
            <w:r>
              <w:rPr>
                <w:noProof/>
                <w:webHidden/>
              </w:rPr>
              <w:fldChar w:fldCharType="begin"/>
            </w:r>
            <w:r>
              <w:rPr>
                <w:noProof/>
                <w:webHidden/>
              </w:rPr>
              <w:instrText xml:space="preserve"> PAGEREF _Toc447179857 \h </w:instrText>
            </w:r>
            <w:r>
              <w:rPr>
                <w:noProof/>
                <w:webHidden/>
              </w:rPr>
            </w:r>
            <w:r>
              <w:rPr>
                <w:noProof/>
                <w:webHidden/>
              </w:rPr>
              <w:fldChar w:fldCharType="separate"/>
            </w:r>
            <w:r>
              <w:rPr>
                <w:noProof/>
                <w:webHidden/>
              </w:rPr>
              <w:t>79</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58" w:history="1">
            <w:r w:rsidRPr="00A305AB">
              <w:rPr>
                <w:rStyle w:val="Hyperlink"/>
                <w:noProof/>
                <w14:scene3d>
                  <w14:camera w14:prst="orthographicFront"/>
                  <w14:lightRig w14:rig="threePt" w14:dir="t">
                    <w14:rot w14:lat="0" w14:lon="0" w14:rev="0"/>
                  </w14:lightRig>
                </w14:scene3d>
              </w:rPr>
              <w:t>10.2.2</w:t>
            </w:r>
            <w:r>
              <w:rPr>
                <w:rFonts w:asciiTheme="minorHAnsi" w:eastAsiaTheme="minorEastAsia" w:hAnsiTheme="minorHAnsi" w:cstheme="minorBidi"/>
                <w:noProof/>
                <w:sz w:val="22"/>
                <w:szCs w:val="22"/>
              </w:rPr>
              <w:tab/>
            </w:r>
            <w:r w:rsidRPr="00A305AB">
              <w:rPr>
                <w:rStyle w:val="Hyperlink"/>
                <w:noProof/>
              </w:rPr>
              <w:t>Individual Customer Regression Methodology – Residential</w:t>
            </w:r>
            <w:r>
              <w:rPr>
                <w:noProof/>
                <w:webHidden/>
              </w:rPr>
              <w:tab/>
            </w:r>
            <w:r>
              <w:rPr>
                <w:noProof/>
                <w:webHidden/>
              </w:rPr>
              <w:fldChar w:fldCharType="begin"/>
            </w:r>
            <w:r>
              <w:rPr>
                <w:noProof/>
                <w:webHidden/>
              </w:rPr>
              <w:instrText xml:space="preserve"> PAGEREF _Toc447179858 \h </w:instrText>
            </w:r>
            <w:r>
              <w:rPr>
                <w:noProof/>
                <w:webHidden/>
              </w:rPr>
            </w:r>
            <w:r>
              <w:rPr>
                <w:noProof/>
                <w:webHidden/>
              </w:rPr>
              <w:fldChar w:fldCharType="separate"/>
            </w:r>
            <w:r>
              <w:rPr>
                <w:noProof/>
                <w:webHidden/>
              </w:rPr>
              <w:t>81</w:t>
            </w:r>
            <w:r>
              <w:rPr>
                <w:noProof/>
                <w:webHidden/>
              </w:rPr>
              <w:fldChar w:fldCharType="end"/>
            </w:r>
          </w:hyperlink>
        </w:p>
        <w:p w:rsidR="0024252A" w:rsidRDefault="0024252A">
          <w:pPr>
            <w:pStyle w:val="TOC2"/>
            <w:tabs>
              <w:tab w:val="left" w:pos="1100"/>
              <w:tab w:val="right" w:leader="dot" w:pos="9350"/>
            </w:tabs>
            <w:rPr>
              <w:rFonts w:asciiTheme="minorHAnsi" w:eastAsiaTheme="minorEastAsia" w:hAnsiTheme="minorHAnsi" w:cstheme="minorBidi"/>
              <w:noProof/>
              <w:sz w:val="22"/>
              <w:szCs w:val="22"/>
            </w:rPr>
          </w:pPr>
          <w:hyperlink w:anchor="_Toc447179859" w:history="1">
            <w:r w:rsidRPr="00A305AB">
              <w:rPr>
                <w:rStyle w:val="Hyperlink"/>
                <w:noProof/>
              </w:rPr>
              <w:t>10.3</w:t>
            </w:r>
            <w:r>
              <w:rPr>
                <w:rFonts w:asciiTheme="minorHAnsi" w:eastAsiaTheme="minorEastAsia" w:hAnsiTheme="minorHAnsi" w:cstheme="minorBidi"/>
                <w:noProof/>
                <w:sz w:val="22"/>
                <w:szCs w:val="22"/>
              </w:rPr>
              <w:tab/>
            </w:r>
            <w:r w:rsidRPr="00A305AB">
              <w:rPr>
                <w:rStyle w:val="Hyperlink"/>
                <w:noProof/>
              </w:rPr>
              <w:t>Commercial Thermostat Ex-Post Load Impact Estimates</w:t>
            </w:r>
            <w:r>
              <w:rPr>
                <w:noProof/>
                <w:webHidden/>
              </w:rPr>
              <w:tab/>
            </w:r>
            <w:r>
              <w:rPr>
                <w:noProof/>
                <w:webHidden/>
              </w:rPr>
              <w:fldChar w:fldCharType="begin"/>
            </w:r>
            <w:r>
              <w:rPr>
                <w:noProof/>
                <w:webHidden/>
              </w:rPr>
              <w:instrText xml:space="preserve"> PAGEREF _Toc447179859 \h </w:instrText>
            </w:r>
            <w:r>
              <w:rPr>
                <w:noProof/>
                <w:webHidden/>
              </w:rPr>
            </w:r>
            <w:r>
              <w:rPr>
                <w:noProof/>
                <w:webHidden/>
              </w:rPr>
              <w:fldChar w:fldCharType="separate"/>
            </w:r>
            <w:r>
              <w:rPr>
                <w:noProof/>
                <w:webHidden/>
              </w:rPr>
              <w:t>82</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60" w:history="1">
            <w:r w:rsidRPr="00A305AB">
              <w:rPr>
                <w:rStyle w:val="Hyperlink"/>
                <w:noProof/>
                <w14:scene3d>
                  <w14:camera w14:prst="orthographicFront"/>
                  <w14:lightRig w14:rig="threePt" w14:dir="t">
                    <w14:rot w14:lat="0" w14:lon="0" w14:rev="0"/>
                  </w14:lightRig>
                </w14:scene3d>
              </w:rPr>
              <w:t>10.3.1</w:t>
            </w:r>
            <w:r>
              <w:rPr>
                <w:rFonts w:asciiTheme="minorHAnsi" w:eastAsiaTheme="minorEastAsia" w:hAnsiTheme="minorHAnsi" w:cstheme="minorBidi"/>
                <w:noProof/>
                <w:sz w:val="22"/>
                <w:szCs w:val="22"/>
              </w:rPr>
              <w:tab/>
            </w:r>
            <w:r w:rsidRPr="00A305AB">
              <w:rPr>
                <w:rStyle w:val="Hyperlink"/>
                <w:noProof/>
              </w:rPr>
              <w:t>Ex-Post Load Impact Estimates – Commercial</w:t>
            </w:r>
            <w:r>
              <w:rPr>
                <w:noProof/>
                <w:webHidden/>
              </w:rPr>
              <w:tab/>
            </w:r>
            <w:r>
              <w:rPr>
                <w:noProof/>
                <w:webHidden/>
              </w:rPr>
              <w:fldChar w:fldCharType="begin"/>
            </w:r>
            <w:r>
              <w:rPr>
                <w:noProof/>
                <w:webHidden/>
              </w:rPr>
              <w:instrText xml:space="preserve"> PAGEREF _Toc447179860 \h </w:instrText>
            </w:r>
            <w:r>
              <w:rPr>
                <w:noProof/>
                <w:webHidden/>
              </w:rPr>
            </w:r>
            <w:r>
              <w:rPr>
                <w:noProof/>
                <w:webHidden/>
              </w:rPr>
              <w:fldChar w:fldCharType="separate"/>
            </w:r>
            <w:r>
              <w:rPr>
                <w:noProof/>
                <w:webHidden/>
              </w:rPr>
              <w:t>82</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61" w:history="1">
            <w:r w:rsidRPr="00A305AB">
              <w:rPr>
                <w:rStyle w:val="Hyperlink"/>
                <w:noProof/>
                <w14:scene3d>
                  <w14:camera w14:prst="orthographicFront"/>
                  <w14:lightRig w14:rig="threePt" w14:dir="t">
                    <w14:rot w14:lat="0" w14:lon="0" w14:rev="0"/>
                  </w14:lightRig>
                </w14:scene3d>
              </w:rPr>
              <w:t>10.3.2</w:t>
            </w:r>
            <w:r>
              <w:rPr>
                <w:rFonts w:asciiTheme="minorHAnsi" w:eastAsiaTheme="minorEastAsia" w:hAnsiTheme="minorHAnsi" w:cstheme="minorBidi"/>
                <w:noProof/>
                <w:sz w:val="22"/>
                <w:szCs w:val="22"/>
              </w:rPr>
              <w:tab/>
            </w:r>
            <w:r w:rsidRPr="00A305AB">
              <w:rPr>
                <w:rStyle w:val="Hyperlink"/>
                <w:noProof/>
              </w:rPr>
              <w:t>Ex-Post Load Impact Estimates – Residential</w:t>
            </w:r>
            <w:r>
              <w:rPr>
                <w:noProof/>
                <w:webHidden/>
              </w:rPr>
              <w:tab/>
            </w:r>
            <w:r>
              <w:rPr>
                <w:noProof/>
                <w:webHidden/>
              </w:rPr>
              <w:fldChar w:fldCharType="begin"/>
            </w:r>
            <w:r>
              <w:rPr>
                <w:noProof/>
                <w:webHidden/>
              </w:rPr>
              <w:instrText xml:space="preserve"> PAGEREF _Toc447179861 \h </w:instrText>
            </w:r>
            <w:r>
              <w:rPr>
                <w:noProof/>
                <w:webHidden/>
              </w:rPr>
            </w:r>
            <w:r>
              <w:rPr>
                <w:noProof/>
                <w:webHidden/>
              </w:rPr>
              <w:fldChar w:fldCharType="separate"/>
            </w:r>
            <w:r>
              <w:rPr>
                <w:noProof/>
                <w:webHidden/>
              </w:rPr>
              <w:t>83</w:t>
            </w:r>
            <w:r>
              <w:rPr>
                <w:noProof/>
                <w:webHidden/>
              </w:rPr>
              <w:fldChar w:fldCharType="end"/>
            </w:r>
          </w:hyperlink>
        </w:p>
        <w:p w:rsidR="0024252A" w:rsidRDefault="0024252A">
          <w:pPr>
            <w:pStyle w:val="TOC2"/>
            <w:tabs>
              <w:tab w:val="left" w:pos="1100"/>
              <w:tab w:val="right" w:leader="dot" w:pos="9350"/>
            </w:tabs>
            <w:rPr>
              <w:rFonts w:asciiTheme="minorHAnsi" w:eastAsiaTheme="minorEastAsia" w:hAnsiTheme="minorHAnsi" w:cstheme="minorBidi"/>
              <w:noProof/>
              <w:sz w:val="22"/>
              <w:szCs w:val="22"/>
            </w:rPr>
          </w:pPr>
          <w:hyperlink w:anchor="_Toc447179862" w:history="1">
            <w:r w:rsidRPr="00A305AB">
              <w:rPr>
                <w:rStyle w:val="Hyperlink"/>
                <w:noProof/>
              </w:rPr>
              <w:t>10.4</w:t>
            </w:r>
            <w:r>
              <w:rPr>
                <w:rFonts w:asciiTheme="minorHAnsi" w:eastAsiaTheme="minorEastAsia" w:hAnsiTheme="minorHAnsi" w:cstheme="minorBidi"/>
                <w:noProof/>
                <w:sz w:val="22"/>
                <w:szCs w:val="22"/>
              </w:rPr>
              <w:tab/>
            </w:r>
            <w:r w:rsidRPr="00A305AB">
              <w:rPr>
                <w:rStyle w:val="Hyperlink"/>
                <w:noProof/>
              </w:rPr>
              <w:t>Commercial Thermostat Ex-Ante Evaluation Methodology</w:t>
            </w:r>
            <w:r>
              <w:rPr>
                <w:noProof/>
                <w:webHidden/>
              </w:rPr>
              <w:tab/>
            </w:r>
            <w:r>
              <w:rPr>
                <w:noProof/>
                <w:webHidden/>
              </w:rPr>
              <w:fldChar w:fldCharType="begin"/>
            </w:r>
            <w:r>
              <w:rPr>
                <w:noProof/>
                <w:webHidden/>
              </w:rPr>
              <w:instrText xml:space="preserve"> PAGEREF _Toc447179862 \h </w:instrText>
            </w:r>
            <w:r>
              <w:rPr>
                <w:noProof/>
                <w:webHidden/>
              </w:rPr>
            </w:r>
            <w:r>
              <w:rPr>
                <w:noProof/>
                <w:webHidden/>
              </w:rPr>
              <w:fldChar w:fldCharType="separate"/>
            </w:r>
            <w:r>
              <w:rPr>
                <w:noProof/>
                <w:webHidden/>
              </w:rPr>
              <w:t>83</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63" w:history="1">
            <w:r w:rsidRPr="00A305AB">
              <w:rPr>
                <w:rStyle w:val="Hyperlink"/>
                <w:noProof/>
                <w14:scene3d>
                  <w14:camera w14:prst="orthographicFront"/>
                  <w14:lightRig w14:rig="threePt" w14:dir="t">
                    <w14:rot w14:lat="0" w14:lon="0" w14:rev="0"/>
                  </w14:lightRig>
                </w14:scene3d>
              </w:rPr>
              <w:t>10.4.1</w:t>
            </w:r>
            <w:r>
              <w:rPr>
                <w:rFonts w:asciiTheme="minorHAnsi" w:eastAsiaTheme="minorEastAsia" w:hAnsiTheme="minorHAnsi" w:cstheme="minorBidi"/>
                <w:noProof/>
                <w:sz w:val="22"/>
                <w:szCs w:val="22"/>
              </w:rPr>
              <w:tab/>
            </w:r>
            <w:r w:rsidRPr="00A305AB">
              <w:rPr>
                <w:rStyle w:val="Hyperlink"/>
                <w:noProof/>
              </w:rPr>
              <w:t>Commercial Thermostat Estimating Ex-Ante Weather Conditions</w:t>
            </w:r>
            <w:r>
              <w:rPr>
                <w:noProof/>
                <w:webHidden/>
              </w:rPr>
              <w:tab/>
            </w:r>
            <w:r>
              <w:rPr>
                <w:noProof/>
                <w:webHidden/>
              </w:rPr>
              <w:fldChar w:fldCharType="begin"/>
            </w:r>
            <w:r>
              <w:rPr>
                <w:noProof/>
                <w:webHidden/>
              </w:rPr>
              <w:instrText xml:space="preserve"> PAGEREF _Toc447179863 \h </w:instrText>
            </w:r>
            <w:r>
              <w:rPr>
                <w:noProof/>
                <w:webHidden/>
              </w:rPr>
            </w:r>
            <w:r>
              <w:rPr>
                <w:noProof/>
                <w:webHidden/>
              </w:rPr>
              <w:fldChar w:fldCharType="separate"/>
            </w:r>
            <w:r>
              <w:rPr>
                <w:noProof/>
                <w:webHidden/>
              </w:rPr>
              <w:t>86</w:t>
            </w:r>
            <w:r>
              <w:rPr>
                <w:noProof/>
                <w:webHidden/>
              </w:rPr>
              <w:fldChar w:fldCharType="end"/>
            </w:r>
          </w:hyperlink>
        </w:p>
        <w:p w:rsidR="0024252A" w:rsidRDefault="0024252A">
          <w:pPr>
            <w:pStyle w:val="TOC3"/>
            <w:tabs>
              <w:tab w:val="left" w:pos="1320"/>
              <w:tab w:val="right" w:leader="dot" w:pos="9350"/>
            </w:tabs>
            <w:rPr>
              <w:rFonts w:asciiTheme="minorHAnsi" w:eastAsiaTheme="minorEastAsia" w:hAnsiTheme="minorHAnsi" w:cstheme="minorBidi"/>
              <w:noProof/>
              <w:sz w:val="22"/>
              <w:szCs w:val="22"/>
            </w:rPr>
          </w:pPr>
          <w:hyperlink w:anchor="_Toc447179864" w:history="1">
            <w:r w:rsidRPr="00A305AB">
              <w:rPr>
                <w:rStyle w:val="Hyperlink"/>
                <w:noProof/>
                <w14:scene3d>
                  <w14:camera w14:prst="orthographicFront"/>
                  <w14:lightRig w14:rig="threePt" w14:dir="t">
                    <w14:rot w14:lat="0" w14:lon="0" w14:rev="0"/>
                  </w14:lightRig>
                </w14:scene3d>
              </w:rPr>
              <w:t>10.4.2</w:t>
            </w:r>
            <w:r>
              <w:rPr>
                <w:rFonts w:asciiTheme="minorHAnsi" w:eastAsiaTheme="minorEastAsia" w:hAnsiTheme="minorHAnsi" w:cstheme="minorBidi"/>
                <w:noProof/>
                <w:sz w:val="22"/>
                <w:szCs w:val="22"/>
              </w:rPr>
              <w:tab/>
            </w:r>
            <w:r w:rsidRPr="00A305AB">
              <w:rPr>
                <w:rStyle w:val="Hyperlink"/>
                <w:noProof/>
              </w:rPr>
              <w:t>Commercial Thermostat Ex-Ante Load Impact Estimates</w:t>
            </w:r>
            <w:r>
              <w:rPr>
                <w:noProof/>
                <w:webHidden/>
              </w:rPr>
              <w:tab/>
            </w:r>
            <w:r>
              <w:rPr>
                <w:noProof/>
                <w:webHidden/>
              </w:rPr>
              <w:fldChar w:fldCharType="begin"/>
            </w:r>
            <w:r>
              <w:rPr>
                <w:noProof/>
                <w:webHidden/>
              </w:rPr>
              <w:instrText xml:space="preserve"> PAGEREF _Toc447179864 \h </w:instrText>
            </w:r>
            <w:r>
              <w:rPr>
                <w:noProof/>
                <w:webHidden/>
              </w:rPr>
            </w:r>
            <w:r>
              <w:rPr>
                <w:noProof/>
                <w:webHidden/>
              </w:rPr>
              <w:fldChar w:fldCharType="separate"/>
            </w:r>
            <w:r>
              <w:rPr>
                <w:noProof/>
                <w:webHidden/>
              </w:rPr>
              <w:t>88</w:t>
            </w:r>
            <w:r>
              <w:rPr>
                <w:noProof/>
                <w:webHidden/>
              </w:rPr>
              <w:fldChar w:fldCharType="end"/>
            </w:r>
          </w:hyperlink>
        </w:p>
        <w:p w:rsidR="0024252A" w:rsidRDefault="0024252A">
          <w:pPr>
            <w:pStyle w:val="TOC2"/>
            <w:tabs>
              <w:tab w:val="left" w:pos="1100"/>
              <w:tab w:val="right" w:leader="dot" w:pos="9350"/>
            </w:tabs>
            <w:rPr>
              <w:rFonts w:asciiTheme="minorHAnsi" w:eastAsiaTheme="minorEastAsia" w:hAnsiTheme="minorHAnsi" w:cstheme="minorBidi"/>
              <w:noProof/>
              <w:sz w:val="22"/>
              <w:szCs w:val="22"/>
            </w:rPr>
          </w:pPr>
          <w:hyperlink w:anchor="_Toc447179865" w:history="1">
            <w:r w:rsidRPr="00A305AB">
              <w:rPr>
                <w:rStyle w:val="Hyperlink"/>
                <w:noProof/>
              </w:rPr>
              <w:t>10.5</w:t>
            </w:r>
            <w:r>
              <w:rPr>
                <w:rFonts w:asciiTheme="minorHAnsi" w:eastAsiaTheme="minorEastAsia" w:hAnsiTheme="minorHAnsi" w:cstheme="minorBidi"/>
                <w:noProof/>
                <w:sz w:val="22"/>
                <w:szCs w:val="22"/>
              </w:rPr>
              <w:tab/>
            </w:r>
            <w:r w:rsidRPr="00A305AB">
              <w:rPr>
                <w:rStyle w:val="Hyperlink"/>
                <w:noProof/>
              </w:rPr>
              <w:t>Commercial Thermostat Comparison between Ex-Post and Ex-Ante Estimates</w:t>
            </w:r>
            <w:r>
              <w:rPr>
                <w:noProof/>
                <w:webHidden/>
              </w:rPr>
              <w:tab/>
            </w:r>
            <w:r>
              <w:rPr>
                <w:noProof/>
                <w:webHidden/>
              </w:rPr>
              <w:fldChar w:fldCharType="begin"/>
            </w:r>
            <w:r>
              <w:rPr>
                <w:noProof/>
                <w:webHidden/>
              </w:rPr>
              <w:instrText xml:space="preserve"> PAGEREF _Toc447179865 \h </w:instrText>
            </w:r>
            <w:r>
              <w:rPr>
                <w:noProof/>
                <w:webHidden/>
              </w:rPr>
            </w:r>
            <w:r>
              <w:rPr>
                <w:noProof/>
                <w:webHidden/>
              </w:rPr>
              <w:fldChar w:fldCharType="separate"/>
            </w:r>
            <w:r>
              <w:rPr>
                <w:noProof/>
                <w:webHidden/>
              </w:rPr>
              <w:t>90</w:t>
            </w:r>
            <w:r>
              <w:rPr>
                <w:noProof/>
                <w:webHidden/>
              </w:rPr>
              <w:fldChar w:fldCharType="end"/>
            </w:r>
          </w:hyperlink>
        </w:p>
        <w:p w:rsidR="009A3B18" w:rsidRDefault="003A2CE9">
          <w:r>
            <w:fldChar w:fldCharType="end"/>
          </w:r>
        </w:p>
      </w:sdtContent>
    </w:sdt>
    <w:p w:rsidR="004725D8" w:rsidRDefault="004725D8"/>
    <w:p w:rsidR="004725D8" w:rsidRDefault="004725D8"/>
    <w:p w:rsidR="005B31B2" w:rsidRDefault="005B31B2">
      <w:r>
        <w:br w:type="page"/>
      </w:r>
    </w:p>
    <w:p w:rsidR="00AF3CE7" w:rsidRPr="0006541F" w:rsidRDefault="00AF3CE7" w:rsidP="0006541F">
      <w:pPr>
        <w:pStyle w:val="Heading1"/>
        <w:spacing w:after="0" w:line="276" w:lineRule="auto"/>
        <w:rPr>
          <w:rFonts w:ascii="Times New Roman" w:hAnsi="Times New Roman" w:cs="Times New Roman"/>
          <w:color w:val="000000" w:themeColor="text1"/>
        </w:rPr>
      </w:pPr>
      <w:bookmarkStart w:id="1" w:name="_Toc259624181"/>
      <w:bookmarkStart w:id="2" w:name="_Toc259624182"/>
      <w:bookmarkStart w:id="3" w:name="_Toc259628865"/>
      <w:bookmarkStart w:id="4" w:name="_Toc289248340"/>
      <w:bookmarkStart w:id="5" w:name="_Toc351990558"/>
      <w:bookmarkStart w:id="6" w:name="_Toc352084135"/>
      <w:bookmarkStart w:id="7" w:name="_Toc447179760"/>
      <w:r w:rsidRPr="0027426A">
        <w:rPr>
          <w:rFonts w:ascii="Times New Roman" w:hAnsi="Times New Roman" w:cs="Times New Roman"/>
          <w:color w:val="000000" w:themeColor="text1"/>
        </w:rPr>
        <w:lastRenderedPageBreak/>
        <w:t>SDG&amp;E’s 201</w:t>
      </w:r>
      <w:r w:rsidR="00750C36">
        <w:rPr>
          <w:rFonts w:ascii="Times New Roman" w:hAnsi="Times New Roman" w:cs="Times New Roman"/>
          <w:color w:val="000000" w:themeColor="text1"/>
        </w:rPr>
        <w:t>5</w:t>
      </w:r>
      <w:r w:rsidRPr="0027426A">
        <w:rPr>
          <w:rFonts w:ascii="Times New Roman" w:hAnsi="Times New Roman" w:cs="Times New Roman"/>
          <w:color w:val="000000" w:themeColor="text1"/>
        </w:rPr>
        <w:t xml:space="preserve"> Load Impact Executive Summary Background</w:t>
      </w:r>
      <w:bookmarkEnd w:id="7"/>
    </w:p>
    <w:p w:rsidR="00AF3CE7" w:rsidRPr="0006541F" w:rsidRDefault="00AF3CE7" w:rsidP="0027426A">
      <w:pPr>
        <w:spacing w:line="276" w:lineRule="auto"/>
        <w:ind w:firstLine="360"/>
        <w:jc w:val="both"/>
        <w:rPr>
          <w:rFonts w:cs="BookAntiqua"/>
          <w:color w:val="000000" w:themeColor="text1"/>
          <w:szCs w:val="26"/>
        </w:rPr>
      </w:pPr>
    </w:p>
    <w:bookmarkEnd w:id="1"/>
    <w:bookmarkEnd w:id="2"/>
    <w:bookmarkEnd w:id="3"/>
    <w:bookmarkEnd w:id="4"/>
    <w:bookmarkEnd w:id="5"/>
    <w:bookmarkEnd w:id="6"/>
    <w:p w:rsidR="008626D1" w:rsidRPr="008227A8" w:rsidRDefault="008626D1" w:rsidP="00231CC3">
      <w:pPr>
        <w:spacing w:line="276" w:lineRule="auto"/>
        <w:ind w:firstLine="360"/>
        <w:jc w:val="both"/>
        <w:rPr>
          <w:color w:val="000000" w:themeColor="text1"/>
        </w:rPr>
      </w:pPr>
      <w:r w:rsidRPr="008227A8">
        <w:rPr>
          <w:color w:val="000000" w:themeColor="text1"/>
        </w:rPr>
        <w:t>In Decision (D.) 08-04-050 the Commission required the investor owned utilities (IOUs) - San Diego Gas &amp; Electric Company (SDG&amp;E), Southern California Edison (SCE) and Pacific Gas and Electric (PG&amp;E) to perform annual studies of its demand response (DR) activities in accordance with the load impact protocols and to file the load impact reports by April 1st each year. The load impact protocols require the preparation of a voluminous amount of tables that resulted in the load impact reports being too large to be filed in hard copy.  On April 6</w:t>
      </w:r>
      <w:r w:rsidRPr="008227A8">
        <w:rPr>
          <w:color w:val="000000" w:themeColor="text1"/>
          <w:vertAlign w:val="superscript"/>
        </w:rPr>
        <w:t>th</w:t>
      </w:r>
      <w:r w:rsidRPr="008227A8">
        <w:rPr>
          <w:color w:val="000000" w:themeColor="text1"/>
        </w:rPr>
        <w:t xml:space="preserve"> 2009 the investor owned utilities (IOUs) filed a petition to modify D.08-41-050.  The petition asked for two things:  1) the removal of the requirement to file the load impact reports in their entirety and 2) to provide the reports to the energy division of the CPUC.  On April 8th 2010 D.10-04-006 granted the utilities requests, which meant that they were not required to file the load impact reports in their entirety.  This new decision also directed the utilities to file an executive summary of the load impact reports.</w:t>
      </w:r>
    </w:p>
    <w:p w:rsidR="008626D1" w:rsidRPr="008227A8" w:rsidRDefault="008626D1" w:rsidP="00231CC3">
      <w:pPr>
        <w:spacing w:line="276" w:lineRule="auto"/>
        <w:ind w:firstLine="360"/>
        <w:jc w:val="both"/>
        <w:rPr>
          <w:rFonts w:cs="BookAntiqua"/>
          <w:color w:val="000000" w:themeColor="text1"/>
          <w:szCs w:val="26"/>
        </w:rPr>
      </w:pPr>
    </w:p>
    <w:p w:rsidR="00ED7741" w:rsidRPr="008227A8" w:rsidRDefault="006951A1" w:rsidP="00231CC3">
      <w:pPr>
        <w:spacing w:line="276" w:lineRule="auto"/>
        <w:ind w:firstLine="360"/>
        <w:jc w:val="both"/>
        <w:rPr>
          <w:rFonts w:cs="BookAntiqua"/>
          <w:color w:val="000000" w:themeColor="text1"/>
          <w:szCs w:val="26"/>
        </w:rPr>
      </w:pPr>
      <w:r w:rsidRPr="008227A8">
        <w:rPr>
          <w:rFonts w:cs="BookAntiqua"/>
          <w:color w:val="000000" w:themeColor="text1"/>
          <w:szCs w:val="26"/>
        </w:rPr>
        <w:t xml:space="preserve">SDG&amp;E submits this executive summary in accordance with D.10-04-006.   This report contains a summary of the ex-post and ex-ante load impacts of the SDG&amp;E Capacity Bidding Program (CBP), Critical Peak Pricing Default (CPP-D), Base Interruptible Program (BIP), Demand Bidding Program (DBP), Summer Saver program, </w:t>
      </w:r>
      <w:r w:rsidR="00250FFB" w:rsidRPr="008227A8">
        <w:rPr>
          <w:rFonts w:cs="BookAntiqua"/>
          <w:color w:val="000000" w:themeColor="text1"/>
          <w:szCs w:val="26"/>
        </w:rPr>
        <w:t>Residential</w:t>
      </w:r>
      <w:r w:rsidR="00037E3D" w:rsidRPr="008227A8">
        <w:rPr>
          <w:rFonts w:cs="BookAntiqua"/>
          <w:color w:val="000000" w:themeColor="text1"/>
          <w:szCs w:val="26"/>
        </w:rPr>
        <w:t xml:space="preserve"> </w:t>
      </w:r>
      <w:r w:rsidRPr="008227A8">
        <w:rPr>
          <w:rFonts w:cs="BookAntiqua"/>
          <w:color w:val="000000" w:themeColor="text1"/>
          <w:szCs w:val="26"/>
        </w:rPr>
        <w:t xml:space="preserve">Peak Time Rebate Program </w:t>
      </w:r>
      <w:r w:rsidR="00250FFB" w:rsidRPr="008227A8">
        <w:rPr>
          <w:rFonts w:cs="BookAntiqua"/>
          <w:color w:val="000000" w:themeColor="text1"/>
          <w:szCs w:val="26"/>
        </w:rPr>
        <w:t>and S</w:t>
      </w:r>
      <w:r w:rsidRPr="008227A8">
        <w:rPr>
          <w:rFonts w:cs="BookAntiqua"/>
          <w:color w:val="000000" w:themeColor="text1"/>
          <w:szCs w:val="26"/>
        </w:rPr>
        <w:t xml:space="preserve">mall </w:t>
      </w:r>
      <w:r w:rsidR="00250FFB" w:rsidRPr="008227A8">
        <w:rPr>
          <w:rFonts w:cs="BookAntiqua"/>
          <w:color w:val="000000" w:themeColor="text1"/>
          <w:szCs w:val="26"/>
        </w:rPr>
        <w:t>C</w:t>
      </w:r>
      <w:r w:rsidRPr="008227A8">
        <w:rPr>
          <w:rFonts w:cs="BookAntiqua"/>
          <w:color w:val="000000" w:themeColor="text1"/>
          <w:szCs w:val="26"/>
        </w:rPr>
        <w:t xml:space="preserve">ommercial </w:t>
      </w:r>
      <w:r w:rsidR="00250FFB" w:rsidRPr="008227A8">
        <w:rPr>
          <w:rFonts w:cs="BookAntiqua"/>
          <w:color w:val="000000" w:themeColor="text1"/>
          <w:szCs w:val="26"/>
        </w:rPr>
        <w:t>T</w:t>
      </w:r>
      <w:r w:rsidRPr="008227A8">
        <w:rPr>
          <w:rFonts w:cs="BookAntiqua"/>
          <w:color w:val="000000" w:themeColor="text1"/>
          <w:szCs w:val="26"/>
        </w:rPr>
        <w:t>echnology deployment program (SCTD), Permanent Load Shifting program (PLS)</w:t>
      </w:r>
      <w:r w:rsidR="00250FFB" w:rsidRPr="008227A8">
        <w:rPr>
          <w:rFonts w:cs="BookAntiqua"/>
          <w:color w:val="000000" w:themeColor="text1"/>
          <w:szCs w:val="26"/>
        </w:rPr>
        <w:t xml:space="preserve">, Non-Residential SPP Rates, and </w:t>
      </w:r>
      <w:r w:rsidR="004A2251">
        <w:rPr>
          <w:rFonts w:cs="BookAntiqua"/>
          <w:color w:val="000000" w:themeColor="text1"/>
          <w:szCs w:val="26"/>
        </w:rPr>
        <w:t xml:space="preserve">the </w:t>
      </w:r>
      <w:r w:rsidR="00250FFB" w:rsidRPr="008227A8">
        <w:rPr>
          <w:rFonts w:cs="BookAntiqua"/>
          <w:color w:val="000000" w:themeColor="text1"/>
          <w:szCs w:val="26"/>
        </w:rPr>
        <w:t>Commercial Thermostat Program</w:t>
      </w:r>
      <w:r w:rsidRPr="008227A8">
        <w:rPr>
          <w:rFonts w:cs="BookAntiqua"/>
          <w:color w:val="000000" w:themeColor="text1"/>
          <w:szCs w:val="26"/>
        </w:rPr>
        <w:t>. This report includes a summary of the ex-ante forecasts for these new demand response activities. The summary ex-ante tables that include the 1</w:t>
      </w:r>
      <w:r w:rsidR="009712EE" w:rsidRPr="008227A8">
        <w:rPr>
          <w:rFonts w:cs="BookAntiqua"/>
          <w:color w:val="000000" w:themeColor="text1"/>
          <w:szCs w:val="26"/>
        </w:rPr>
        <w:t>2</w:t>
      </w:r>
      <w:r w:rsidRPr="008227A8">
        <w:rPr>
          <w:rFonts w:cs="BookAntiqua"/>
          <w:color w:val="000000" w:themeColor="text1"/>
          <w:szCs w:val="26"/>
        </w:rPr>
        <w:t xml:space="preserve">-year forecast </w:t>
      </w:r>
      <w:r w:rsidR="007F4E89" w:rsidRPr="008227A8">
        <w:rPr>
          <w:rFonts w:cs="BookAntiqua"/>
          <w:color w:val="000000" w:themeColor="text1"/>
          <w:szCs w:val="26"/>
        </w:rPr>
        <w:t>(from 201</w:t>
      </w:r>
      <w:r w:rsidR="00750C36" w:rsidRPr="008227A8">
        <w:rPr>
          <w:rFonts w:cs="BookAntiqua"/>
          <w:color w:val="000000" w:themeColor="text1"/>
          <w:szCs w:val="26"/>
        </w:rPr>
        <w:t>5</w:t>
      </w:r>
      <w:r w:rsidR="007F4E89" w:rsidRPr="008227A8">
        <w:rPr>
          <w:rFonts w:cs="BookAntiqua"/>
          <w:color w:val="000000" w:themeColor="text1"/>
          <w:szCs w:val="26"/>
        </w:rPr>
        <w:t xml:space="preserve"> through 202</w:t>
      </w:r>
      <w:r w:rsidR="00750C36" w:rsidRPr="008227A8">
        <w:rPr>
          <w:rFonts w:cs="BookAntiqua"/>
          <w:color w:val="000000" w:themeColor="text1"/>
          <w:szCs w:val="26"/>
        </w:rPr>
        <w:t>6</w:t>
      </w:r>
      <w:r w:rsidR="007F4E89" w:rsidRPr="008227A8">
        <w:rPr>
          <w:rFonts w:cs="BookAntiqua"/>
          <w:color w:val="000000" w:themeColor="text1"/>
          <w:szCs w:val="26"/>
        </w:rPr>
        <w:t xml:space="preserve">) </w:t>
      </w:r>
      <w:r w:rsidRPr="008227A8">
        <w:rPr>
          <w:rFonts w:cs="BookAntiqua"/>
          <w:color w:val="000000" w:themeColor="text1"/>
          <w:szCs w:val="26"/>
        </w:rPr>
        <w:t>for the 1 in 2 individual program scenario, the 1 in 2 portfolio scenario, the 1 in 10 individual program scenario, and the 1 in 10 portfolio scenario are provided in a separate document named Appendix A.</w:t>
      </w:r>
      <w:r w:rsidR="009712EE" w:rsidRPr="008227A8">
        <w:rPr>
          <w:rFonts w:cs="BookAntiqua"/>
          <w:color w:val="000000" w:themeColor="text1"/>
          <w:szCs w:val="26"/>
        </w:rPr>
        <w:t xml:space="preserve"> The ex-ante starts in 201</w:t>
      </w:r>
      <w:r w:rsidR="00750C36" w:rsidRPr="008227A8">
        <w:rPr>
          <w:rFonts w:cs="BookAntiqua"/>
          <w:color w:val="000000" w:themeColor="text1"/>
          <w:szCs w:val="26"/>
        </w:rPr>
        <w:t>5</w:t>
      </w:r>
      <w:r w:rsidR="009712EE" w:rsidRPr="008227A8">
        <w:rPr>
          <w:rFonts w:cs="BookAntiqua"/>
          <w:color w:val="000000" w:themeColor="text1"/>
          <w:szCs w:val="26"/>
        </w:rPr>
        <w:t xml:space="preserve"> for the purpose of ex-post and ex-ante comparison.</w:t>
      </w:r>
    </w:p>
    <w:p w:rsidR="00317731" w:rsidRPr="008227A8" w:rsidRDefault="006951A1" w:rsidP="00231CC3">
      <w:pPr>
        <w:spacing w:line="276" w:lineRule="auto"/>
        <w:ind w:firstLine="360"/>
        <w:jc w:val="both"/>
        <w:rPr>
          <w:rFonts w:cs="BookAntiqua"/>
          <w:color w:val="000000" w:themeColor="text1"/>
          <w:szCs w:val="26"/>
        </w:rPr>
      </w:pPr>
      <w:r w:rsidRPr="008227A8">
        <w:rPr>
          <w:rFonts w:cs="BookAntiqua"/>
          <w:color w:val="000000" w:themeColor="text1"/>
          <w:szCs w:val="26"/>
        </w:rPr>
        <w:t>Note that all ex-ante summaries in this report are average</w:t>
      </w:r>
      <w:r w:rsidR="004A2251">
        <w:rPr>
          <w:rFonts w:cs="BookAntiqua"/>
          <w:color w:val="000000" w:themeColor="text1"/>
          <w:szCs w:val="26"/>
        </w:rPr>
        <w:t>d</w:t>
      </w:r>
      <w:r w:rsidR="00A16BE8">
        <w:rPr>
          <w:rFonts w:cs="BookAntiqua"/>
          <w:color w:val="000000" w:themeColor="text1"/>
          <w:szCs w:val="26"/>
        </w:rPr>
        <w:t xml:space="preserve"> </w:t>
      </w:r>
      <w:r w:rsidR="004A2251">
        <w:rPr>
          <w:rFonts w:cs="BookAntiqua"/>
          <w:color w:val="000000" w:themeColor="text1"/>
          <w:szCs w:val="26"/>
        </w:rPr>
        <w:t>over</w:t>
      </w:r>
      <w:r w:rsidRPr="008227A8">
        <w:rPr>
          <w:rFonts w:cs="BookAntiqua"/>
          <w:color w:val="000000" w:themeColor="text1"/>
          <w:szCs w:val="26"/>
        </w:rPr>
        <w:t xml:space="preserve"> the current R</w:t>
      </w:r>
      <w:r w:rsidR="004A2251">
        <w:rPr>
          <w:rFonts w:cs="BookAntiqua"/>
          <w:color w:val="000000" w:themeColor="text1"/>
          <w:szCs w:val="26"/>
        </w:rPr>
        <w:t xml:space="preserve">esource </w:t>
      </w:r>
      <w:r w:rsidRPr="008227A8">
        <w:rPr>
          <w:rFonts w:cs="BookAntiqua"/>
          <w:color w:val="000000" w:themeColor="text1"/>
          <w:szCs w:val="26"/>
        </w:rPr>
        <w:t>A</w:t>
      </w:r>
      <w:r w:rsidR="004A2251">
        <w:rPr>
          <w:rFonts w:cs="BookAntiqua"/>
          <w:color w:val="000000" w:themeColor="text1"/>
          <w:szCs w:val="26"/>
        </w:rPr>
        <w:t>dequacy (RA)</w:t>
      </w:r>
      <w:r w:rsidRPr="008227A8">
        <w:rPr>
          <w:rFonts w:cs="BookAntiqua"/>
          <w:color w:val="000000" w:themeColor="text1"/>
          <w:szCs w:val="26"/>
        </w:rPr>
        <w:t xml:space="preserve"> hours of 1pm-6pm in the summer (Apr-Oct) and 4pm-9pm all other months. The RA hours may change in future years as more renewable generation comes online but this report uses current RA hours.</w:t>
      </w:r>
    </w:p>
    <w:p w:rsidR="009E0FEA" w:rsidRPr="008227A8" w:rsidRDefault="009E0FEA" w:rsidP="00792260">
      <w:pPr>
        <w:spacing w:line="276" w:lineRule="auto"/>
        <w:jc w:val="both"/>
        <w:rPr>
          <w:color w:val="000000" w:themeColor="text1"/>
          <w:szCs w:val="26"/>
        </w:rPr>
      </w:pPr>
    </w:p>
    <w:p w:rsidR="00ED7741" w:rsidRPr="008227A8" w:rsidRDefault="00ED7741" w:rsidP="00792260">
      <w:pPr>
        <w:pStyle w:val="Heading1"/>
        <w:spacing w:after="0" w:line="276" w:lineRule="auto"/>
        <w:rPr>
          <w:rFonts w:ascii="Times New Roman" w:hAnsi="Times New Roman" w:cs="Times New Roman"/>
          <w:color w:val="000000" w:themeColor="text1"/>
        </w:rPr>
      </w:pPr>
      <w:bookmarkStart w:id="8" w:name="_Toc259624183"/>
      <w:bookmarkStart w:id="9" w:name="_Toc259624184"/>
      <w:bookmarkStart w:id="10" w:name="_Toc259624185"/>
      <w:bookmarkStart w:id="11" w:name="_Toc259624186"/>
      <w:bookmarkStart w:id="12" w:name="_Toc259624187"/>
      <w:bookmarkStart w:id="13" w:name="_Toc259628866"/>
      <w:bookmarkStart w:id="14" w:name="_Toc289248341"/>
      <w:bookmarkStart w:id="15" w:name="_Toc351990559"/>
      <w:bookmarkStart w:id="16" w:name="_Toc352084136"/>
      <w:bookmarkStart w:id="17" w:name="_Toc447179761"/>
      <w:bookmarkEnd w:id="8"/>
      <w:bookmarkEnd w:id="9"/>
      <w:bookmarkEnd w:id="10"/>
      <w:bookmarkEnd w:id="11"/>
      <w:r w:rsidRPr="008227A8">
        <w:rPr>
          <w:rFonts w:ascii="Times New Roman" w:hAnsi="Times New Roman" w:cs="Times New Roman"/>
          <w:color w:val="000000" w:themeColor="text1"/>
        </w:rPr>
        <w:t>Summary of SDG&amp;E’s Capacity Bidding Program Report</w:t>
      </w:r>
      <w:bookmarkEnd w:id="12"/>
      <w:bookmarkEnd w:id="13"/>
      <w:bookmarkEnd w:id="14"/>
      <w:bookmarkEnd w:id="15"/>
      <w:bookmarkEnd w:id="16"/>
      <w:bookmarkEnd w:id="17"/>
    </w:p>
    <w:p w:rsidR="00ED7741" w:rsidRPr="008227A8" w:rsidRDefault="00B23DB5" w:rsidP="00792260">
      <w:pPr>
        <w:pStyle w:val="Heading2"/>
        <w:spacing w:after="0" w:line="276" w:lineRule="auto"/>
        <w:rPr>
          <w:rFonts w:ascii="Times New Roman" w:hAnsi="Times New Roman" w:cs="Times New Roman"/>
          <w:color w:val="000000" w:themeColor="text1"/>
        </w:rPr>
      </w:pPr>
      <w:bookmarkStart w:id="18" w:name="_Toc259624188"/>
      <w:bookmarkStart w:id="19" w:name="_Toc259628867"/>
      <w:bookmarkStart w:id="20" w:name="_Toc289248342"/>
      <w:bookmarkStart w:id="21" w:name="_Toc351990560"/>
      <w:bookmarkStart w:id="22" w:name="_Toc352084137"/>
      <w:bookmarkStart w:id="23" w:name="_Toc447179762"/>
      <w:r w:rsidRPr="008227A8">
        <w:rPr>
          <w:rFonts w:ascii="Times New Roman" w:hAnsi="Times New Roman" w:cs="Times New Roman"/>
          <w:color w:val="000000" w:themeColor="text1"/>
        </w:rPr>
        <w:t xml:space="preserve">CBP </w:t>
      </w:r>
      <w:r w:rsidR="00ED7741" w:rsidRPr="008227A8">
        <w:rPr>
          <w:rFonts w:ascii="Times New Roman" w:hAnsi="Times New Roman" w:cs="Times New Roman"/>
          <w:color w:val="000000" w:themeColor="text1"/>
        </w:rPr>
        <w:t>Program Description</w:t>
      </w:r>
      <w:bookmarkEnd w:id="18"/>
      <w:bookmarkEnd w:id="19"/>
      <w:bookmarkEnd w:id="20"/>
      <w:bookmarkEnd w:id="21"/>
      <w:bookmarkEnd w:id="22"/>
      <w:bookmarkEnd w:id="23"/>
    </w:p>
    <w:p w:rsidR="00ED7741" w:rsidRPr="008227A8" w:rsidRDefault="00ED7741" w:rsidP="00792260">
      <w:pPr>
        <w:spacing w:line="276" w:lineRule="auto"/>
        <w:jc w:val="both"/>
        <w:rPr>
          <w:color w:val="000000" w:themeColor="text1"/>
        </w:rPr>
      </w:pPr>
    </w:p>
    <w:p w:rsidR="0027426A" w:rsidRPr="008227A8" w:rsidRDefault="00572130" w:rsidP="00231CC3">
      <w:pPr>
        <w:spacing w:line="276" w:lineRule="auto"/>
        <w:ind w:firstLine="360"/>
        <w:jc w:val="both"/>
        <w:rPr>
          <w:color w:val="000000" w:themeColor="text1"/>
        </w:rPr>
      </w:pPr>
      <w:r w:rsidRPr="008227A8">
        <w:rPr>
          <w:color w:val="000000" w:themeColor="text1"/>
        </w:rPr>
        <w:t>CBP program provides monthly capacity payments ($/kW) to participants based on the nominated kW load, the specific operating month, and the program notice option</w:t>
      </w:r>
      <w:r w:rsidR="00146059" w:rsidRPr="008227A8">
        <w:rPr>
          <w:color w:val="000000" w:themeColor="text1"/>
        </w:rPr>
        <w:t xml:space="preserve"> Day Ahead</w:t>
      </w:r>
      <w:r w:rsidRPr="008227A8">
        <w:rPr>
          <w:color w:val="000000" w:themeColor="text1"/>
        </w:rPr>
        <w:t xml:space="preserve"> (DA</w:t>
      </w:r>
      <w:r w:rsidR="00146059" w:rsidRPr="008227A8">
        <w:rPr>
          <w:color w:val="000000" w:themeColor="text1"/>
        </w:rPr>
        <w:t>)</w:t>
      </w:r>
      <w:r w:rsidRPr="008227A8">
        <w:rPr>
          <w:color w:val="000000" w:themeColor="text1"/>
        </w:rPr>
        <w:t xml:space="preserve"> or</w:t>
      </w:r>
      <w:r w:rsidR="00146059" w:rsidRPr="008227A8">
        <w:rPr>
          <w:color w:val="000000" w:themeColor="text1"/>
        </w:rPr>
        <w:t xml:space="preserve"> Day Of (</w:t>
      </w:r>
      <w:r w:rsidRPr="008227A8">
        <w:rPr>
          <w:color w:val="000000" w:themeColor="text1"/>
        </w:rPr>
        <w:t>DO)</w:t>
      </w:r>
      <w:r w:rsidR="00ED7741" w:rsidRPr="008227A8">
        <w:rPr>
          <w:color w:val="000000" w:themeColor="text1"/>
        </w:rPr>
        <w:t xml:space="preserve">. The program has two options Capacity Bidding Program day-ahead (CBP DA) and Capacity Bidding Program day-of (CBP DO). Customers may also choose a maximum </w:t>
      </w:r>
      <w:r w:rsidR="00ED7741" w:rsidRPr="008227A8">
        <w:rPr>
          <w:color w:val="000000" w:themeColor="text1"/>
        </w:rPr>
        <w:lastRenderedPageBreak/>
        <w:t>event length of 4 hour, 6 hour, or 8 hours</w:t>
      </w:r>
      <w:r w:rsidR="00E91BD6" w:rsidRPr="008227A8">
        <w:rPr>
          <w:color w:val="000000" w:themeColor="text1"/>
        </w:rPr>
        <w:t xml:space="preserve">. CBP events may be called on non-holiday weekdays in the months of May through October, between the hours of 11 a.m. and 7 p.m., with a maximum of </w:t>
      </w:r>
      <w:r w:rsidR="00E06208" w:rsidRPr="008227A8">
        <w:rPr>
          <w:color w:val="000000" w:themeColor="text1"/>
        </w:rPr>
        <w:t>forty</w:t>
      </w:r>
      <w:r w:rsidR="00E91BD6" w:rsidRPr="008227A8">
        <w:rPr>
          <w:color w:val="000000" w:themeColor="text1"/>
        </w:rPr>
        <w:t>-four event hours per month. Customers enrolled in CBP may participate in another DR program, so long as it is an energy-payment program and does not have the same advanced notification (</w:t>
      </w:r>
      <w:r w:rsidR="00E91BD6" w:rsidRPr="008227A8">
        <w:rPr>
          <w:i/>
          <w:color w:val="000000" w:themeColor="text1"/>
        </w:rPr>
        <w:t>i.e.</w:t>
      </w:r>
      <w:r w:rsidR="00E91BD6" w:rsidRPr="008227A8">
        <w:rPr>
          <w:color w:val="000000" w:themeColor="text1"/>
        </w:rPr>
        <w:t>, day-ahead or day-of).</w:t>
      </w:r>
      <w:r w:rsidR="00C633B2" w:rsidRPr="008227A8">
        <w:rPr>
          <w:color w:val="000000" w:themeColor="text1"/>
        </w:rPr>
        <w:t xml:space="preserve">  </w:t>
      </w:r>
      <w:r w:rsidR="00C633B2" w:rsidRPr="00A16BE8">
        <w:rPr>
          <w:color w:val="000000" w:themeColor="text1"/>
        </w:rPr>
        <w:t>SDG&amp;E</w:t>
      </w:r>
      <w:r w:rsidR="00A16BE8" w:rsidRPr="00A16BE8">
        <w:rPr>
          <w:color w:val="000000" w:themeColor="text1"/>
        </w:rPr>
        <w:t xml:space="preserve"> </w:t>
      </w:r>
      <w:r w:rsidR="004A2251" w:rsidRPr="00A16BE8">
        <w:rPr>
          <w:color w:val="000000" w:themeColor="text1"/>
        </w:rPr>
        <w:t>add</w:t>
      </w:r>
      <w:r w:rsidR="00DE6FF6">
        <w:rPr>
          <w:color w:val="000000" w:themeColor="text1"/>
        </w:rPr>
        <w:t>ed</w:t>
      </w:r>
      <w:r w:rsidR="0027426A" w:rsidRPr="00A16BE8">
        <w:rPr>
          <w:color w:val="000000" w:themeColor="text1"/>
        </w:rPr>
        <w:t xml:space="preserve"> a 30-minute notice option to the DO product</w:t>
      </w:r>
      <w:r w:rsidR="00DE6FF6">
        <w:rPr>
          <w:color w:val="000000" w:themeColor="text1"/>
        </w:rPr>
        <w:t xml:space="preserve"> in 2015</w:t>
      </w:r>
      <w:r w:rsidR="0027426A" w:rsidRPr="00A16BE8">
        <w:rPr>
          <w:color w:val="000000" w:themeColor="text1"/>
        </w:rPr>
        <w:t xml:space="preserve"> </w:t>
      </w:r>
      <w:r w:rsidR="00DE6FF6">
        <w:rPr>
          <w:color w:val="000000" w:themeColor="text1"/>
        </w:rPr>
        <w:t xml:space="preserve">and opened up the </w:t>
      </w:r>
      <w:r w:rsidR="0027426A" w:rsidRPr="00A16BE8">
        <w:rPr>
          <w:color w:val="000000" w:themeColor="text1"/>
        </w:rPr>
        <w:t xml:space="preserve">CBP </w:t>
      </w:r>
      <w:r w:rsidR="00DE6FF6">
        <w:rPr>
          <w:color w:val="000000" w:themeColor="text1"/>
        </w:rPr>
        <w:t>program</w:t>
      </w:r>
      <w:r w:rsidR="0027426A" w:rsidRPr="00A16BE8">
        <w:rPr>
          <w:color w:val="000000" w:themeColor="text1"/>
        </w:rPr>
        <w:t xml:space="preserve"> to small customers of less than 20 kW </w:t>
      </w:r>
      <w:r w:rsidR="00DE6FF6">
        <w:rPr>
          <w:color w:val="000000" w:themeColor="text1"/>
        </w:rPr>
        <w:t xml:space="preserve"> enrolled on a time of use rate.</w:t>
      </w:r>
    </w:p>
    <w:p w:rsidR="0027426A" w:rsidRPr="008227A8" w:rsidRDefault="0027426A" w:rsidP="000F5055">
      <w:pPr>
        <w:spacing w:line="276" w:lineRule="auto"/>
        <w:ind w:firstLine="360"/>
        <w:jc w:val="both"/>
        <w:rPr>
          <w:color w:val="000000" w:themeColor="text1"/>
        </w:rPr>
      </w:pPr>
    </w:p>
    <w:p w:rsidR="00E91BD6" w:rsidRPr="008227A8" w:rsidRDefault="00DD2C68" w:rsidP="00A10465">
      <w:pPr>
        <w:pStyle w:val="Heading2"/>
        <w:spacing w:after="0" w:line="276" w:lineRule="auto"/>
        <w:rPr>
          <w:rFonts w:ascii="Times New Roman" w:hAnsi="Times New Roman" w:cs="Times New Roman"/>
          <w:color w:val="000000" w:themeColor="text1"/>
        </w:rPr>
      </w:pPr>
      <w:bookmarkStart w:id="24" w:name="_Toc447179763"/>
      <w:r w:rsidRPr="008227A8">
        <w:rPr>
          <w:rFonts w:ascii="Times New Roman" w:hAnsi="Times New Roman" w:cs="Times New Roman"/>
          <w:color w:val="000000" w:themeColor="text1"/>
        </w:rPr>
        <w:t xml:space="preserve">CBP </w:t>
      </w:r>
      <w:r w:rsidR="0015465A" w:rsidRPr="008227A8">
        <w:rPr>
          <w:rFonts w:ascii="Times New Roman" w:hAnsi="Times New Roman" w:cs="Times New Roman"/>
          <w:color w:val="000000" w:themeColor="text1"/>
        </w:rPr>
        <w:t>Ex-</w:t>
      </w:r>
      <w:r w:rsidR="0091679A" w:rsidRPr="008227A8">
        <w:rPr>
          <w:rFonts w:ascii="Times New Roman" w:hAnsi="Times New Roman" w:cs="Times New Roman"/>
          <w:color w:val="000000" w:themeColor="text1"/>
        </w:rPr>
        <w:t>P</w:t>
      </w:r>
      <w:r w:rsidR="0015465A" w:rsidRPr="008227A8">
        <w:rPr>
          <w:rFonts w:ascii="Times New Roman" w:hAnsi="Times New Roman" w:cs="Times New Roman"/>
          <w:color w:val="000000" w:themeColor="text1"/>
        </w:rPr>
        <w:t>ost</w:t>
      </w:r>
      <w:r w:rsidRPr="008227A8">
        <w:rPr>
          <w:rFonts w:ascii="Times New Roman" w:hAnsi="Times New Roman" w:cs="Times New Roman"/>
          <w:color w:val="000000" w:themeColor="text1"/>
        </w:rPr>
        <w:t xml:space="preserve"> Evaluation Methodology</w:t>
      </w:r>
      <w:bookmarkEnd w:id="24"/>
    </w:p>
    <w:p w:rsidR="00ED7741" w:rsidRPr="008227A8" w:rsidRDefault="00ED7741" w:rsidP="00A10465">
      <w:pPr>
        <w:spacing w:line="276" w:lineRule="auto"/>
        <w:rPr>
          <w:b/>
          <w:color w:val="000000" w:themeColor="text1"/>
          <w:szCs w:val="26"/>
        </w:rPr>
      </w:pPr>
    </w:p>
    <w:p w:rsidR="00031C07" w:rsidRPr="008227A8" w:rsidRDefault="00031C07" w:rsidP="00231CC3">
      <w:pPr>
        <w:keepNext/>
        <w:spacing w:line="276" w:lineRule="auto"/>
        <w:ind w:firstLine="360"/>
        <w:rPr>
          <w:color w:val="000000" w:themeColor="text1"/>
        </w:rPr>
      </w:pPr>
      <w:r w:rsidRPr="008227A8">
        <w:rPr>
          <w:color w:val="000000" w:themeColor="text1"/>
        </w:rPr>
        <w:t xml:space="preserve">The program year 2015 ex-post analysis was designed specifically to meet each of the following goals: </w:t>
      </w:r>
    </w:p>
    <w:p w:rsidR="00031C07" w:rsidRPr="008227A8" w:rsidRDefault="00031C07" w:rsidP="00231CC3">
      <w:pPr>
        <w:keepNext/>
        <w:spacing w:line="276" w:lineRule="auto"/>
        <w:ind w:firstLine="360"/>
        <w:rPr>
          <w:color w:val="000000" w:themeColor="text1"/>
        </w:rPr>
      </w:pPr>
      <w:r w:rsidRPr="008227A8">
        <w:rPr>
          <w:color w:val="000000" w:themeColor="text1"/>
        </w:rPr>
        <w:t xml:space="preserve">1. To develop hourly and daily load impact estimates for each event in the 2015 program year. </w:t>
      </w:r>
    </w:p>
    <w:p w:rsidR="00031C07" w:rsidRPr="008227A8" w:rsidRDefault="00031C07" w:rsidP="00231CC3">
      <w:pPr>
        <w:keepNext/>
        <w:spacing w:line="276" w:lineRule="auto"/>
        <w:ind w:firstLine="360"/>
        <w:rPr>
          <w:color w:val="000000" w:themeColor="text1"/>
        </w:rPr>
      </w:pPr>
      <w:r w:rsidRPr="008227A8">
        <w:rPr>
          <w:color w:val="000000" w:themeColor="text1"/>
        </w:rPr>
        <w:t xml:space="preserve">2.  To provide these estimates by various segments, i.e., IOU, program, LCA, industry group, TA&amp;TI participation, and notification type. </w:t>
      </w:r>
    </w:p>
    <w:p w:rsidR="00F15D68" w:rsidRPr="008227A8" w:rsidRDefault="00031C07" w:rsidP="00231CC3">
      <w:pPr>
        <w:keepNext/>
        <w:spacing w:line="276" w:lineRule="auto"/>
        <w:ind w:firstLine="360"/>
        <w:rPr>
          <w:color w:val="000000" w:themeColor="text1"/>
        </w:rPr>
      </w:pPr>
      <w:r w:rsidRPr="008227A8">
        <w:rPr>
          <w:color w:val="000000" w:themeColor="text1"/>
        </w:rPr>
        <w:t>3. To estimate the distribution of load impacts by customer segment for the average event.</w:t>
      </w:r>
    </w:p>
    <w:p w:rsidR="00CC17B9" w:rsidRPr="008227A8" w:rsidRDefault="00CC17B9" w:rsidP="00231CC3">
      <w:pPr>
        <w:spacing w:line="276" w:lineRule="auto"/>
        <w:ind w:firstLine="360"/>
        <w:rPr>
          <w:color w:val="000000" w:themeColor="text1"/>
        </w:rPr>
      </w:pPr>
    </w:p>
    <w:p w:rsidR="008A6A2B" w:rsidRPr="008227A8" w:rsidRDefault="00031C07" w:rsidP="00A16BE8">
      <w:pPr>
        <w:keepNext/>
        <w:spacing w:line="276" w:lineRule="auto"/>
        <w:ind w:firstLine="360"/>
        <w:rPr>
          <w:color w:val="000000" w:themeColor="text1"/>
        </w:rPr>
      </w:pPr>
      <w:r w:rsidRPr="008227A8">
        <w:rPr>
          <w:color w:val="000000" w:themeColor="text1"/>
        </w:rPr>
        <w:t>A</w:t>
      </w:r>
      <w:r w:rsidR="004A2251">
        <w:rPr>
          <w:color w:val="000000" w:themeColor="text1"/>
        </w:rPr>
        <w:t xml:space="preserve">pplied </w:t>
      </w:r>
      <w:r w:rsidRPr="008227A8">
        <w:rPr>
          <w:color w:val="000000" w:themeColor="text1"/>
        </w:rPr>
        <w:t>E</w:t>
      </w:r>
      <w:r w:rsidR="004A2251">
        <w:rPr>
          <w:color w:val="000000" w:themeColor="text1"/>
        </w:rPr>
        <w:t xml:space="preserve">nergy </w:t>
      </w:r>
      <w:r w:rsidRPr="008227A8">
        <w:rPr>
          <w:color w:val="000000" w:themeColor="text1"/>
        </w:rPr>
        <w:t>G</w:t>
      </w:r>
      <w:r w:rsidR="004A2251">
        <w:rPr>
          <w:color w:val="000000" w:themeColor="text1"/>
        </w:rPr>
        <w:t>roup (AEG)</w:t>
      </w:r>
      <w:r w:rsidRPr="008227A8">
        <w:rPr>
          <w:color w:val="000000" w:themeColor="text1"/>
        </w:rPr>
        <w:t xml:space="preserve"> used a candidate model optimization process to select the best model for each participant. </w:t>
      </w:r>
      <w:r w:rsidRPr="008227A8">
        <w:rPr>
          <w:color w:val="000000" w:themeColor="text1"/>
        </w:rPr>
        <w:fldChar w:fldCharType="begin"/>
      </w:r>
      <w:r w:rsidRPr="008227A8">
        <w:rPr>
          <w:color w:val="000000" w:themeColor="text1"/>
        </w:rPr>
        <w:instrText xml:space="preserve"> REF _Ref442513019 \h  \* MERGEFORMAT </w:instrText>
      </w:r>
      <w:r w:rsidRPr="008227A8">
        <w:rPr>
          <w:color w:val="000000" w:themeColor="text1"/>
        </w:rPr>
      </w:r>
      <w:r w:rsidRPr="008227A8">
        <w:rPr>
          <w:color w:val="000000" w:themeColor="text1"/>
        </w:rPr>
        <w:fldChar w:fldCharType="separate"/>
      </w:r>
    </w:p>
    <w:p w:rsidR="00031C07" w:rsidRPr="008227A8" w:rsidRDefault="008A6A2B" w:rsidP="00A16BE8">
      <w:pPr>
        <w:pStyle w:val="BodyText"/>
        <w:spacing w:line="276" w:lineRule="auto"/>
        <w:ind w:firstLine="360"/>
        <w:rPr>
          <w:color w:val="000000" w:themeColor="text1"/>
        </w:rPr>
      </w:pPr>
      <w:r w:rsidRPr="008227A8">
        <w:rPr>
          <w:color w:val="000000" w:themeColor="text1"/>
        </w:rPr>
        <w:br w:type="page"/>
      </w:r>
      <w:r w:rsidR="00A16BE8" w:rsidRPr="00A7376E">
        <w:rPr>
          <w:color w:val="000000" w:themeColor="text1"/>
          <w:sz w:val="22"/>
          <w:szCs w:val="22"/>
        </w:rPr>
        <w:lastRenderedPageBreak/>
        <w:t xml:space="preserve">Figure </w:t>
      </w:r>
      <w:r w:rsidR="00A16BE8">
        <w:rPr>
          <w:color w:val="000000" w:themeColor="text1"/>
        </w:rPr>
        <w:t xml:space="preserve">2-1 </w:t>
      </w:r>
      <w:r w:rsidR="00031C07" w:rsidRPr="008227A8">
        <w:rPr>
          <w:color w:val="000000" w:themeColor="text1"/>
        </w:rPr>
        <w:fldChar w:fldCharType="end"/>
      </w:r>
      <w:r w:rsidR="00031C07" w:rsidRPr="008227A8">
        <w:rPr>
          <w:color w:val="000000" w:themeColor="text1"/>
        </w:rPr>
        <w:t xml:space="preserve">illustrates a high-level overview of the approach AEG used to develop ex-post impacts. </w:t>
      </w:r>
    </w:p>
    <w:p w:rsidR="00031C07" w:rsidRPr="008227A8" w:rsidRDefault="00031C07">
      <w:pPr>
        <w:rPr>
          <w:b/>
          <w:bCs/>
          <w:color w:val="000000" w:themeColor="text1"/>
          <w:szCs w:val="20"/>
        </w:rPr>
      </w:pPr>
      <w:bookmarkStart w:id="25" w:name="_Ref442513019"/>
      <w:bookmarkStart w:id="26" w:name="_Toc445127038"/>
    </w:p>
    <w:p w:rsidR="00031C07" w:rsidRPr="00D8760E" w:rsidRDefault="00031C07" w:rsidP="00031C07">
      <w:pPr>
        <w:pStyle w:val="FigureCaption"/>
        <w:rPr>
          <w:sz w:val="22"/>
          <w:szCs w:val="22"/>
        </w:rPr>
      </w:pPr>
      <w:r w:rsidRPr="00D8760E">
        <w:rPr>
          <w:sz w:val="22"/>
          <w:szCs w:val="22"/>
        </w:rPr>
        <w:t>Figure 2</w:t>
      </w:r>
      <w:r w:rsidRPr="00D8760E">
        <w:rPr>
          <w:sz w:val="22"/>
          <w:szCs w:val="22"/>
        </w:rPr>
        <w:noBreakHyphen/>
      </w:r>
      <w:r w:rsidRPr="00D8760E">
        <w:rPr>
          <w:sz w:val="22"/>
          <w:szCs w:val="22"/>
        </w:rPr>
        <w:fldChar w:fldCharType="begin"/>
      </w:r>
      <w:r w:rsidRPr="00D8760E">
        <w:rPr>
          <w:sz w:val="22"/>
          <w:szCs w:val="22"/>
        </w:rPr>
        <w:instrText xml:space="preserve"> SEQ Figure \* ARABIC \s 1 </w:instrText>
      </w:r>
      <w:r w:rsidRPr="00D8760E">
        <w:rPr>
          <w:sz w:val="22"/>
          <w:szCs w:val="22"/>
        </w:rPr>
        <w:fldChar w:fldCharType="separate"/>
      </w:r>
      <w:r w:rsidR="008A6A2B">
        <w:rPr>
          <w:noProof/>
          <w:sz w:val="22"/>
          <w:szCs w:val="22"/>
        </w:rPr>
        <w:t>1</w:t>
      </w:r>
      <w:r w:rsidRPr="00D8760E">
        <w:rPr>
          <w:noProof/>
          <w:sz w:val="22"/>
          <w:szCs w:val="22"/>
        </w:rPr>
        <w:fldChar w:fldCharType="end"/>
      </w:r>
      <w:bookmarkEnd w:id="25"/>
      <w:r w:rsidRPr="00D8760E">
        <w:rPr>
          <w:sz w:val="22"/>
          <w:szCs w:val="22"/>
        </w:rPr>
        <w:tab/>
        <w:t>Ex-Post Analysis Approach</w:t>
      </w:r>
      <w:bookmarkEnd w:id="26"/>
      <w:r w:rsidRPr="00D8760E">
        <w:rPr>
          <w:sz w:val="22"/>
          <w:szCs w:val="22"/>
        </w:rPr>
        <w:t xml:space="preserve"> </w:t>
      </w:r>
    </w:p>
    <w:p w:rsidR="00031C07" w:rsidRPr="00F36E5C" w:rsidRDefault="00031C07" w:rsidP="00031C07">
      <w:pPr>
        <w:pStyle w:val="BodyText"/>
        <w:jc w:val="center"/>
      </w:pPr>
      <w:r>
        <w:rPr>
          <w:noProof/>
        </w:rPr>
        <w:drawing>
          <wp:inline distT="0" distB="0" distL="0" distR="0" wp14:anchorId="3606CDED" wp14:editId="3E16D18B">
            <wp:extent cx="2895600" cy="3977523"/>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25556" cy="4018671"/>
                    </a:xfrm>
                    <a:prstGeom prst="rect">
                      <a:avLst/>
                    </a:prstGeom>
                    <a:noFill/>
                  </pic:spPr>
                </pic:pic>
              </a:graphicData>
            </a:graphic>
          </wp:inline>
        </w:drawing>
      </w:r>
    </w:p>
    <w:p w:rsidR="00031C07" w:rsidRDefault="00031C07" w:rsidP="00031C07">
      <w:pPr>
        <w:pStyle w:val="BodyText"/>
      </w:pPr>
    </w:p>
    <w:p w:rsidR="00031C07" w:rsidRPr="00031C07" w:rsidRDefault="00031C07" w:rsidP="00AF666B">
      <w:pPr>
        <w:pStyle w:val="Heading3"/>
        <w:ind w:left="630" w:hanging="630"/>
        <w:rPr>
          <w:rFonts w:ascii="Times New Roman" w:hAnsi="Times New Roman" w:cs="Times New Roman"/>
        </w:rPr>
      </w:pPr>
      <w:bookmarkStart w:id="27" w:name="_Toc445127172"/>
      <w:bookmarkStart w:id="28" w:name="_Toc447179764"/>
      <w:r w:rsidRPr="00031C07">
        <w:rPr>
          <w:rFonts w:ascii="Times New Roman" w:hAnsi="Times New Roman" w:cs="Times New Roman"/>
        </w:rPr>
        <w:t>Develop Candidate Customer-Specific Regression Models</w:t>
      </w:r>
      <w:bookmarkEnd w:id="27"/>
      <w:bookmarkEnd w:id="28"/>
    </w:p>
    <w:p w:rsidR="00031C07" w:rsidRDefault="00031C07" w:rsidP="00031C07">
      <w:pPr>
        <w:pStyle w:val="BodyText"/>
        <w:spacing w:after="0" w:line="276" w:lineRule="auto"/>
        <w:ind w:firstLine="720"/>
      </w:pPr>
    </w:p>
    <w:p w:rsidR="00031C07" w:rsidRPr="008227A8" w:rsidRDefault="00A16BE8" w:rsidP="00231CC3">
      <w:pPr>
        <w:pStyle w:val="BodyText"/>
        <w:spacing w:after="0" w:line="276" w:lineRule="auto"/>
        <w:ind w:firstLine="360"/>
        <w:rPr>
          <w:color w:val="000000" w:themeColor="text1"/>
        </w:rPr>
      </w:pPr>
      <w:r w:rsidRPr="00A7376E">
        <w:rPr>
          <w:color w:val="000000" w:themeColor="text1"/>
          <w:sz w:val="22"/>
          <w:szCs w:val="22"/>
        </w:rPr>
        <w:t>Table 2-1</w:t>
      </w:r>
      <w:r>
        <w:rPr>
          <w:color w:val="000000" w:themeColor="text1"/>
        </w:rPr>
        <w:t xml:space="preserve"> p</w:t>
      </w:r>
      <w:r w:rsidR="00031C07" w:rsidRPr="008227A8">
        <w:rPr>
          <w:color w:val="000000" w:themeColor="text1"/>
        </w:rPr>
        <w:t>resent</w:t>
      </w:r>
      <w:r w:rsidR="00B13077">
        <w:rPr>
          <w:color w:val="000000" w:themeColor="text1"/>
        </w:rPr>
        <w:t>s</w:t>
      </w:r>
      <w:r w:rsidR="00031C07" w:rsidRPr="008227A8">
        <w:rPr>
          <w:color w:val="000000" w:themeColor="text1"/>
        </w:rPr>
        <w:t xml:space="preserve"> the different explanatory variables that we</w:t>
      </w:r>
      <w:r w:rsidR="00B13077">
        <w:rPr>
          <w:color w:val="000000" w:themeColor="text1"/>
        </w:rPr>
        <w:t>re</w:t>
      </w:r>
      <w:r w:rsidR="00031C07" w:rsidRPr="008227A8">
        <w:rPr>
          <w:color w:val="000000" w:themeColor="text1"/>
        </w:rPr>
        <w:t xml:space="preserve"> used to create approximately 35 different candidate models for the CBP and AMP participants. </w:t>
      </w:r>
    </w:p>
    <w:p w:rsidR="00031C07" w:rsidRPr="00A84584" w:rsidRDefault="00031C07" w:rsidP="00031C07">
      <w:pPr>
        <w:pStyle w:val="TableCaption"/>
        <w:rPr>
          <w:sz w:val="22"/>
          <w:szCs w:val="22"/>
        </w:rPr>
      </w:pPr>
      <w:bookmarkStart w:id="29" w:name="_Ref442769851"/>
      <w:bookmarkStart w:id="30" w:name="_Toc445132328"/>
      <w:r w:rsidRPr="00A84584">
        <w:rPr>
          <w:sz w:val="22"/>
          <w:szCs w:val="22"/>
        </w:rPr>
        <w:lastRenderedPageBreak/>
        <w:t>Table 2</w:t>
      </w:r>
      <w:r w:rsidRPr="00A84584">
        <w:rPr>
          <w:sz w:val="22"/>
          <w:szCs w:val="22"/>
        </w:rPr>
        <w:noBreakHyphen/>
      </w:r>
      <w:r w:rsidRPr="00A84584">
        <w:rPr>
          <w:sz w:val="22"/>
          <w:szCs w:val="22"/>
        </w:rPr>
        <w:fldChar w:fldCharType="begin"/>
      </w:r>
      <w:r w:rsidRPr="00A84584">
        <w:rPr>
          <w:sz w:val="22"/>
          <w:szCs w:val="22"/>
        </w:rPr>
        <w:instrText xml:space="preserve"> SEQ Table \* ARABIC \s 1 </w:instrText>
      </w:r>
      <w:r w:rsidRPr="00A84584">
        <w:rPr>
          <w:sz w:val="22"/>
          <w:szCs w:val="22"/>
        </w:rPr>
        <w:fldChar w:fldCharType="separate"/>
      </w:r>
      <w:r w:rsidR="008A6A2B">
        <w:rPr>
          <w:noProof/>
          <w:sz w:val="22"/>
          <w:szCs w:val="22"/>
        </w:rPr>
        <w:t>1</w:t>
      </w:r>
      <w:r w:rsidRPr="00A84584">
        <w:rPr>
          <w:noProof/>
          <w:sz w:val="22"/>
          <w:szCs w:val="22"/>
        </w:rPr>
        <w:fldChar w:fldCharType="end"/>
      </w:r>
      <w:bookmarkEnd w:id="29"/>
      <w:r w:rsidR="00F959E2" w:rsidRPr="00A84584">
        <w:rPr>
          <w:noProof/>
          <w:sz w:val="22"/>
          <w:szCs w:val="22"/>
        </w:rPr>
        <w:t>.</w:t>
      </w:r>
      <w:r w:rsidRPr="00A84584">
        <w:rPr>
          <w:noProof/>
          <w:sz w:val="22"/>
          <w:szCs w:val="22"/>
        </w:rPr>
        <w:t xml:space="preserve"> </w:t>
      </w:r>
      <w:r w:rsidRPr="00A84584">
        <w:rPr>
          <w:sz w:val="22"/>
          <w:szCs w:val="22"/>
        </w:rPr>
        <w:t>Explanatory Variables Included in Candidate Regression Models</w:t>
      </w:r>
      <w:bookmarkEnd w:id="30"/>
      <w:r w:rsidRPr="00A84584">
        <w:rPr>
          <w:sz w:val="22"/>
          <w:szCs w:val="22"/>
        </w:rPr>
        <w:t xml:space="preserve"> </w:t>
      </w:r>
    </w:p>
    <w:tbl>
      <w:tblPr>
        <w:tblW w:w="0" w:type="auto"/>
        <w:jc w:val="center"/>
        <w:tblCellMar>
          <w:top w:w="29" w:type="dxa"/>
          <w:left w:w="115" w:type="dxa"/>
          <w:bottom w:w="29" w:type="dxa"/>
          <w:right w:w="115" w:type="dxa"/>
        </w:tblCellMar>
        <w:tblLook w:val="01E0" w:firstRow="1" w:lastRow="1" w:firstColumn="1" w:lastColumn="1" w:noHBand="0" w:noVBand="0"/>
      </w:tblPr>
      <w:tblGrid>
        <w:gridCol w:w="1708"/>
        <w:gridCol w:w="81"/>
        <w:gridCol w:w="7623"/>
      </w:tblGrid>
      <w:tr w:rsidR="00031C07" w:rsidRPr="001034BC" w:rsidTr="00031C07">
        <w:trPr>
          <w:trHeight w:val="394"/>
          <w:jc w:val="center"/>
        </w:trPr>
        <w:tc>
          <w:tcPr>
            <w:tcW w:w="1656" w:type="dxa"/>
            <w:tcBorders>
              <w:bottom w:val="single" w:sz="4" w:space="0" w:color="595959" w:themeColor="text1" w:themeTint="A6"/>
            </w:tcBorders>
            <w:shd w:val="clear" w:color="auto" w:fill="1A1D5D"/>
            <w:vAlign w:val="center"/>
          </w:tcPr>
          <w:p w:rsidR="00031C07" w:rsidRPr="00EA5242" w:rsidRDefault="00031C07" w:rsidP="00031C07">
            <w:pPr>
              <w:keepNext/>
              <w:keepLines/>
              <w:rPr>
                <w:b/>
                <w:color w:val="FFFFFF" w:themeColor="background1"/>
                <w:sz w:val="20"/>
                <w:szCs w:val="20"/>
              </w:rPr>
            </w:pPr>
            <w:r w:rsidRPr="00EA5242">
              <w:rPr>
                <w:b/>
                <w:color w:val="FFFFFF" w:themeColor="background1"/>
                <w:sz w:val="20"/>
                <w:szCs w:val="20"/>
              </w:rPr>
              <w:t xml:space="preserve">Variable Name </w:t>
            </w:r>
          </w:p>
        </w:tc>
        <w:tc>
          <w:tcPr>
            <w:tcW w:w="7704" w:type="dxa"/>
            <w:gridSpan w:val="2"/>
            <w:tcBorders>
              <w:bottom w:val="single" w:sz="4" w:space="0" w:color="595959" w:themeColor="text1" w:themeTint="A6"/>
            </w:tcBorders>
            <w:shd w:val="clear" w:color="auto" w:fill="1A1D5D"/>
            <w:vAlign w:val="center"/>
          </w:tcPr>
          <w:p w:rsidR="00031C07" w:rsidRPr="00EA5242" w:rsidRDefault="00031C07" w:rsidP="00031C07">
            <w:pPr>
              <w:keepNext/>
              <w:keepLines/>
              <w:rPr>
                <w:b/>
                <w:color w:val="FFFFFF" w:themeColor="background1"/>
                <w:sz w:val="20"/>
                <w:szCs w:val="20"/>
              </w:rPr>
            </w:pPr>
            <w:r w:rsidRPr="00EA5242">
              <w:rPr>
                <w:b/>
                <w:color w:val="FFFFFF" w:themeColor="background1"/>
                <w:sz w:val="20"/>
                <w:szCs w:val="20"/>
              </w:rPr>
              <w:t xml:space="preserve">                                               Variable Description</w:t>
            </w:r>
          </w:p>
        </w:tc>
      </w:tr>
      <w:tr w:rsidR="00031C07" w:rsidRPr="001034BC" w:rsidTr="00031C07">
        <w:trPr>
          <w:jc w:val="center"/>
        </w:trPr>
        <w:tc>
          <w:tcPr>
            <w:tcW w:w="1656" w:type="dxa"/>
            <w:tcBorders>
              <w:top w:val="single" w:sz="4" w:space="0" w:color="595959" w:themeColor="text1" w:themeTint="A6"/>
              <w:bottom w:val="single" w:sz="4" w:space="0" w:color="595959" w:themeColor="text1" w:themeTint="A6"/>
            </w:tcBorders>
            <w:shd w:val="clear" w:color="auto" w:fill="auto"/>
            <w:vAlign w:val="center"/>
          </w:tcPr>
          <w:p w:rsidR="00031C07" w:rsidRPr="00EA5242" w:rsidRDefault="00031C07" w:rsidP="00031C07">
            <w:pPr>
              <w:keepNext/>
              <w:keepLines/>
              <w:rPr>
                <w:i/>
                <w:sz w:val="20"/>
                <w:szCs w:val="20"/>
              </w:rPr>
            </w:pPr>
          </w:p>
        </w:tc>
        <w:tc>
          <w:tcPr>
            <w:tcW w:w="7704" w:type="dxa"/>
            <w:gridSpan w:val="2"/>
            <w:tcBorders>
              <w:top w:val="single" w:sz="4" w:space="0" w:color="595959" w:themeColor="text1" w:themeTint="A6"/>
              <w:bottom w:val="single" w:sz="4" w:space="0" w:color="595959" w:themeColor="text1" w:themeTint="A6"/>
            </w:tcBorders>
            <w:shd w:val="clear" w:color="auto" w:fill="auto"/>
            <w:vAlign w:val="center"/>
          </w:tcPr>
          <w:p w:rsidR="00031C07" w:rsidRPr="00EA5242" w:rsidRDefault="00031C07" w:rsidP="00031C07">
            <w:pPr>
              <w:keepNext/>
              <w:keepLines/>
              <w:rPr>
                <w:i/>
                <w:sz w:val="20"/>
                <w:szCs w:val="20"/>
              </w:rPr>
            </w:pPr>
            <w:r w:rsidRPr="00EA5242">
              <w:rPr>
                <w:i/>
                <w:sz w:val="20"/>
                <w:szCs w:val="20"/>
              </w:rPr>
              <w:t>Baseline Variables</w:t>
            </w:r>
          </w:p>
        </w:tc>
      </w:tr>
      <w:tr w:rsidR="00031C07" w:rsidRPr="001034BC" w:rsidTr="00031C07">
        <w:trPr>
          <w:jc w:val="center"/>
        </w:trPr>
        <w:tc>
          <w:tcPr>
            <w:tcW w:w="1656" w:type="dxa"/>
            <w:shd w:val="clear" w:color="auto" w:fill="auto"/>
            <w:vAlign w:val="center"/>
          </w:tcPr>
          <w:p w:rsidR="00031C07" w:rsidRPr="00EA5242" w:rsidRDefault="00031C07" w:rsidP="00031C07">
            <w:pPr>
              <w:keepNext/>
              <w:keepLines/>
              <w:jc w:val="center"/>
              <w:rPr>
                <w:sz w:val="20"/>
                <w:szCs w:val="20"/>
                <w:vertAlign w:val="subscript"/>
              </w:rPr>
            </w:pPr>
            <w:r w:rsidRPr="00EA5242">
              <w:rPr>
                <w:sz w:val="20"/>
                <w:szCs w:val="20"/>
              </w:rPr>
              <w:t>Weather</w:t>
            </w:r>
            <w:r w:rsidRPr="00EA5242">
              <w:rPr>
                <w:sz w:val="20"/>
                <w:szCs w:val="20"/>
                <w:vertAlign w:val="subscript"/>
              </w:rPr>
              <w:t>i,d</w:t>
            </w:r>
          </w:p>
        </w:tc>
        <w:tc>
          <w:tcPr>
            <w:tcW w:w="7704" w:type="dxa"/>
            <w:gridSpan w:val="2"/>
            <w:shd w:val="clear" w:color="auto" w:fill="auto"/>
            <w:vAlign w:val="center"/>
          </w:tcPr>
          <w:p w:rsidR="00031C07" w:rsidRPr="00EA5242" w:rsidRDefault="00031C07" w:rsidP="00031C07">
            <w:pPr>
              <w:keepNext/>
              <w:keepLines/>
              <w:rPr>
                <w:sz w:val="20"/>
                <w:szCs w:val="20"/>
              </w:rPr>
            </w:pPr>
            <w:r w:rsidRPr="00EA5242">
              <w:rPr>
                <w:sz w:val="20"/>
                <w:szCs w:val="20"/>
              </w:rPr>
              <w:t>Weather related variables including average daily temperature, multiple cooling degree hour (CDH) terms with base values of 75, 70, and 65 depending on service territory, and lagged versions of various weather related variables</w:t>
            </w:r>
          </w:p>
        </w:tc>
      </w:tr>
      <w:tr w:rsidR="00031C07" w:rsidRPr="001034BC" w:rsidTr="00031C07">
        <w:trPr>
          <w:jc w:val="center"/>
        </w:trPr>
        <w:tc>
          <w:tcPr>
            <w:tcW w:w="1656" w:type="dxa"/>
            <w:shd w:val="clear" w:color="auto" w:fill="auto"/>
            <w:vAlign w:val="center"/>
          </w:tcPr>
          <w:p w:rsidR="00031C07" w:rsidRPr="00EA5242" w:rsidRDefault="00031C07" w:rsidP="00031C07">
            <w:pPr>
              <w:keepNext/>
              <w:keepLines/>
              <w:jc w:val="center"/>
              <w:rPr>
                <w:i/>
                <w:sz w:val="20"/>
                <w:szCs w:val="20"/>
              </w:rPr>
            </w:pPr>
            <w:r w:rsidRPr="00EA5242">
              <w:rPr>
                <w:sz w:val="20"/>
                <w:szCs w:val="20"/>
              </w:rPr>
              <w:t>Month</w:t>
            </w:r>
            <w:r w:rsidRPr="00EA5242">
              <w:rPr>
                <w:sz w:val="20"/>
                <w:szCs w:val="20"/>
                <w:vertAlign w:val="subscript"/>
              </w:rPr>
              <w:t>i,d</w:t>
            </w:r>
          </w:p>
        </w:tc>
        <w:tc>
          <w:tcPr>
            <w:tcW w:w="7704" w:type="dxa"/>
            <w:gridSpan w:val="2"/>
            <w:shd w:val="clear" w:color="auto" w:fill="auto"/>
            <w:vAlign w:val="center"/>
          </w:tcPr>
          <w:p w:rsidR="00031C07" w:rsidRPr="00EA5242" w:rsidRDefault="00031C07" w:rsidP="00031C07">
            <w:pPr>
              <w:keepNext/>
              <w:keepLines/>
              <w:rPr>
                <w:sz w:val="20"/>
                <w:szCs w:val="20"/>
              </w:rPr>
            </w:pPr>
            <w:r w:rsidRPr="00EA5242">
              <w:rPr>
                <w:sz w:val="20"/>
                <w:szCs w:val="20"/>
              </w:rPr>
              <w:t xml:space="preserve">A series of indicator variables for each month </w:t>
            </w:r>
          </w:p>
        </w:tc>
      </w:tr>
      <w:tr w:rsidR="00031C07" w:rsidRPr="001034BC" w:rsidTr="00031C07">
        <w:trPr>
          <w:jc w:val="center"/>
        </w:trPr>
        <w:tc>
          <w:tcPr>
            <w:tcW w:w="1656" w:type="dxa"/>
            <w:shd w:val="clear" w:color="auto" w:fill="auto"/>
            <w:vAlign w:val="center"/>
          </w:tcPr>
          <w:p w:rsidR="00031C07" w:rsidRPr="00EA5242" w:rsidRDefault="00031C07" w:rsidP="00031C07">
            <w:pPr>
              <w:keepNext/>
              <w:keepLines/>
              <w:jc w:val="center"/>
              <w:rPr>
                <w:sz w:val="20"/>
                <w:szCs w:val="20"/>
              </w:rPr>
            </w:pPr>
            <w:r w:rsidRPr="00EA5242">
              <w:rPr>
                <w:sz w:val="20"/>
                <w:szCs w:val="20"/>
              </w:rPr>
              <w:t>DayOfWeek</w:t>
            </w:r>
            <w:r w:rsidRPr="00EA5242">
              <w:rPr>
                <w:sz w:val="20"/>
                <w:szCs w:val="20"/>
                <w:vertAlign w:val="subscript"/>
              </w:rPr>
              <w:t>i,d</w:t>
            </w:r>
          </w:p>
        </w:tc>
        <w:tc>
          <w:tcPr>
            <w:tcW w:w="7704" w:type="dxa"/>
            <w:gridSpan w:val="2"/>
            <w:shd w:val="clear" w:color="auto" w:fill="auto"/>
            <w:vAlign w:val="center"/>
          </w:tcPr>
          <w:p w:rsidR="00031C07" w:rsidRPr="00EA5242" w:rsidRDefault="00031C07" w:rsidP="00031C07">
            <w:pPr>
              <w:keepNext/>
              <w:keepLines/>
              <w:rPr>
                <w:sz w:val="20"/>
                <w:szCs w:val="20"/>
              </w:rPr>
            </w:pPr>
            <w:r w:rsidRPr="00EA5242">
              <w:rPr>
                <w:sz w:val="20"/>
                <w:szCs w:val="20"/>
              </w:rPr>
              <w:t>A series of indicator variables for each day of the week</w:t>
            </w:r>
          </w:p>
        </w:tc>
      </w:tr>
      <w:tr w:rsidR="00031C07" w:rsidRPr="001034BC" w:rsidTr="00031C07">
        <w:trPr>
          <w:jc w:val="center"/>
        </w:trPr>
        <w:tc>
          <w:tcPr>
            <w:tcW w:w="1656" w:type="dxa"/>
            <w:shd w:val="clear" w:color="auto" w:fill="auto"/>
            <w:vAlign w:val="center"/>
          </w:tcPr>
          <w:p w:rsidR="00031C07" w:rsidRPr="00EA5242" w:rsidRDefault="00031C07" w:rsidP="00031C07">
            <w:pPr>
              <w:keepNext/>
              <w:keepLines/>
              <w:jc w:val="center"/>
              <w:rPr>
                <w:sz w:val="20"/>
                <w:szCs w:val="20"/>
                <w:vertAlign w:val="subscript"/>
              </w:rPr>
            </w:pPr>
            <w:r w:rsidRPr="00EA5242">
              <w:rPr>
                <w:sz w:val="20"/>
                <w:szCs w:val="20"/>
              </w:rPr>
              <w:t>Year</w:t>
            </w:r>
            <w:r w:rsidRPr="00EA5242">
              <w:rPr>
                <w:sz w:val="20"/>
                <w:szCs w:val="20"/>
                <w:vertAlign w:val="subscript"/>
              </w:rPr>
              <w:t>i,d</w:t>
            </w:r>
          </w:p>
        </w:tc>
        <w:tc>
          <w:tcPr>
            <w:tcW w:w="7704" w:type="dxa"/>
            <w:gridSpan w:val="2"/>
            <w:shd w:val="clear" w:color="auto" w:fill="auto"/>
            <w:vAlign w:val="center"/>
          </w:tcPr>
          <w:p w:rsidR="00031C07" w:rsidRPr="00EA5242" w:rsidRDefault="00031C07" w:rsidP="00031C07">
            <w:pPr>
              <w:keepNext/>
              <w:keepLines/>
              <w:rPr>
                <w:sz w:val="20"/>
                <w:szCs w:val="20"/>
              </w:rPr>
            </w:pPr>
            <w:r w:rsidRPr="00EA5242">
              <w:rPr>
                <w:sz w:val="20"/>
                <w:szCs w:val="20"/>
              </w:rPr>
              <w:t>An indicator for the year 2015</w:t>
            </w:r>
          </w:p>
        </w:tc>
      </w:tr>
      <w:tr w:rsidR="00031C07" w:rsidRPr="001034BC" w:rsidTr="00031C07">
        <w:trPr>
          <w:jc w:val="center"/>
        </w:trPr>
        <w:tc>
          <w:tcPr>
            <w:tcW w:w="1656" w:type="dxa"/>
            <w:shd w:val="clear" w:color="auto" w:fill="auto"/>
            <w:vAlign w:val="center"/>
          </w:tcPr>
          <w:p w:rsidR="00031C07" w:rsidRPr="00EA5242" w:rsidRDefault="00031C07" w:rsidP="00031C07">
            <w:pPr>
              <w:keepNext/>
              <w:keepLines/>
              <w:jc w:val="center"/>
              <w:rPr>
                <w:sz w:val="20"/>
                <w:szCs w:val="20"/>
              </w:rPr>
            </w:pPr>
            <w:r w:rsidRPr="00EA5242">
              <w:rPr>
                <w:sz w:val="20"/>
                <w:szCs w:val="20"/>
              </w:rPr>
              <w:t>OtherEvt</w:t>
            </w:r>
            <w:r w:rsidRPr="00EA5242">
              <w:rPr>
                <w:sz w:val="20"/>
                <w:szCs w:val="20"/>
                <w:vertAlign w:val="subscript"/>
              </w:rPr>
              <w:t>i,d</w:t>
            </w:r>
          </w:p>
        </w:tc>
        <w:tc>
          <w:tcPr>
            <w:tcW w:w="7704" w:type="dxa"/>
            <w:gridSpan w:val="2"/>
            <w:shd w:val="clear" w:color="auto" w:fill="auto"/>
            <w:vAlign w:val="center"/>
          </w:tcPr>
          <w:p w:rsidR="00031C07" w:rsidRPr="00EA5242" w:rsidRDefault="00031C07" w:rsidP="00031C07">
            <w:pPr>
              <w:keepNext/>
              <w:keepLines/>
              <w:rPr>
                <w:sz w:val="20"/>
                <w:szCs w:val="20"/>
              </w:rPr>
            </w:pPr>
            <w:r w:rsidRPr="00EA5242">
              <w:rPr>
                <w:sz w:val="20"/>
                <w:szCs w:val="20"/>
              </w:rPr>
              <w:t xml:space="preserve">Equals one on event days of other demand response programs in which the customer is enrolled </w:t>
            </w:r>
          </w:p>
        </w:tc>
      </w:tr>
      <w:tr w:rsidR="00031C07" w:rsidRPr="001034BC" w:rsidTr="00031C07">
        <w:trPr>
          <w:jc w:val="center"/>
        </w:trPr>
        <w:tc>
          <w:tcPr>
            <w:tcW w:w="1656" w:type="dxa"/>
            <w:tcBorders>
              <w:bottom w:val="single" w:sz="4" w:space="0" w:color="595959" w:themeColor="text1" w:themeTint="A6"/>
            </w:tcBorders>
            <w:shd w:val="clear" w:color="auto" w:fill="auto"/>
            <w:vAlign w:val="center"/>
          </w:tcPr>
          <w:p w:rsidR="00031C07" w:rsidRPr="00EA5242" w:rsidRDefault="00031C07" w:rsidP="00031C07">
            <w:pPr>
              <w:keepNext/>
              <w:keepLines/>
              <w:jc w:val="center"/>
              <w:rPr>
                <w:sz w:val="20"/>
                <w:szCs w:val="20"/>
              </w:rPr>
            </w:pPr>
            <w:r w:rsidRPr="00EA5242">
              <w:rPr>
                <w:sz w:val="20"/>
                <w:szCs w:val="20"/>
              </w:rPr>
              <w:t>MornLoad</w:t>
            </w:r>
            <w:r w:rsidRPr="00EA5242">
              <w:rPr>
                <w:sz w:val="20"/>
                <w:szCs w:val="20"/>
                <w:vertAlign w:val="subscript"/>
              </w:rPr>
              <w:t>i,d</w:t>
            </w:r>
          </w:p>
        </w:tc>
        <w:tc>
          <w:tcPr>
            <w:tcW w:w="7704" w:type="dxa"/>
            <w:gridSpan w:val="2"/>
            <w:shd w:val="clear" w:color="auto" w:fill="auto"/>
            <w:vAlign w:val="center"/>
          </w:tcPr>
          <w:p w:rsidR="00031C07" w:rsidRPr="00EA5242" w:rsidRDefault="00031C07" w:rsidP="00031C07">
            <w:pPr>
              <w:keepNext/>
              <w:keepLines/>
              <w:rPr>
                <w:sz w:val="20"/>
                <w:szCs w:val="20"/>
              </w:rPr>
            </w:pPr>
            <w:r w:rsidRPr="00EA5242">
              <w:rPr>
                <w:sz w:val="20"/>
                <w:szCs w:val="20"/>
              </w:rPr>
              <w:t>The average of each day’s load in hours 5 am through 10 am</w:t>
            </w:r>
          </w:p>
        </w:tc>
      </w:tr>
      <w:tr w:rsidR="00031C07" w:rsidRPr="001034BC" w:rsidTr="00031C07">
        <w:trPr>
          <w:jc w:val="center"/>
        </w:trPr>
        <w:tc>
          <w:tcPr>
            <w:tcW w:w="1737" w:type="dxa"/>
            <w:gridSpan w:val="2"/>
            <w:tcBorders>
              <w:top w:val="single" w:sz="4" w:space="0" w:color="595959" w:themeColor="text1" w:themeTint="A6"/>
              <w:bottom w:val="single" w:sz="4" w:space="0" w:color="595959" w:themeColor="text1" w:themeTint="A6"/>
            </w:tcBorders>
            <w:shd w:val="clear" w:color="auto" w:fill="auto"/>
            <w:vAlign w:val="center"/>
          </w:tcPr>
          <w:p w:rsidR="00031C07" w:rsidRPr="00EA5242" w:rsidRDefault="00031C07" w:rsidP="00031C07">
            <w:pPr>
              <w:keepNext/>
              <w:keepLines/>
              <w:rPr>
                <w:sz w:val="20"/>
                <w:szCs w:val="20"/>
              </w:rPr>
            </w:pPr>
          </w:p>
        </w:tc>
        <w:tc>
          <w:tcPr>
            <w:tcW w:w="7623" w:type="dxa"/>
            <w:tcBorders>
              <w:top w:val="single" w:sz="4" w:space="0" w:color="595959" w:themeColor="text1" w:themeTint="A6"/>
              <w:bottom w:val="single" w:sz="4" w:space="0" w:color="595959" w:themeColor="text1" w:themeTint="A6"/>
            </w:tcBorders>
            <w:shd w:val="clear" w:color="auto" w:fill="auto"/>
            <w:vAlign w:val="center"/>
          </w:tcPr>
          <w:p w:rsidR="00031C07" w:rsidRPr="00EA5242" w:rsidRDefault="00031C07" w:rsidP="00031C07">
            <w:pPr>
              <w:keepNext/>
              <w:keepLines/>
              <w:rPr>
                <w:i/>
                <w:sz w:val="20"/>
                <w:szCs w:val="20"/>
              </w:rPr>
            </w:pPr>
            <w:r w:rsidRPr="00EA5242">
              <w:rPr>
                <w:i/>
                <w:sz w:val="20"/>
                <w:szCs w:val="20"/>
              </w:rPr>
              <w:t>Impact Variables</w:t>
            </w:r>
          </w:p>
        </w:tc>
      </w:tr>
      <w:tr w:rsidR="00031C07" w:rsidRPr="001034BC" w:rsidTr="00031C07">
        <w:trPr>
          <w:jc w:val="center"/>
        </w:trPr>
        <w:tc>
          <w:tcPr>
            <w:tcW w:w="1656" w:type="dxa"/>
            <w:tcBorders>
              <w:top w:val="single" w:sz="4" w:space="0" w:color="595959" w:themeColor="text1" w:themeTint="A6"/>
              <w:bottom w:val="single" w:sz="4" w:space="0" w:color="FFFFFF" w:themeColor="background1"/>
            </w:tcBorders>
            <w:shd w:val="clear" w:color="auto" w:fill="auto"/>
            <w:vAlign w:val="center"/>
          </w:tcPr>
          <w:p w:rsidR="00031C07" w:rsidRPr="00EA5242" w:rsidRDefault="00031C07" w:rsidP="00031C07">
            <w:pPr>
              <w:keepNext/>
              <w:keepLines/>
              <w:jc w:val="center"/>
              <w:rPr>
                <w:sz w:val="20"/>
                <w:szCs w:val="20"/>
              </w:rPr>
            </w:pPr>
            <w:r w:rsidRPr="00EA5242">
              <w:rPr>
                <w:sz w:val="20"/>
                <w:szCs w:val="20"/>
              </w:rPr>
              <w:t>P</w:t>
            </w:r>
            <w:r w:rsidRPr="00EA5242">
              <w:rPr>
                <w:sz w:val="20"/>
                <w:szCs w:val="20"/>
                <w:vertAlign w:val="subscript"/>
              </w:rPr>
              <w:t>t,d</w:t>
            </w:r>
          </w:p>
        </w:tc>
        <w:tc>
          <w:tcPr>
            <w:tcW w:w="7704" w:type="dxa"/>
            <w:gridSpan w:val="2"/>
            <w:tcBorders>
              <w:top w:val="single" w:sz="4" w:space="0" w:color="595959" w:themeColor="text1" w:themeTint="A6"/>
              <w:bottom w:val="single" w:sz="4" w:space="0" w:color="FFFFFF" w:themeColor="background1"/>
            </w:tcBorders>
            <w:shd w:val="clear" w:color="auto" w:fill="auto"/>
            <w:vAlign w:val="center"/>
          </w:tcPr>
          <w:p w:rsidR="00031C07" w:rsidRPr="00EA5242" w:rsidRDefault="00031C07" w:rsidP="00031C07">
            <w:pPr>
              <w:keepNext/>
              <w:keepLines/>
              <w:rPr>
                <w:sz w:val="20"/>
                <w:szCs w:val="20"/>
              </w:rPr>
            </w:pPr>
            <w:r w:rsidRPr="00EA5242">
              <w:rPr>
                <w:sz w:val="20"/>
                <w:szCs w:val="20"/>
              </w:rPr>
              <w:t>An indicator variable for aggregator program event days</w:t>
            </w:r>
          </w:p>
        </w:tc>
      </w:tr>
      <w:tr w:rsidR="00031C07" w:rsidRPr="001034BC" w:rsidTr="00031C07">
        <w:trPr>
          <w:jc w:val="center"/>
        </w:trPr>
        <w:tc>
          <w:tcPr>
            <w:tcW w:w="1656" w:type="dxa"/>
            <w:tcBorders>
              <w:top w:val="single" w:sz="4" w:space="0" w:color="FFFFFF" w:themeColor="background1"/>
              <w:bottom w:val="single" w:sz="4" w:space="0" w:color="FFFFFF" w:themeColor="background1"/>
            </w:tcBorders>
            <w:shd w:val="clear" w:color="auto" w:fill="auto"/>
            <w:vAlign w:val="center"/>
          </w:tcPr>
          <w:p w:rsidR="00031C07" w:rsidRPr="00EA5242" w:rsidRDefault="00031C07" w:rsidP="00031C07">
            <w:pPr>
              <w:keepNext/>
              <w:keepLines/>
              <w:jc w:val="center"/>
              <w:rPr>
                <w:sz w:val="20"/>
                <w:szCs w:val="20"/>
              </w:rPr>
            </w:pPr>
            <w:r w:rsidRPr="00EA5242">
              <w:rPr>
                <w:sz w:val="20"/>
                <w:szCs w:val="20"/>
              </w:rPr>
              <w:t>P * Weather</w:t>
            </w:r>
            <w:r w:rsidRPr="00EA5242">
              <w:rPr>
                <w:sz w:val="20"/>
                <w:szCs w:val="20"/>
                <w:vertAlign w:val="subscript"/>
              </w:rPr>
              <w:t>t,d</w:t>
            </w:r>
          </w:p>
        </w:tc>
        <w:tc>
          <w:tcPr>
            <w:tcW w:w="7704" w:type="dxa"/>
            <w:gridSpan w:val="2"/>
            <w:tcBorders>
              <w:top w:val="single" w:sz="4" w:space="0" w:color="FFFFFF" w:themeColor="background1"/>
              <w:bottom w:val="single" w:sz="4" w:space="0" w:color="FFFFFF" w:themeColor="background1"/>
            </w:tcBorders>
            <w:shd w:val="clear" w:color="auto" w:fill="auto"/>
            <w:vAlign w:val="center"/>
          </w:tcPr>
          <w:p w:rsidR="00031C07" w:rsidRPr="00EA5242" w:rsidRDefault="00031C07" w:rsidP="00031C07">
            <w:pPr>
              <w:keepNext/>
              <w:keepLines/>
              <w:rPr>
                <w:sz w:val="20"/>
                <w:szCs w:val="20"/>
              </w:rPr>
            </w:pPr>
            <w:r w:rsidRPr="00EA5242">
              <w:rPr>
                <w:sz w:val="20"/>
                <w:szCs w:val="20"/>
              </w:rPr>
              <w:t>An indicator variable for aggregator program event days interacted with weather terms</w:t>
            </w:r>
          </w:p>
        </w:tc>
      </w:tr>
      <w:tr w:rsidR="00031C07" w:rsidRPr="001034BC" w:rsidTr="00031C07">
        <w:trPr>
          <w:jc w:val="center"/>
        </w:trPr>
        <w:tc>
          <w:tcPr>
            <w:tcW w:w="1656" w:type="dxa"/>
            <w:tcBorders>
              <w:top w:val="single" w:sz="4" w:space="0" w:color="FFFFFF" w:themeColor="background1"/>
              <w:bottom w:val="single" w:sz="4" w:space="0" w:color="FFFFFF" w:themeColor="background1"/>
            </w:tcBorders>
            <w:shd w:val="clear" w:color="auto" w:fill="auto"/>
            <w:vAlign w:val="center"/>
          </w:tcPr>
          <w:p w:rsidR="00031C07" w:rsidRPr="00EA5242" w:rsidRDefault="00031C07" w:rsidP="00031C07">
            <w:pPr>
              <w:keepNext/>
              <w:keepLines/>
              <w:jc w:val="center"/>
              <w:rPr>
                <w:sz w:val="20"/>
                <w:szCs w:val="20"/>
                <w:vertAlign w:val="subscript"/>
              </w:rPr>
            </w:pPr>
            <w:r w:rsidRPr="00EA5242">
              <w:rPr>
                <w:sz w:val="20"/>
                <w:szCs w:val="20"/>
              </w:rPr>
              <w:t>P * Year</w:t>
            </w:r>
            <w:r w:rsidRPr="00EA5242">
              <w:rPr>
                <w:sz w:val="20"/>
                <w:szCs w:val="20"/>
                <w:vertAlign w:val="subscript"/>
              </w:rPr>
              <w:t>i,d</w:t>
            </w:r>
          </w:p>
        </w:tc>
        <w:tc>
          <w:tcPr>
            <w:tcW w:w="7704" w:type="dxa"/>
            <w:gridSpan w:val="2"/>
            <w:tcBorders>
              <w:top w:val="single" w:sz="4" w:space="0" w:color="FFFFFF" w:themeColor="background1"/>
              <w:bottom w:val="single" w:sz="4" w:space="0" w:color="FFFFFF" w:themeColor="background1"/>
            </w:tcBorders>
            <w:shd w:val="clear" w:color="auto" w:fill="auto"/>
            <w:vAlign w:val="center"/>
          </w:tcPr>
          <w:p w:rsidR="00031C07" w:rsidRPr="00EA5242" w:rsidRDefault="00031C07" w:rsidP="00031C07">
            <w:pPr>
              <w:keepNext/>
              <w:keepLines/>
              <w:rPr>
                <w:sz w:val="20"/>
                <w:szCs w:val="20"/>
              </w:rPr>
            </w:pPr>
            <w:r w:rsidRPr="00EA5242">
              <w:rPr>
                <w:sz w:val="20"/>
                <w:szCs w:val="20"/>
              </w:rPr>
              <w:t>An indicator variable for aggregator program event days interacted with the year 2015</w:t>
            </w:r>
          </w:p>
        </w:tc>
      </w:tr>
      <w:tr w:rsidR="00031C07" w:rsidRPr="001034BC" w:rsidTr="00031C07">
        <w:trPr>
          <w:jc w:val="center"/>
        </w:trPr>
        <w:tc>
          <w:tcPr>
            <w:tcW w:w="1656" w:type="dxa"/>
            <w:tcBorders>
              <w:top w:val="single" w:sz="4" w:space="0" w:color="FFFFFF" w:themeColor="background1"/>
              <w:bottom w:val="single" w:sz="4" w:space="0" w:color="7F7F7F" w:themeColor="text1" w:themeTint="80"/>
            </w:tcBorders>
            <w:shd w:val="clear" w:color="auto" w:fill="auto"/>
            <w:vAlign w:val="center"/>
          </w:tcPr>
          <w:p w:rsidR="00031C07" w:rsidRPr="00EA5242" w:rsidRDefault="00031C07" w:rsidP="00031C07">
            <w:pPr>
              <w:keepNext/>
              <w:keepLines/>
              <w:jc w:val="center"/>
              <w:rPr>
                <w:sz w:val="20"/>
                <w:szCs w:val="20"/>
                <w:vertAlign w:val="subscript"/>
              </w:rPr>
            </w:pPr>
            <w:r w:rsidRPr="00EA5242">
              <w:rPr>
                <w:sz w:val="20"/>
                <w:szCs w:val="20"/>
              </w:rPr>
              <w:t>P*NonTypEvent</w:t>
            </w:r>
            <w:r w:rsidRPr="00EA5242">
              <w:rPr>
                <w:sz w:val="20"/>
                <w:szCs w:val="20"/>
                <w:vertAlign w:val="subscript"/>
              </w:rPr>
              <w:t>i,d</w:t>
            </w:r>
          </w:p>
        </w:tc>
        <w:tc>
          <w:tcPr>
            <w:tcW w:w="7704" w:type="dxa"/>
            <w:gridSpan w:val="2"/>
            <w:tcBorders>
              <w:top w:val="single" w:sz="4" w:space="0" w:color="FFFFFF" w:themeColor="background1"/>
              <w:bottom w:val="single" w:sz="4" w:space="0" w:color="7F7F7F" w:themeColor="text1" w:themeTint="80"/>
            </w:tcBorders>
            <w:shd w:val="clear" w:color="auto" w:fill="auto"/>
            <w:vAlign w:val="center"/>
          </w:tcPr>
          <w:p w:rsidR="00031C07" w:rsidRPr="00EA5242" w:rsidRDefault="00031C07" w:rsidP="00031C07">
            <w:pPr>
              <w:keepNext/>
              <w:keepLines/>
              <w:rPr>
                <w:sz w:val="20"/>
                <w:szCs w:val="20"/>
              </w:rPr>
            </w:pPr>
            <w:r w:rsidRPr="00EA5242">
              <w:rPr>
                <w:sz w:val="20"/>
                <w:szCs w:val="20"/>
              </w:rPr>
              <w:t>An indicator variable for aggregator program event days interacted with an indicator for non-typical event windows (outside of HE 16-19)</w:t>
            </w:r>
          </w:p>
        </w:tc>
      </w:tr>
    </w:tbl>
    <w:p w:rsidR="00031C07" w:rsidRDefault="00031C07" w:rsidP="00031C07">
      <w:pPr>
        <w:pStyle w:val="BodyText"/>
        <w:spacing w:before="120"/>
      </w:pPr>
    </w:p>
    <w:p w:rsidR="00031C07" w:rsidRPr="008227A8" w:rsidRDefault="00031C07" w:rsidP="00231CC3">
      <w:pPr>
        <w:pStyle w:val="BodyText"/>
        <w:spacing w:after="0" w:line="276" w:lineRule="auto"/>
        <w:ind w:firstLine="360"/>
        <w:rPr>
          <w:color w:val="000000" w:themeColor="text1"/>
        </w:rPr>
      </w:pPr>
      <w:r w:rsidRPr="008227A8">
        <w:rPr>
          <w:color w:val="000000" w:themeColor="text1"/>
        </w:rPr>
        <w:t xml:space="preserve">AEG used the different variables presented above to create sets of candidate models that represent a wide variety of customers and their impacts. Each IOU has customized sets of candidate models, but in general, the candidate models fit into two basic categories with a total of approximately 25 weather sensitive models, and 10 non-weather sensitive models: </w:t>
      </w:r>
    </w:p>
    <w:p w:rsidR="00031C07" w:rsidRPr="008227A8" w:rsidRDefault="00031C07" w:rsidP="00231CC3">
      <w:pPr>
        <w:pStyle w:val="BulletedList0"/>
        <w:spacing w:after="0" w:line="276" w:lineRule="auto"/>
        <w:ind w:left="0" w:firstLine="360"/>
        <w:contextualSpacing w:val="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Weather-sensitive models that include weather effects and calendar effects. These models are less likely to require a morning load adjustment due to much of the variation in load on a day-to-day basis being captured by weather terms.</w:t>
      </w:r>
    </w:p>
    <w:p w:rsidR="00031C07" w:rsidRPr="008227A8" w:rsidRDefault="00031C07" w:rsidP="00231CC3">
      <w:pPr>
        <w:pStyle w:val="BulletedList0"/>
        <w:spacing w:after="0" w:line="276" w:lineRule="auto"/>
        <w:ind w:left="0" w:firstLine="360"/>
        <w:contextualSpacing w:val="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Non-weather sensitive models that include the morning load adjustment and calendar effects.</w:t>
      </w:r>
    </w:p>
    <w:p w:rsidR="00031C07" w:rsidRPr="00031C07" w:rsidRDefault="00031C07" w:rsidP="00EA5242">
      <w:pPr>
        <w:pStyle w:val="Heading3"/>
        <w:tabs>
          <w:tab w:val="left" w:pos="720"/>
        </w:tabs>
        <w:ind w:hanging="1260"/>
        <w:rPr>
          <w:rFonts w:ascii="Times New Roman" w:hAnsi="Times New Roman" w:cs="Times New Roman"/>
        </w:rPr>
      </w:pPr>
      <w:bookmarkStart w:id="31" w:name="_Toc445127173"/>
      <w:bookmarkStart w:id="32" w:name="_Toc447179765"/>
      <w:r w:rsidRPr="00031C07">
        <w:rPr>
          <w:rFonts w:ascii="Times New Roman" w:hAnsi="Times New Roman" w:cs="Times New Roman"/>
        </w:rPr>
        <w:t>Optimization Process</w:t>
      </w:r>
      <w:bookmarkEnd w:id="31"/>
      <w:bookmarkEnd w:id="32"/>
    </w:p>
    <w:p w:rsidR="00031C07" w:rsidRDefault="00031C07" w:rsidP="00031C07">
      <w:pPr>
        <w:pStyle w:val="BodyText"/>
      </w:pPr>
    </w:p>
    <w:p w:rsidR="00031C07" w:rsidRPr="008227A8" w:rsidRDefault="00031C07" w:rsidP="00231CC3">
      <w:pPr>
        <w:pStyle w:val="BodyText"/>
        <w:spacing w:after="0" w:line="276" w:lineRule="auto"/>
        <w:ind w:firstLine="360"/>
        <w:rPr>
          <w:color w:val="000000" w:themeColor="text1"/>
        </w:rPr>
      </w:pPr>
      <w:r w:rsidRPr="008227A8">
        <w:rPr>
          <w:color w:val="000000" w:themeColor="text1"/>
        </w:rPr>
        <w:t xml:space="preserve">After developing a set of candidate models, </w:t>
      </w:r>
      <w:r w:rsidR="00B13077">
        <w:rPr>
          <w:color w:val="000000" w:themeColor="text1"/>
        </w:rPr>
        <w:t>the single “best” model for each customer was</w:t>
      </w:r>
      <w:r w:rsidR="00B13077" w:rsidRPr="008227A8">
        <w:rPr>
          <w:color w:val="000000" w:themeColor="text1"/>
        </w:rPr>
        <w:t xml:space="preserve"> </w:t>
      </w:r>
      <w:r w:rsidRPr="008227A8">
        <w:rPr>
          <w:color w:val="000000" w:themeColor="text1"/>
        </w:rPr>
        <w:t>selected</w:t>
      </w:r>
      <w:r w:rsidR="00B13077">
        <w:rPr>
          <w:color w:val="000000" w:themeColor="text1"/>
        </w:rPr>
        <w:t xml:space="preserve">.  </w:t>
      </w:r>
      <w:r w:rsidRPr="008227A8">
        <w:rPr>
          <w:color w:val="000000" w:themeColor="text1"/>
        </w:rPr>
        <w:t xml:space="preserve">The final model was selected to minimize error and bias through a series of out-of-sample tests and MAPE (mean absolute percentage error) and MPE (mean percentage error) comparisons. </w:t>
      </w:r>
      <w:r w:rsidRPr="008227A8">
        <w:rPr>
          <w:rStyle w:val="FootnoteReference"/>
          <w:color w:val="000000" w:themeColor="text1"/>
        </w:rPr>
        <w:footnoteReference w:id="1"/>
      </w:r>
    </w:p>
    <w:p w:rsidR="00031C07" w:rsidRPr="008227A8" w:rsidRDefault="00031C07" w:rsidP="00231CC3">
      <w:pPr>
        <w:pStyle w:val="BodyText"/>
        <w:spacing w:after="0" w:line="276" w:lineRule="auto"/>
        <w:ind w:firstLine="360"/>
        <w:rPr>
          <w:color w:val="000000" w:themeColor="text1"/>
        </w:rPr>
      </w:pPr>
      <w:r w:rsidRPr="008227A8">
        <w:rPr>
          <w:color w:val="000000" w:themeColor="text1"/>
        </w:rPr>
        <w:t xml:space="preserve">Below </w:t>
      </w:r>
      <w:r w:rsidR="00B13077">
        <w:rPr>
          <w:color w:val="000000" w:themeColor="text1"/>
        </w:rPr>
        <w:t>the</w:t>
      </w:r>
      <w:r w:rsidRPr="008227A8">
        <w:rPr>
          <w:color w:val="000000" w:themeColor="text1"/>
        </w:rPr>
        <w:t xml:space="preserve"> two final model examples</w:t>
      </w:r>
      <w:r w:rsidR="00B13077">
        <w:rPr>
          <w:color w:val="000000" w:themeColor="text1"/>
        </w:rPr>
        <w:t xml:space="preserve"> are presented</w:t>
      </w:r>
      <w:r w:rsidRPr="008227A8">
        <w:rPr>
          <w:color w:val="000000" w:themeColor="text1"/>
        </w:rPr>
        <w:t>, one for a weather sensitive customer, and one for a non-weather sensitive customer. For both types of models identically specified models for each hour of the day</w:t>
      </w:r>
      <w:r w:rsidR="00B13077">
        <w:rPr>
          <w:color w:val="000000" w:themeColor="text1"/>
        </w:rPr>
        <w:t xml:space="preserve"> were used</w:t>
      </w:r>
      <w:r w:rsidRPr="008227A8">
        <w:rPr>
          <w:color w:val="000000" w:themeColor="text1"/>
        </w:rPr>
        <w:t>.</w:t>
      </w:r>
    </w:p>
    <w:p w:rsidR="00031C07" w:rsidRPr="008227A8" w:rsidRDefault="00031C07" w:rsidP="00231CC3">
      <w:pPr>
        <w:pStyle w:val="BodyText"/>
        <w:spacing w:after="0" w:line="276" w:lineRule="auto"/>
        <w:ind w:firstLine="360"/>
        <w:rPr>
          <w:color w:val="000000" w:themeColor="text1"/>
        </w:rPr>
      </w:pPr>
      <w:r w:rsidRPr="008227A8">
        <w:rPr>
          <w:color w:val="000000" w:themeColor="text1"/>
        </w:rPr>
        <w:t>Simple weather sensitive example:</w:t>
      </w:r>
    </w:p>
    <w:p w:rsidR="00031C07" w:rsidRPr="008227A8" w:rsidRDefault="00031C07" w:rsidP="00031C07">
      <w:pPr>
        <w:pStyle w:val="BodyText"/>
        <w:spacing w:after="0" w:line="276" w:lineRule="auto"/>
        <w:rPr>
          <w:color w:val="000000" w:themeColor="text1"/>
        </w:rPr>
      </w:pPr>
    </w:p>
    <w:p w:rsidR="00031C07" w:rsidRPr="00C44E7D" w:rsidRDefault="0024252A" w:rsidP="00031C07">
      <w:pPr>
        <w:tabs>
          <w:tab w:val="right" w:pos="9360"/>
        </w:tabs>
        <w:spacing w:after="120" w:line="240" w:lineRule="atLeast"/>
        <w:ind w:left="360"/>
        <w:rPr>
          <w:spacing w:val="4"/>
          <w:szCs w:val="20"/>
        </w:rPr>
      </w:pPr>
      <m:oMath>
        <m:sSub>
          <m:sSubPr>
            <m:ctrlPr>
              <w:rPr>
                <w:rFonts w:ascii="Cambria Math" w:hAnsi="Cambria Math"/>
                <w:i/>
                <w:spacing w:val="4"/>
                <w:szCs w:val="20"/>
              </w:rPr>
            </m:ctrlPr>
          </m:sSubPr>
          <m:e>
            <m:r>
              <w:rPr>
                <w:rFonts w:ascii="Cambria Math" w:hAnsi="Cambria Math"/>
                <w:spacing w:val="4"/>
                <w:szCs w:val="20"/>
              </w:rPr>
              <m:t>kwh</m:t>
            </m:r>
          </m:e>
          <m:sub>
            <m:r>
              <w:rPr>
                <w:rFonts w:ascii="Cambria Math" w:hAnsi="Cambria Math"/>
                <w:spacing w:val="4"/>
                <w:szCs w:val="20"/>
              </w:rPr>
              <m:t xml:space="preserve">i,d </m:t>
            </m:r>
          </m:sub>
        </m:sSub>
        <m:r>
          <w:rPr>
            <w:rFonts w:ascii="Cambria Math" w:hAnsi="Cambria Math"/>
            <w:spacing w:val="4"/>
            <w:szCs w:val="20"/>
          </w:rPr>
          <m:t xml:space="preserve">= </m:t>
        </m:r>
        <m:sSub>
          <m:sSubPr>
            <m:ctrlPr>
              <w:rPr>
                <w:rFonts w:ascii="Cambria Math" w:hAnsi="Cambria Math"/>
                <w:i/>
                <w:spacing w:val="4"/>
                <w:szCs w:val="20"/>
              </w:rPr>
            </m:ctrlPr>
          </m:sSubPr>
          <m:e>
            <m:r>
              <w:rPr>
                <w:rFonts w:ascii="Cambria Math" w:hAnsi="Cambria Math"/>
                <w:spacing w:val="4"/>
                <w:szCs w:val="20"/>
              </w:rPr>
              <m:t>α</m:t>
            </m:r>
          </m:e>
          <m:sub>
            <m:r>
              <w:rPr>
                <w:rFonts w:ascii="Cambria Math" w:hAnsi="Cambria Math"/>
                <w:spacing w:val="4"/>
                <w:szCs w:val="20"/>
              </w:rPr>
              <m:t>i,d</m:t>
            </m:r>
          </m:sub>
        </m:sSub>
        <m:r>
          <w:rPr>
            <w:rFonts w:ascii="Cambria Math" w:hAnsi="Cambria Math"/>
            <w:spacing w:val="4"/>
            <w:szCs w:val="20"/>
          </w:rPr>
          <m:t>+</m:t>
        </m:r>
        <m:sSub>
          <m:sSubPr>
            <m:ctrlPr>
              <w:rPr>
                <w:rFonts w:ascii="Cambria Math" w:hAnsi="Cambria Math"/>
                <w:i/>
                <w:spacing w:val="4"/>
                <w:szCs w:val="20"/>
              </w:rPr>
            </m:ctrlPr>
          </m:sSubPr>
          <m:e>
            <m:r>
              <w:rPr>
                <w:rFonts w:ascii="Cambria Math" w:hAnsi="Cambria Math"/>
                <w:spacing w:val="4"/>
                <w:szCs w:val="20"/>
              </w:rPr>
              <m:t>Month</m:t>
            </m:r>
          </m:e>
          <m:sub>
            <m:r>
              <w:rPr>
                <w:rFonts w:ascii="Cambria Math" w:hAnsi="Cambria Math"/>
                <w:spacing w:val="4"/>
                <w:szCs w:val="20"/>
              </w:rPr>
              <m:t>i,d</m:t>
            </m:r>
          </m:sub>
        </m:sSub>
        <m:r>
          <w:rPr>
            <w:rFonts w:ascii="Cambria Math" w:hAnsi="Cambria Math"/>
            <w:spacing w:val="4"/>
            <w:szCs w:val="20"/>
          </w:rPr>
          <m:t>+</m:t>
        </m:r>
        <m:sSub>
          <m:sSubPr>
            <m:ctrlPr>
              <w:rPr>
                <w:rFonts w:ascii="Cambria Math" w:hAnsi="Cambria Math"/>
                <w:i/>
                <w:spacing w:val="4"/>
                <w:szCs w:val="20"/>
              </w:rPr>
            </m:ctrlPr>
          </m:sSubPr>
          <m:e>
            <m:r>
              <w:rPr>
                <w:rFonts w:ascii="Cambria Math" w:hAnsi="Cambria Math"/>
                <w:spacing w:val="4"/>
                <w:szCs w:val="20"/>
              </w:rPr>
              <m:t>Weather</m:t>
            </m:r>
          </m:e>
          <m:sub>
            <m:r>
              <w:rPr>
                <w:rFonts w:ascii="Cambria Math" w:hAnsi="Cambria Math"/>
                <w:spacing w:val="4"/>
                <w:szCs w:val="20"/>
              </w:rPr>
              <m:t>i,d</m:t>
            </m:r>
          </m:sub>
        </m:sSub>
        <m:r>
          <w:rPr>
            <w:rFonts w:ascii="Cambria Math" w:hAnsi="Cambria Math"/>
            <w:spacing w:val="4"/>
            <w:szCs w:val="20"/>
          </w:rPr>
          <m:t>+</m:t>
        </m:r>
        <m:sSub>
          <m:sSubPr>
            <m:ctrlPr>
              <w:rPr>
                <w:rFonts w:ascii="Cambria Math" w:hAnsi="Cambria Math"/>
                <w:i/>
                <w:spacing w:val="4"/>
                <w:szCs w:val="20"/>
              </w:rPr>
            </m:ctrlPr>
          </m:sSubPr>
          <m:e>
            <m:r>
              <w:rPr>
                <w:rFonts w:ascii="Cambria Math" w:hAnsi="Cambria Math"/>
                <w:spacing w:val="4"/>
                <w:szCs w:val="20"/>
              </w:rPr>
              <m:t>P</m:t>
            </m:r>
          </m:e>
          <m:sub>
            <m:r>
              <w:rPr>
                <w:rFonts w:ascii="Cambria Math" w:hAnsi="Cambria Math"/>
                <w:spacing w:val="4"/>
                <w:szCs w:val="20"/>
              </w:rPr>
              <m:t>i,d</m:t>
            </m:r>
          </m:sub>
        </m:sSub>
        <m:r>
          <w:rPr>
            <w:rFonts w:ascii="Cambria Math" w:hAnsi="Cambria Math"/>
            <w:spacing w:val="4"/>
            <w:szCs w:val="20"/>
          </w:rPr>
          <m:t>+(</m:t>
        </m:r>
        <m:sSub>
          <m:sSubPr>
            <m:ctrlPr>
              <w:rPr>
                <w:rFonts w:ascii="Cambria Math" w:hAnsi="Cambria Math"/>
                <w:i/>
                <w:spacing w:val="4"/>
                <w:szCs w:val="20"/>
              </w:rPr>
            </m:ctrlPr>
          </m:sSubPr>
          <m:e>
            <m:r>
              <w:rPr>
                <w:rFonts w:ascii="Cambria Math" w:hAnsi="Cambria Math"/>
                <w:spacing w:val="4"/>
                <w:szCs w:val="20"/>
              </w:rPr>
              <m:t>P</m:t>
            </m:r>
          </m:e>
          <m:sub>
            <m:r>
              <w:rPr>
                <w:rFonts w:ascii="Cambria Math" w:hAnsi="Cambria Math"/>
                <w:spacing w:val="4"/>
                <w:szCs w:val="20"/>
              </w:rPr>
              <m:t>i,d</m:t>
            </m:r>
          </m:sub>
        </m:sSub>
        <m:r>
          <w:rPr>
            <w:rFonts w:ascii="Cambria Math" w:hAnsi="Cambria Math"/>
            <w:spacing w:val="4"/>
            <w:szCs w:val="20"/>
          </w:rPr>
          <m:t xml:space="preserve">* </m:t>
        </m:r>
        <m:sSub>
          <m:sSubPr>
            <m:ctrlPr>
              <w:rPr>
                <w:rFonts w:ascii="Cambria Math" w:hAnsi="Cambria Math"/>
                <w:i/>
                <w:spacing w:val="4"/>
                <w:szCs w:val="20"/>
              </w:rPr>
            </m:ctrlPr>
          </m:sSubPr>
          <m:e>
            <m:r>
              <w:rPr>
                <w:rFonts w:ascii="Cambria Math" w:hAnsi="Cambria Math"/>
                <w:spacing w:val="4"/>
                <w:szCs w:val="20"/>
              </w:rPr>
              <m:t>Weather</m:t>
            </m:r>
          </m:e>
          <m:sub>
            <m:r>
              <w:rPr>
                <w:rFonts w:ascii="Cambria Math" w:hAnsi="Cambria Math"/>
                <w:spacing w:val="4"/>
                <w:szCs w:val="20"/>
              </w:rPr>
              <m:t>i,d</m:t>
            </m:r>
          </m:sub>
        </m:sSub>
        <m:r>
          <w:rPr>
            <w:rFonts w:ascii="Cambria Math" w:hAnsi="Cambria Math"/>
            <w:spacing w:val="4"/>
            <w:szCs w:val="20"/>
          </w:rPr>
          <m:t>)+</m:t>
        </m:r>
        <m:sSub>
          <m:sSubPr>
            <m:ctrlPr>
              <w:rPr>
                <w:rFonts w:ascii="Cambria Math" w:hAnsi="Cambria Math"/>
                <w:i/>
                <w:spacing w:val="4"/>
                <w:szCs w:val="20"/>
              </w:rPr>
            </m:ctrlPr>
          </m:sSubPr>
          <m:e>
            <m:r>
              <w:rPr>
                <w:rFonts w:ascii="Cambria Math" w:hAnsi="Cambria Math"/>
                <w:spacing w:val="4"/>
                <w:szCs w:val="20"/>
              </w:rPr>
              <m:t>ε</m:t>
            </m:r>
          </m:e>
          <m:sub>
            <m:r>
              <w:rPr>
                <w:rFonts w:ascii="Cambria Math" w:hAnsi="Cambria Math"/>
                <w:spacing w:val="4"/>
                <w:szCs w:val="20"/>
              </w:rPr>
              <m:t>it</m:t>
            </m:r>
          </m:sub>
        </m:sSub>
      </m:oMath>
      <w:r w:rsidR="00031C07">
        <w:rPr>
          <w:spacing w:val="4"/>
          <w:szCs w:val="20"/>
        </w:rPr>
        <w:tab/>
        <w:t>(2.1</w:t>
      </w:r>
      <w:r w:rsidR="00031C07" w:rsidRPr="009E4323">
        <w:rPr>
          <w:spacing w:val="4"/>
          <w:szCs w:val="20"/>
        </w:rPr>
        <w:t>)</w:t>
      </w:r>
    </w:p>
    <w:p w:rsidR="00031C07" w:rsidRPr="009E4323" w:rsidRDefault="00031C07" w:rsidP="00031C07">
      <w:pPr>
        <w:pStyle w:val="BodyText"/>
        <w:ind w:firstLine="360"/>
      </w:pPr>
      <w:r>
        <w:t>w</w:t>
      </w:r>
      <w:r w:rsidRPr="009E4323">
        <w:t>here:</w:t>
      </w:r>
    </w:p>
    <w:p w:rsidR="00031C07" w:rsidRPr="009E4323" w:rsidRDefault="00031C07" w:rsidP="00031C07">
      <w:pPr>
        <w:spacing w:after="120" w:line="240" w:lineRule="atLeast"/>
        <w:rPr>
          <w:spacing w:val="4"/>
          <w:szCs w:val="20"/>
        </w:rPr>
      </w:pPr>
      <w:r w:rsidRPr="009E4323">
        <w:rPr>
          <w:spacing w:val="4"/>
          <w:szCs w:val="20"/>
        </w:rPr>
        <w:tab/>
      </w:r>
      <m:oMath>
        <m:sSub>
          <m:sSubPr>
            <m:ctrlPr>
              <w:rPr>
                <w:rFonts w:ascii="Cambria Math" w:hAnsi="Cambria Math"/>
                <w:i/>
                <w:spacing w:val="4"/>
                <w:szCs w:val="20"/>
              </w:rPr>
            </m:ctrlPr>
          </m:sSubPr>
          <m:e>
            <m:r>
              <w:rPr>
                <w:rFonts w:ascii="Cambria Math" w:hAnsi="Cambria Math"/>
                <w:spacing w:val="4"/>
                <w:szCs w:val="20"/>
              </w:rPr>
              <m:t>kwh</m:t>
            </m:r>
          </m:e>
          <m:sub>
            <m:r>
              <w:rPr>
                <w:rFonts w:ascii="Cambria Math" w:hAnsi="Cambria Math"/>
                <w:spacing w:val="4"/>
                <w:szCs w:val="20"/>
              </w:rPr>
              <m:t xml:space="preserve">i,d </m:t>
            </m:r>
          </m:sub>
        </m:sSub>
      </m:oMath>
      <w:r w:rsidRPr="009E4323">
        <w:rPr>
          <w:spacing w:val="4"/>
          <w:szCs w:val="20"/>
        </w:rPr>
        <w:t xml:space="preserve"> is the </w:t>
      </w:r>
      <w:r>
        <w:rPr>
          <w:spacing w:val="4"/>
          <w:szCs w:val="20"/>
        </w:rPr>
        <w:t>customer’s consumption in hour i, on day d.</w:t>
      </w:r>
      <w:r w:rsidRPr="009E4323">
        <w:rPr>
          <w:spacing w:val="4"/>
          <w:szCs w:val="20"/>
        </w:rPr>
        <w:t xml:space="preserve"> </w:t>
      </w:r>
    </w:p>
    <w:p w:rsidR="00031C07" w:rsidRPr="009E4323" w:rsidRDefault="00031C07" w:rsidP="00031C07">
      <w:pPr>
        <w:spacing w:after="120" w:line="240" w:lineRule="atLeast"/>
        <w:rPr>
          <w:spacing w:val="4"/>
          <w:szCs w:val="20"/>
        </w:rPr>
      </w:pPr>
      <w:r w:rsidRPr="009E4323">
        <w:rPr>
          <w:spacing w:val="4"/>
          <w:szCs w:val="20"/>
        </w:rPr>
        <w:tab/>
      </w:r>
      <m:oMath>
        <m:sSub>
          <m:sSubPr>
            <m:ctrlPr>
              <w:rPr>
                <w:rFonts w:ascii="Cambria Math" w:hAnsi="Cambria Math"/>
                <w:i/>
                <w:spacing w:val="4"/>
                <w:szCs w:val="20"/>
              </w:rPr>
            </m:ctrlPr>
          </m:sSubPr>
          <m:e>
            <m:r>
              <w:rPr>
                <w:rFonts w:ascii="Cambria Math" w:hAnsi="Cambria Math"/>
                <w:spacing w:val="4"/>
                <w:szCs w:val="20"/>
              </w:rPr>
              <m:t>α</m:t>
            </m:r>
          </m:e>
          <m:sub>
            <m:r>
              <w:rPr>
                <w:rFonts w:ascii="Cambria Math" w:hAnsi="Cambria Math"/>
                <w:spacing w:val="4"/>
                <w:szCs w:val="20"/>
              </w:rPr>
              <m:t>i,d</m:t>
            </m:r>
          </m:sub>
        </m:sSub>
      </m:oMath>
      <w:r w:rsidRPr="009E4323">
        <w:rPr>
          <w:b/>
          <w:spacing w:val="4"/>
          <w:szCs w:val="20"/>
        </w:rPr>
        <w:t xml:space="preserve"> </w:t>
      </w:r>
      <w:r w:rsidRPr="009E4323">
        <w:rPr>
          <w:spacing w:val="4"/>
          <w:szCs w:val="20"/>
        </w:rPr>
        <w:t>is the intercept</w:t>
      </w:r>
      <w:r>
        <w:rPr>
          <w:spacing w:val="4"/>
          <w:szCs w:val="20"/>
        </w:rPr>
        <w:t>.</w:t>
      </w:r>
    </w:p>
    <w:p w:rsidR="00031C07" w:rsidRDefault="00031C07" w:rsidP="00031C07">
      <w:pPr>
        <w:spacing w:after="120" w:line="240" w:lineRule="atLeast"/>
        <w:rPr>
          <w:spacing w:val="4"/>
          <w:szCs w:val="20"/>
        </w:rPr>
      </w:pPr>
      <w:r w:rsidRPr="009E4323">
        <w:rPr>
          <w:spacing w:val="4"/>
          <w:szCs w:val="20"/>
        </w:rPr>
        <w:tab/>
      </w:r>
      <m:oMath>
        <m:sSub>
          <m:sSubPr>
            <m:ctrlPr>
              <w:rPr>
                <w:rFonts w:ascii="Cambria Math" w:hAnsi="Cambria Math"/>
                <w:i/>
                <w:spacing w:val="4"/>
                <w:szCs w:val="20"/>
              </w:rPr>
            </m:ctrlPr>
          </m:sSubPr>
          <m:e>
            <m:r>
              <w:rPr>
                <w:rFonts w:ascii="Cambria Math" w:hAnsi="Cambria Math"/>
                <w:spacing w:val="4"/>
                <w:szCs w:val="20"/>
              </w:rPr>
              <m:t>ε</m:t>
            </m:r>
          </m:e>
          <m:sub>
            <m:r>
              <w:rPr>
                <w:rFonts w:ascii="Cambria Math" w:hAnsi="Cambria Math"/>
                <w:spacing w:val="4"/>
                <w:szCs w:val="20"/>
              </w:rPr>
              <m:t>i,d</m:t>
            </m:r>
          </m:sub>
        </m:sSub>
      </m:oMath>
      <w:r w:rsidRPr="009E4323">
        <w:rPr>
          <w:spacing w:val="4"/>
          <w:szCs w:val="20"/>
        </w:rPr>
        <w:t xml:space="preserve"> is the e</w:t>
      </w:r>
      <w:r>
        <w:rPr>
          <w:spacing w:val="4"/>
          <w:szCs w:val="20"/>
        </w:rPr>
        <w:t>rror for participant in hour i on day d.</w:t>
      </w:r>
    </w:p>
    <w:p w:rsidR="00031C07" w:rsidRDefault="00031C07" w:rsidP="00031C07">
      <w:pPr>
        <w:spacing w:after="120" w:line="240" w:lineRule="atLeast"/>
        <w:rPr>
          <w:spacing w:val="4"/>
          <w:szCs w:val="20"/>
        </w:rPr>
      </w:pPr>
      <w:r>
        <w:rPr>
          <w:spacing w:val="4"/>
          <w:szCs w:val="20"/>
        </w:rPr>
        <w:tab/>
        <w:t xml:space="preserve">and, all other terms are defined in </w:t>
      </w:r>
      <w:r w:rsidRPr="00A7376E">
        <w:rPr>
          <w:spacing w:val="4"/>
          <w:sz w:val="22"/>
          <w:szCs w:val="22"/>
        </w:rPr>
        <w:fldChar w:fldCharType="begin"/>
      </w:r>
      <w:r w:rsidRPr="00A7376E">
        <w:rPr>
          <w:spacing w:val="4"/>
          <w:sz w:val="22"/>
          <w:szCs w:val="22"/>
        </w:rPr>
        <w:instrText xml:space="preserve"> REF _Ref442769851 \h </w:instrText>
      </w:r>
      <w:r w:rsidR="00A16BE8" w:rsidRPr="00A7376E">
        <w:rPr>
          <w:spacing w:val="4"/>
          <w:sz w:val="22"/>
          <w:szCs w:val="22"/>
        </w:rPr>
        <w:instrText xml:space="preserve"> \* MERGEFORMAT </w:instrText>
      </w:r>
      <w:r w:rsidRPr="00A7376E">
        <w:rPr>
          <w:spacing w:val="4"/>
          <w:sz w:val="22"/>
          <w:szCs w:val="22"/>
        </w:rPr>
      </w:r>
      <w:r w:rsidRPr="00A7376E">
        <w:rPr>
          <w:spacing w:val="4"/>
          <w:sz w:val="22"/>
          <w:szCs w:val="22"/>
        </w:rPr>
        <w:fldChar w:fldCharType="separate"/>
      </w:r>
      <w:r w:rsidR="008A6A2B" w:rsidRPr="00A7376E">
        <w:rPr>
          <w:sz w:val="22"/>
          <w:szCs w:val="22"/>
        </w:rPr>
        <w:t>Table 2</w:t>
      </w:r>
      <w:r w:rsidR="008A6A2B" w:rsidRPr="00A7376E">
        <w:rPr>
          <w:sz w:val="22"/>
          <w:szCs w:val="22"/>
        </w:rPr>
        <w:noBreakHyphen/>
      </w:r>
      <w:r w:rsidR="008A6A2B" w:rsidRPr="00A7376E">
        <w:rPr>
          <w:noProof/>
          <w:sz w:val="22"/>
          <w:szCs w:val="22"/>
        </w:rPr>
        <w:t>1</w:t>
      </w:r>
      <w:r w:rsidRPr="00A7376E">
        <w:rPr>
          <w:spacing w:val="4"/>
          <w:sz w:val="22"/>
          <w:szCs w:val="22"/>
        </w:rPr>
        <w:fldChar w:fldCharType="end"/>
      </w:r>
      <w:r>
        <w:rPr>
          <w:spacing w:val="4"/>
          <w:szCs w:val="20"/>
        </w:rPr>
        <w:t xml:space="preserve"> above. </w:t>
      </w:r>
    </w:p>
    <w:p w:rsidR="00B52715" w:rsidRDefault="00B52715" w:rsidP="00031C07">
      <w:pPr>
        <w:spacing w:after="120" w:line="240" w:lineRule="atLeast"/>
        <w:rPr>
          <w:spacing w:val="4"/>
          <w:szCs w:val="20"/>
        </w:rPr>
      </w:pPr>
    </w:p>
    <w:p w:rsidR="00031C07" w:rsidRDefault="00031C07" w:rsidP="00031C07">
      <w:pPr>
        <w:spacing w:after="120" w:line="240" w:lineRule="atLeast"/>
        <w:rPr>
          <w:spacing w:val="4"/>
          <w:szCs w:val="20"/>
        </w:rPr>
      </w:pPr>
      <w:r w:rsidRPr="00AC42B1">
        <w:rPr>
          <w:spacing w:val="4"/>
          <w:szCs w:val="20"/>
        </w:rPr>
        <w:t>Simple non-weather sensitive example:</w:t>
      </w:r>
    </w:p>
    <w:p w:rsidR="00031C07" w:rsidRPr="00C44E7D" w:rsidRDefault="0024252A" w:rsidP="00031C07">
      <w:pPr>
        <w:tabs>
          <w:tab w:val="right" w:pos="9360"/>
        </w:tabs>
        <w:spacing w:after="120" w:line="240" w:lineRule="atLeast"/>
        <w:ind w:left="360"/>
        <w:rPr>
          <w:spacing w:val="4"/>
          <w:szCs w:val="20"/>
        </w:rPr>
      </w:pPr>
      <m:oMath>
        <m:sSub>
          <m:sSubPr>
            <m:ctrlPr>
              <w:rPr>
                <w:rFonts w:ascii="Cambria Math" w:hAnsi="Cambria Math"/>
                <w:i/>
                <w:spacing w:val="4"/>
                <w:szCs w:val="20"/>
              </w:rPr>
            </m:ctrlPr>
          </m:sSubPr>
          <m:e>
            <m:r>
              <w:rPr>
                <w:rFonts w:ascii="Cambria Math" w:hAnsi="Cambria Math"/>
                <w:spacing w:val="4"/>
                <w:szCs w:val="20"/>
              </w:rPr>
              <m:t>kwh</m:t>
            </m:r>
          </m:e>
          <m:sub>
            <m:r>
              <w:rPr>
                <w:rFonts w:ascii="Cambria Math" w:hAnsi="Cambria Math"/>
                <w:spacing w:val="4"/>
                <w:szCs w:val="20"/>
              </w:rPr>
              <m:t xml:space="preserve">i,d </m:t>
            </m:r>
          </m:sub>
        </m:sSub>
        <m:r>
          <w:rPr>
            <w:rFonts w:ascii="Cambria Math" w:hAnsi="Cambria Math"/>
            <w:spacing w:val="4"/>
            <w:szCs w:val="20"/>
          </w:rPr>
          <m:t xml:space="preserve">= </m:t>
        </m:r>
        <m:sSub>
          <m:sSubPr>
            <m:ctrlPr>
              <w:rPr>
                <w:rFonts w:ascii="Cambria Math" w:hAnsi="Cambria Math"/>
                <w:i/>
                <w:spacing w:val="4"/>
                <w:szCs w:val="20"/>
              </w:rPr>
            </m:ctrlPr>
          </m:sSubPr>
          <m:e>
            <m:r>
              <w:rPr>
                <w:rFonts w:ascii="Cambria Math" w:hAnsi="Cambria Math"/>
                <w:spacing w:val="4"/>
                <w:szCs w:val="20"/>
              </w:rPr>
              <m:t>α</m:t>
            </m:r>
          </m:e>
          <m:sub>
            <m:r>
              <w:rPr>
                <w:rFonts w:ascii="Cambria Math" w:hAnsi="Cambria Math"/>
                <w:spacing w:val="4"/>
                <w:szCs w:val="20"/>
              </w:rPr>
              <m:t>i,d</m:t>
            </m:r>
          </m:sub>
        </m:sSub>
        <m:r>
          <w:rPr>
            <w:rFonts w:ascii="Cambria Math" w:hAnsi="Cambria Math"/>
            <w:spacing w:val="4"/>
            <w:szCs w:val="20"/>
          </w:rPr>
          <m:t>+</m:t>
        </m:r>
        <m:sSub>
          <m:sSubPr>
            <m:ctrlPr>
              <w:rPr>
                <w:rFonts w:ascii="Cambria Math" w:hAnsi="Cambria Math"/>
                <w:i/>
                <w:spacing w:val="4"/>
                <w:szCs w:val="20"/>
              </w:rPr>
            </m:ctrlPr>
          </m:sSubPr>
          <m:e>
            <m:r>
              <w:rPr>
                <w:rFonts w:ascii="Cambria Math" w:hAnsi="Cambria Math"/>
                <w:spacing w:val="4"/>
                <w:szCs w:val="20"/>
              </w:rPr>
              <m:t>MornLoad</m:t>
            </m:r>
          </m:e>
          <m:sub>
            <m:r>
              <w:rPr>
                <w:rFonts w:ascii="Cambria Math" w:hAnsi="Cambria Math"/>
                <w:spacing w:val="4"/>
                <w:szCs w:val="20"/>
              </w:rPr>
              <m:t>i,d</m:t>
            </m:r>
          </m:sub>
        </m:sSub>
        <m:r>
          <w:rPr>
            <w:rFonts w:ascii="Cambria Math" w:hAnsi="Cambria Math"/>
            <w:spacing w:val="4"/>
            <w:szCs w:val="20"/>
          </w:rPr>
          <m:t>+</m:t>
        </m:r>
        <m:sSub>
          <m:sSubPr>
            <m:ctrlPr>
              <w:rPr>
                <w:rFonts w:ascii="Cambria Math" w:hAnsi="Cambria Math"/>
                <w:i/>
                <w:spacing w:val="4"/>
                <w:szCs w:val="20"/>
              </w:rPr>
            </m:ctrlPr>
          </m:sSubPr>
          <m:e>
            <m:r>
              <w:rPr>
                <w:rFonts w:ascii="Cambria Math" w:hAnsi="Cambria Math"/>
                <w:spacing w:val="4"/>
                <w:szCs w:val="20"/>
              </w:rPr>
              <m:t>DayofWeek</m:t>
            </m:r>
          </m:e>
          <m:sub>
            <m:r>
              <w:rPr>
                <w:rFonts w:ascii="Cambria Math" w:hAnsi="Cambria Math"/>
                <w:spacing w:val="4"/>
                <w:szCs w:val="20"/>
              </w:rPr>
              <m:t>i,d</m:t>
            </m:r>
          </m:sub>
        </m:sSub>
        <m:r>
          <w:rPr>
            <w:rFonts w:ascii="Cambria Math" w:hAnsi="Cambria Math"/>
            <w:spacing w:val="4"/>
            <w:szCs w:val="20"/>
          </w:rPr>
          <m:t>+</m:t>
        </m:r>
        <m:sSub>
          <m:sSubPr>
            <m:ctrlPr>
              <w:rPr>
                <w:rFonts w:ascii="Cambria Math" w:hAnsi="Cambria Math"/>
                <w:i/>
                <w:spacing w:val="4"/>
                <w:szCs w:val="20"/>
              </w:rPr>
            </m:ctrlPr>
          </m:sSubPr>
          <m:e>
            <m:r>
              <w:rPr>
                <w:rFonts w:ascii="Cambria Math" w:hAnsi="Cambria Math"/>
                <w:spacing w:val="4"/>
                <w:szCs w:val="20"/>
              </w:rPr>
              <m:t>P</m:t>
            </m:r>
          </m:e>
          <m:sub>
            <m:r>
              <w:rPr>
                <w:rFonts w:ascii="Cambria Math" w:hAnsi="Cambria Math"/>
                <w:spacing w:val="4"/>
                <w:szCs w:val="20"/>
              </w:rPr>
              <m:t>i,d</m:t>
            </m:r>
          </m:sub>
        </m:sSub>
        <m:r>
          <w:rPr>
            <w:rFonts w:ascii="Cambria Math" w:hAnsi="Cambria Math"/>
            <w:spacing w:val="4"/>
            <w:szCs w:val="20"/>
          </w:rPr>
          <m:t>+</m:t>
        </m:r>
        <m:sSub>
          <m:sSubPr>
            <m:ctrlPr>
              <w:rPr>
                <w:rFonts w:ascii="Cambria Math" w:hAnsi="Cambria Math"/>
                <w:i/>
                <w:spacing w:val="4"/>
                <w:szCs w:val="20"/>
              </w:rPr>
            </m:ctrlPr>
          </m:sSubPr>
          <m:e>
            <m:r>
              <w:rPr>
                <w:rFonts w:ascii="Cambria Math" w:hAnsi="Cambria Math"/>
                <w:spacing w:val="4"/>
                <w:szCs w:val="20"/>
              </w:rPr>
              <m:t>ε</m:t>
            </m:r>
          </m:e>
          <m:sub>
            <m:r>
              <w:rPr>
                <w:rFonts w:ascii="Cambria Math" w:hAnsi="Cambria Math"/>
                <w:spacing w:val="4"/>
                <w:szCs w:val="20"/>
              </w:rPr>
              <m:t>it</m:t>
            </m:r>
          </m:sub>
        </m:sSub>
      </m:oMath>
      <w:r w:rsidR="00031C07">
        <w:rPr>
          <w:spacing w:val="4"/>
          <w:szCs w:val="20"/>
        </w:rPr>
        <w:tab/>
        <w:t>(2.2</w:t>
      </w:r>
      <w:r w:rsidR="00031C07" w:rsidRPr="009E4323">
        <w:rPr>
          <w:spacing w:val="4"/>
          <w:szCs w:val="20"/>
        </w:rPr>
        <w:t>)</w:t>
      </w:r>
    </w:p>
    <w:p w:rsidR="00031C07" w:rsidRPr="009E4323" w:rsidRDefault="00031C07" w:rsidP="00031C07">
      <w:pPr>
        <w:pStyle w:val="BodyText"/>
        <w:ind w:firstLine="360"/>
      </w:pPr>
      <w:r>
        <w:t>w</w:t>
      </w:r>
      <w:r w:rsidRPr="009E4323">
        <w:t>here:</w:t>
      </w:r>
    </w:p>
    <w:p w:rsidR="00031C07" w:rsidRPr="009E4323" w:rsidRDefault="00031C07" w:rsidP="00031C07">
      <w:pPr>
        <w:spacing w:after="120" w:line="240" w:lineRule="atLeast"/>
        <w:rPr>
          <w:spacing w:val="4"/>
          <w:szCs w:val="20"/>
        </w:rPr>
      </w:pPr>
      <w:r w:rsidRPr="009E4323">
        <w:rPr>
          <w:spacing w:val="4"/>
          <w:szCs w:val="20"/>
        </w:rPr>
        <w:tab/>
      </w:r>
      <m:oMath>
        <m:sSub>
          <m:sSubPr>
            <m:ctrlPr>
              <w:rPr>
                <w:rFonts w:ascii="Cambria Math" w:hAnsi="Cambria Math"/>
                <w:i/>
                <w:spacing w:val="4"/>
                <w:szCs w:val="20"/>
              </w:rPr>
            </m:ctrlPr>
          </m:sSubPr>
          <m:e>
            <m:r>
              <w:rPr>
                <w:rFonts w:ascii="Cambria Math" w:hAnsi="Cambria Math"/>
                <w:spacing w:val="4"/>
                <w:szCs w:val="20"/>
              </w:rPr>
              <m:t>kwh</m:t>
            </m:r>
          </m:e>
          <m:sub>
            <m:r>
              <w:rPr>
                <w:rFonts w:ascii="Cambria Math" w:hAnsi="Cambria Math"/>
                <w:spacing w:val="4"/>
                <w:szCs w:val="20"/>
              </w:rPr>
              <m:t xml:space="preserve">i,d </m:t>
            </m:r>
          </m:sub>
        </m:sSub>
      </m:oMath>
      <w:r w:rsidRPr="009E4323">
        <w:rPr>
          <w:spacing w:val="4"/>
          <w:szCs w:val="20"/>
        </w:rPr>
        <w:t xml:space="preserve"> is the </w:t>
      </w:r>
      <w:r>
        <w:rPr>
          <w:spacing w:val="4"/>
          <w:szCs w:val="20"/>
        </w:rPr>
        <w:t>customer’s consumption in hour i, on day d.</w:t>
      </w:r>
      <w:r w:rsidRPr="009E4323">
        <w:rPr>
          <w:spacing w:val="4"/>
          <w:szCs w:val="20"/>
        </w:rPr>
        <w:t xml:space="preserve"> </w:t>
      </w:r>
    </w:p>
    <w:p w:rsidR="00031C07" w:rsidRPr="009E4323" w:rsidRDefault="00031C07" w:rsidP="00031C07">
      <w:pPr>
        <w:spacing w:after="120" w:line="240" w:lineRule="atLeast"/>
        <w:rPr>
          <w:spacing w:val="4"/>
          <w:szCs w:val="20"/>
        </w:rPr>
      </w:pPr>
      <w:r w:rsidRPr="009E4323">
        <w:rPr>
          <w:spacing w:val="4"/>
          <w:szCs w:val="20"/>
        </w:rPr>
        <w:tab/>
      </w:r>
      <m:oMath>
        <m:sSub>
          <m:sSubPr>
            <m:ctrlPr>
              <w:rPr>
                <w:rFonts w:ascii="Cambria Math" w:hAnsi="Cambria Math"/>
                <w:i/>
                <w:spacing w:val="4"/>
                <w:szCs w:val="20"/>
              </w:rPr>
            </m:ctrlPr>
          </m:sSubPr>
          <m:e>
            <m:r>
              <w:rPr>
                <w:rFonts w:ascii="Cambria Math" w:hAnsi="Cambria Math"/>
                <w:spacing w:val="4"/>
                <w:szCs w:val="20"/>
              </w:rPr>
              <m:t>α</m:t>
            </m:r>
          </m:e>
          <m:sub>
            <m:r>
              <w:rPr>
                <w:rFonts w:ascii="Cambria Math" w:hAnsi="Cambria Math"/>
                <w:spacing w:val="4"/>
                <w:szCs w:val="20"/>
              </w:rPr>
              <m:t>i,d</m:t>
            </m:r>
          </m:sub>
        </m:sSub>
      </m:oMath>
      <w:r w:rsidRPr="009E4323">
        <w:rPr>
          <w:b/>
          <w:spacing w:val="4"/>
          <w:szCs w:val="20"/>
        </w:rPr>
        <w:t xml:space="preserve"> </w:t>
      </w:r>
      <w:r w:rsidRPr="009E4323">
        <w:rPr>
          <w:spacing w:val="4"/>
          <w:szCs w:val="20"/>
        </w:rPr>
        <w:t>is the intercept</w:t>
      </w:r>
      <w:r>
        <w:rPr>
          <w:spacing w:val="4"/>
          <w:szCs w:val="20"/>
        </w:rPr>
        <w:t>.</w:t>
      </w:r>
    </w:p>
    <w:p w:rsidR="00031C07" w:rsidRDefault="00031C07" w:rsidP="00031C07">
      <w:pPr>
        <w:spacing w:after="120" w:line="240" w:lineRule="atLeast"/>
        <w:rPr>
          <w:spacing w:val="4"/>
          <w:szCs w:val="20"/>
        </w:rPr>
      </w:pPr>
      <w:r w:rsidRPr="009E4323">
        <w:rPr>
          <w:spacing w:val="4"/>
          <w:szCs w:val="20"/>
        </w:rPr>
        <w:tab/>
      </w:r>
      <m:oMath>
        <m:sSub>
          <m:sSubPr>
            <m:ctrlPr>
              <w:rPr>
                <w:rFonts w:ascii="Cambria Math" w:hAnsi="Cambria Math"/>
                <w:i/>
                <w:spacing w:val="4"/>
                <w:szCs w:val="20"/>
              </w:rPr>
            </m:ctrlPr>
          </m:sSubPr>
          <m:e>
            <m:r>
              <w:rPr>
                <w:rFonts w:ascii="Cambria Math" w:hAnsi="Cambria Math"/>
                <w:spacing w:val="4"/>
                <w:szCs w:val="20"/>
              </w:rPr>
              <m:t>ε</m:t>
            </m:r>
          </m:e>
          <m:sub>
            <m:r>
              <w:rPr>
                <w:rFonts w:ascii="Cambria Math" w:hAnsi="Cambria Math"/>
                <w:spacing w:val="4"/>
                <w:szCs w:val="20"/>
              </w:rPr>
              <m:t>i,d</m:t>
            </m:r>
          </m:sub>
        </m:sSub>
      </m:oMath>
      <w:r w:rsidRPr="009E4323">
        <w:rPr>
          <w:spacing w:val="4"/>
          <w:szCs w:val="20"/>
        </w:rPr>
        <w:t xml:space="preserve"> is the e</w:t>
      </w:r>
      <w:r>
        <w:rPr>
          <w:spacing w:val="4"/>
          <w:szCs w:val="20"/>
        </w:rPr>
        <w:t>rror for participant in hour i on day d.</w:t>
      </w:r>
    </w:p>
    <w:p w:rsidR="00031C07" w:rsidRPr="009E4323" w:rsidRDefault="00031C07" w:rsidP="00031C07">
      <w:pPr>
        <w:spacing w:after="120" w:line="240" w:lineRule="atLeast"/>
        <w:rPr>
          <w:spacing w:val="4"/>
          <w:szCs w:val="20"/>
        </w:rPr>
      </w:pPr>
      <w:r>
        <w:rPr>
          <w:spacing w:val="4"/>
          <w:szCs w:val="20"/>
        </w:rPr>
        <w:tab/>
        <w:t xml:space="preserve">and, all other terms are defined in </w:t>
      </w:r>
      <w:r w:rsidRPr="00A7376E">
        <w:rPr>
          <w:spacing w:val="4"/>
          <w:sz w:val="22"/>
          <w:szCs w:val="22"/>
        </w:rPr>
        <w:fldChar w:fldCharType="begin"/>
      </w:r>
      <w:r w:rsidRPr="00A7376E">
        <w:rPr>
          <w:spacing w:val="4"/>
          <w:sz w:val="22"/>
          <w:szCs w:val="22"/>
        </w:rPr>
        <w:instrText xml:space="preserve"> REF _Ref442769851 \h </w:instrText>
      </w:r>
      <w:r w:rsidR="00A16BE8" w:rsidRPr="00A7376E">
        <w:rPr>
          <w:spacing w:val="4"/>
          <w:sz w:val="22"/>
          <w:szCs w:val="22"/>
        </w:rPr>
        <w:instrText xml:space="preserve"> \* MERGEFORMAT </w:instrText>
      </w:r>
      <w:r w:rsidRPr="00A7376E">
        <w:rPr>
          <w:spacing w:val="4"/>
          <w:sz w:val="22"/>
          <w:szCs w:val="22"/>
        </w:rPr>
      </w:r>
      <w:r w:rsidRPr="00A7376E">
        <w:rPr>
          <w:spacing w:val="4"/>
          <w:sz w:val="22"/>
          <w:szCs w:val="22"/>
        </w:rPr>
        <w:fldChar w:fldCharType="separate"/>
      </w:r>
      <w:r w:rsidR="008A6A2B" w:rsidRPr="00A7376E">
        <w:rPr>
          <w:sz w:val="22"/>
          <w:szCs w:val="22"/>
        </w:rPr>
        <w:t>Table 2</w:t>
      </w:r>
      <w:r w:rsidR="008A6A2B" w:rsidRPr="00A7376E">
        <w:rPr>
          <w:sz w:val="22"/>
          <w:szCs w:val="22"/>
        </w:rPr>
        <w:noBreakHyphen/>
      </w:r>
      <w:r w:rsidR="008A6A2B" w:rsidRPr="00A7376E">
        <w:rPr>
          <w:noProof/>
          <w:sz w:val="22"/>
          <w:szCs w:val="22"/>
        </w:rPr>
        <w:t>1</w:t>
      </w:r>
      <w:r w:rsidRPr="00A7376E">
        <w:rPr>
          <w:spacing w:val="4"/>
          <w:sz w:val="22"/>
          <w:szCs w:val="22"/>
        </w:rPr>
        <w:fldChar w:fldCharType="end"/>
      </w:r>
      <w:r w:rsidRPr="00A16BE8">
        <w:rPr>
          <w:spacing w:val="4"/>
        </w:rPr>
        <w:t xml:space="preserve"> </w:t>
      </w:r>
      <w:r>
        <w:rPr>
          <w:spacing w:val="4"/>
          <w:szCs w:val="20"/>
        </w:rPr>
        <w:t>above.</w:t>
      </w:r>
    </w:p>
    <w:p w:rsidR="00031C07" w:rsidRPr="008227A8" w:rsidRDefault="00031C07" w:rsidP="00031C07">
      <w:pPr>
        <w:pStyle w:val="BodyText"/>
        <w:rPr>
          <w:color w:val="000000" w:themeColor="text1"/>
        </w:rPr>
      </w:pPr>
    </w:p>
    <w:p w:rsidR="00031C07" w:rsidRPr="008227A8" w:rsidRDefault="00031C07" w:rsidP="00231CC3">
      <w:pPr>
        <w:pStyle w:val="BodyText"/>
        <w:spacing w:after="0" w:line="276" w:lineRule="auto"/>
        <w:ind w:firstLine="360"/>
        <w:rPr>
          <w:color w:val="000000" w:themeColor="text1"/>
        </w:rPr>
      </w:pPr>
      <w:r w:rsidRPr="008227A8">
        <w:rPr>
          <w:color w:val="000000" w:themeColor="text1"/>
        </w:rPr>
        <w:t xml:space="preserve">AEG used the “best” model selected for each customer to calculate the customer-specific impact as follows: </w:t>
      </w:r>
    </w:p>
    <w:p w:rsidR="00031C07" w:rsidRPr="008227A8" w:rsidRDefault="00031C07" w:rsidP="003562F8">
      <w:pPr>
        <w:pStyle w:val="BulletedList0"/>
        <w:numPr>
          <w:ilvl w:val="0"/>
          <w:numId w:val="18"/>
        </w:numPr>
        <w:spacing w:after="0" w:line="276" w:lineRule="auto"/>
        <w:ind w:left="0" w:firstLine="360"/>
        <w:contextualSpacing w:val="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 xml:space="preserve">Obtained the actual and predicted load on each hour and day based on the best model specification for each customer.  </w:t>
      </w:r>
    </w:p>
    <w:p w:rsidR="00031C07" w:rsidRPr="008227A8" w:rsidRDefault="00031C07" w:rsidP="003562F8">
      <w:pPr>
        <w:pStyle w:val="BulletedList0"/>
        <w:numPr>
          <w:ilvl w:val="0"/>
          <w:numId w:val="18"/>
        </w:numPr>
        <w:spacing w:after="0" w:line="276" w:lineRule="auto"/>
        <w:ind w:left="0" w:firstLine="360"/>
        <w:contextualSpacing w:val="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 xml:space="preserve">Used the estimated coefficients and the baseline portion of the model to predict what this customer would have used on each day and hour, if there had been no events. </w:t>
      </w:r>
      <w:r w:rsidR="00B13077">
        <w:rPr>
          <w:rFonts w:ascii="Times New Roman" w:hAnsi="Times New Roman" w:cs="Times New Roman"/>
          <w:color w:val="000000" w:themeColor="text1"/>
          <w:sz w:val="24"/>
          <w:szCs w:val="24"/>
        </w:rPr>
        <w:t>This is</w:t>
      </w:r>
      <w:r w:rsidR="00B13077" w:rsidRPr="008227A8">
        <w:rPr>
          <w:rFonts w:ascii="Times New Roman" w:hAnsi="Times New Roman" w:cs="Times New Roman"/>
          <w:color w:val="000000" w:themeColor="text1"/>
          <w:sz w:val="24"/>
          <w:szCs w:val="24"/>
        </w:rPr>
        <w:t xml:space="preserve"> </w:t>
      </w:r>
      <w:r w:rsidRPr="008227A8">
        <w:rPr>
          <w:rFonts w:ascii="Times New Roman" w:hAnsi="Times New Roman" w:cs="Times New Roman"/>
          <w:color w:val="000000" w:themeColor="text1"/>
          <w:sz w:val="24"/>
          <w:szCs w:val="24"/>
        </w:rPr>
        <w:t>call</w:t>
      </w:r>
      <w:r w:rsidR="00B13077">
        <w:rPr>
          <w:rFonts w:ascii="Times New Roman" w:hAnsi="Times New Roman" w:cs="Times New Roman"/>
          <w:color w:val="000000" w:themeColor="text1"/>
          <w:sz w:val="24"/>
          <w:szCs w:val="24"/>
        </w:rPr>
        <w:t>ed</w:t>
      </w:r>
      <w:r w:rsidRPr="008227A8">
        <w:rPr>
          <w:rFonts w:ascii="Times New Roman" w:hAnsi="Times New Roman" w:cs="Times New Roman"/>
          <w:color w:val="000000" w:themeColor="text1"/>
          <w:sz w:val="24"/>
          <w:szCs w:val="24"/>
        </w:rPr>
        <w:t xml:space="preserve"> prediction the reference load. </w:t>
      </w:r>
    </w:p>
    <w:p w:rsidR="00031C07" w:rsidRPr="008227A8" w:rsidRDefault="00031C07" w:rsidP="003562F8">
      <w:pPr>
        <w:pStyle w:val="BulletedList0"/>
        <w:numPr>
          <w:ilvl w:val="0"/>
          <w:numId w:val="18"/>
        </w:numPr>
        <w:spacing w:after="0" w:line="276" w:lineRule="auto"/>
        <w:ind w:left="0" w:firstLine="360"/>
        <w:contextualSpacing w:val="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Calculated the difference between the reference load (the estimate based on the baseline variables) and the predicted load (the estimate based on the baseline + impacts variables) on each event day. This difference represents our estimated load impact.</w:t>
      </w:r>
    </w:p>
    <w:p w:rsidR="00031C07" w:rsidRPr="008227A8" w:rsidRDefault="00031C07" w:rsidP="00031C07">
      <w:pPr>
        <w:pStyle w:val="BulletedList0"/>
        <w:numPr>
          <w:ilvl w:val="0"/>
          <w:numId w:val="0"/>
        </w:numPr>
        <w:spacing w:after="0" w:line="276" w:lineRule="auto"/>
        <w:ind w:left="720" w:hanging="360"/>
        <w:contextualSpacing w:val="0"/>
        <w:rPr>
          <w:rFonts w:ascii="Times New Roman" w:hAnsi="Times New Roman" w:cs="Times New Roman"/>
          <w:color w:val="000000" w:themeColor="text1"/>
          <w:sz w:val="24"/>
          <w:szCs w:val="24"/>
        </w:rPr>
      </w:pPr>
    </w:p>
    <w:p w:rsidR="00031C07" w:rsidRPr="008227A8" w:rsidRDefault="00031C07" w:rsidP="00AF666B">
      <w:pPr>
        <w:pStyle w:val="Heading3"/>
        <w:ind w:left="630" w:hanging="630"/>
        <w:rPr>
          <w:rFonts w:ascii="Times New Roman" w:hAnsi="Times New Roman" w:cs="Times New Roman"/>
          <w:color w:val="000000" w:themeColor="text1"/>
        </w:rPr>
      </w:pPr>
      <w:bookmarkStart w:id="33" w:name="_Toc445127174"/>
      <w:bookmarkStart w:id="34" w:name="_Toc346119221"/>
      <w:bookmarkStart w:id="35" w:name="_Toc380073991"/>
      <w:bookmarkStart w:id="36" w:name="OLE_LINK3"/>
      <w:bookmarkStart w:id="37" w:name="OLE_LINK4"/>
      <w:bookmarkStart w:id="38" w:name="_Toc447179766"/>
      <w:r w:rsidRPr="008227A8">
        <w:rPr>
          <w:rFonts w:ascii="Times New Roman" w:hAnsi="Times New Roman" w:cs="Times New Roman"/>
          <w:color w:val="000000" w:themeColor="text1"/>
        </w:rPr>
        <w:t>Obtain Load Impacts and Confidence Intervals by Subgroup</w:t>
      </w:r>
      <w:bookmarkEnd w:id="33"/>
      <w:bookmarkEnd w:id="38"/>
    </w:p>
    <w:p w:rsidR="00F959E2" w:rsidRPr="008227A8" w:rsidRDefault="00F959E2" w:rsidP="00F959E2">
      <w:pPr>
        <w:pStyle w:val="BodyText"/>
        <w:spacing w:before="120"/>
        <w:ind w:firstLine="720"/>
        <w:rPr>
          <w:color w:val="000000" w:themeColor="text1"/>
        </w:rPr>
      </w:pPr>
    </w:p>
    <w:p w:rsidR="00031C07" w:rsidRPr="008227A8" w:rsidRDefault="00031C07" w:rsidP="00231CC3">
      <w:pPr>
        <w:pStyle w:val="BodyText"/>
        <w:spacing w:after="0" w:line="276" w:lineRule="auto"/>
        <w:ind w:firstLine="360"/>
        <w:rPr>
          <w:color w:val="000000" w:themeColor="text1"/>
        </w:rPr>
      </w:pPr>
      <w:r w:rsidRPr="008227A8">
        <w:rPr>
          <w:color w:val="000000" w:themeColor="text1"/>
        </w:rPr>
        <w:t xml:space="preserve">Because </w:t>
      </w:r>
      <w:r w:rsidR="00F959E2" w:rsidRPr="008227A8">
        <w:rPr>
          <w:color w:val="000000" w:themeColor="text1"/>
        </w:rPr>
        <w:t xml:space="preserve">AEG </w:t>
      </w:r>
      <w:r w:rsidRPr="008227A8">
        <w:rPr>
          <w:color w:val="000000" w:themeColor="text1"/>
        </w:rPr>
        <w:t xml:space="preserve">estimated an impact for each customer, the model results are easily aggregated to represent impacts for each of the required subpopulations of participants for each of the three IOUs. This includes analysis of incremental impacts for TA&amp;TI and Auto-DR participants and participants dually enrolled in other utility DR programs, and the distinction between DO and DA notification. </w:t>
      </w:r>
    </w:p>
    <w:bookmarkEnd w:id="34"/>
    <w:bookmarkEnd w:id="35"/>
    <w:bookmarkEnd w:id="36"/>
    <w:bookmarkEnd w:id="37"/>
    <w:p w:rsidR="00CC17B9" w:rsidRPr="008227A8" w:rsidRDefault="00CC17B9" w:rsidP="00922C3B">
      <w:pPr>
        <w:spacing w:line="276" w:lineRule="auto"/>
        <w:rPr>
          <w:b/>
          <w:color w:val="000000" w:themeColor="text1"/>
          <w:szCs w:val="26"/>
        </w:rPr>
      </w:pPr>
    </w:p>
    <w:p w:rsidR="008C2300" w:rsidRPr="008227A8" w:rsidRDefault="008C2300" w:rsidP="00922C3B">
      <w:pPr>
        <w:pStyle w:val="Heading2"/>
        <w:spacing w:after="0" w:line="276" w:lineRule="auto"/>
        <w:rPr>
          <w:rFonts w:ascii="Times New Roman" w:hAnsi="Times New Roman" w:cs="Times New Roman"/>
          <w:color w:val="000000" w:themeColor="text1"/>
        </w:rPr>
      </w:pPr>
      <w:bookmarkStart w:id="39" w:name="_Toc447179767"/>
      <w:r w:rsidRPr="008227A8">
        <w:rPr>
          <w:rFonts w:ascii="Times New Roman" w:hAnsi="Times New Roman" w:cs="Times New Roman"/>
          <w:color w:val="000000" w:themeColor="text1"/>
        </w:rPr>
        <w:lastRenderedPageBreak/>
        <w:t>CBP Ex-Post Load Impact Estimates</w:t>
      </w:r>
      <w:bookmarkEnd w:id="39"/>
    </w:p>
    <w:p w:rsidR="00A84584" w:rsidRPr="008227A8" w:rsidRDefault="00A84584" w:rsidP="00C31CCD">
      <w:pPr>
        <w:rPr>
          <w:color w:val="000000" w:themeColor="text1"/>
        </w:rPr>
      </w:pPr>
    </w:p>
    <w:p w:rsidR="00C31CCD" w:rsidRPr="008227A8" w:rsidRDefault="00A84584" w:rsidP="00A84584">
      <w:pPr>
        <w:spacing w:line="276" w:lineRule="auto"/>
        <w:ind w:firstLine="360"/>
        <w:rPr>
          <w:color w:val="000000" w:themeColor="text1"/>
        </w:rPr>
      </w:pPr>
      <w:r w:rsidRPr="00A7376E">
        <w:rPr>
          <w:color w:val="000000" w:themeColor="text1"/>
          <w:sz w:val="22"/>
          <w:szCs w:val="22"/>
        </w:rPr>
        <w:t>Table 2-2</w:t>
      </w:r>
      <w:r w:rsidRPr="008227A8">
        <w:rPr>
          <w:color w:val="000000" w:themeColor="text1"/>
        </w:rPr>
        <w:t xml:space="preserve"> below presents a summary of the 2015 events for SDG&amp;E’s CBP program by product. The table includes the definition of an average event day. The DO participants experienced a total of 24 events over the course of the program year, while DA participants experienced 42 events. Typical events were those called during hours-ending 16-19. For the DA product, approximately 70 accounts under a single aggregator were removed from the total number of accounts beginning in August of 2015 due to the fact that they changed their nomination to 0 MW for the remainder of the year.</w:t>
      </w:r>
    </w:p>
    <w:p w:rsidR="00A84584" w:rsidRPr="008227A8" w:rsidRDefault="00A84584" w:rsidP="00D8760E">
      <w:pPr>
        <w:jc w:val="center"/>
        <w:rPr>
          <w:b/>
          <w:color w:val="000000" w:themeColor="text1"/>
          <w:sz w:val="22"/>
          <w:szCs w:val="22"/>
        </w:rPr>
      </w:pPr>
      <w:bookmarkStart w:id="40" w:name="_Toc380074245"/>
    </w:p>
    <w:p w:rsidR="00A84584" w:rsidRDefault="00A84584" w:rsidP="00D8760E">
      <w:pPr>
        <w:jc w:val="center"/>
        <w:rPr>
          <w:b/>
          <w:color w:val="000000" w:themeColor="text1"/>
          <w:sz w:val="22"/>
          <w:szCs w:val="22"/>
        </w:rPr>
      </w:pPr>
    </w:p>
    <w:p w:rsidR="00A84584" w:rsidRDefault="00A84584" w:rsidP="00D8760E">
      <w:pPr>
        <w:jc w:val="center"/>
        <w:rPr>
          <w:b/>
          <w:color w:val="000000" w:themeColor="text1"/>
          <w:sz w:val="22"/>
          <w:szCs w:val="22"/>
        </w:rPr>
      </w:pPr>
    </w:p>
    <w:p w:rsidR="00A84584" w:rsidRDefault="00A84584" w:rsidP="00D8760E">
      <w:pPr>
        <w:jc w:val="center"/>
        <w:rPr>
          <w:b/>
          <w:color w:val="000000" w:themeColor="text1"/>
          <w:sz w:val="22"/>
          <w:szCs w:val="22"/>
        </w:rPr>
      </w:pPr>
    </w:p>
    <w:p w:rsidR="00A84584" w:rsidRDefault="00A84584" w:rsidP="00D8760E">
      <w:pPr>
        <w:jc w:val="center"/>
        <w:rPr>
          <w:b/>
          <w:color w:val="000000" w:themeColor="text1"/>
          <w:sz w:val="22"/>
          <w:szCs w:val="22"/>
        </w:rPr>
      </w:pPr>
    </w:p>
    <w:p w:rsidR="00A84584" w:rsidRDefault="00A84584" w:rsidP="00D8760E">
      <w:pPr>
        <w:jc w:val="center"/>
        <w:rPr>
          <w:b/>
          <w:color w:val="000000" w:themeColor="text1"/>
          <w:sz w:val="22"/>
          <w:szCs w:val="22"/>
        </w:rPr>
      </w:pPr>
    </w:p>
    <w:p w:rsidR="00A84584" w:rsidRDefault="00A84584" w:rsidP="00D8760E">
      <w:pPr>
        <w:jc w:val="center"/>
        <w:rPr>
          <w:b/>
          <w:color w:val="000000" w:themeColor="text1"/>
          <w:sz w:val="22"/>
          <w:szCs w:val="22"/>
        </w:rPr>
      </w:pPr>
    </w:p>
    <w:p w:rsidR="00A84584" w:rsidRDefault="00A84584" w:rsidP="00D8760E">
      <w:pPr>
        <w:jc w:val="center"/>
        <w:rPr>
          <w:b/>
          <w:color w:val="000000" w:themeColor="text1"/>
          <w:sz w:val="22"/>
          <w:szCs w:val="22"/>
        </w:rPr>
      </w:pPr>
    </w:p>
    <w:p w:rsidR="00A84584" w:rsidRDefault="00A84584" w:rsidP="00D8760E">
      <w:pPr>
        <w:jc w:val="center"/>
        <w:rPr>
          <w:b/>
          <w:color w:val="000000" w:themeColor="text1"/>
          <w:sz w:val="22"/>
          <w:szCs w:val="22"/>
        </w:rPr>
      </w:pPr>
    </w:p>
    <w:p w:rsidR="00EA5242" w:rsidRDefault="00EA5242">
      <w:pPr>
        <w:rPr>
          <w:b/>
          <w:color w:val="000000" w:themeColor="text1"/>
          <w:sz w:val="22"/>
          <w:szCs w:val="22"/>
        </w:rPr>
      </w:pPr>
      <w:r>
        <w:rPr>
          <w:b/>
          <w:color w:val="000000" w:themeColor="text1"/>
          <w:sz w:val="22"/>
          <w:szCs w:val="22"/>
        </w:rPr>
        <w:br w:type="page"/>
      </w:r>
    </w:p>
    <w:p w:rsidR="00C618D7" w:rsidRDefault="00427C65" w:rsidP="00D8760E">
      <w:pPr>
        <w:jc w:val="center"/>
        <w:rPr>
          <w:b/>
          <w:i/>
          <w:color w:val="000000" w:themeColor="text1"/>
          <w:sz w:val="22"/>
          <w:szCs w:val="22"/>
        </w:rPr>
      </w:pPr>
      <w:r w:rsidRPr="00D8760E">
        <w:rPr>
          <w:b/>
          <w:color w:val="000000" w:themeColor="text1"/>
          <w:sz w:val="22"/>
          <w:szCs w:val="22"/>
        </w:rPr>
        <w:lastRenderedPageBreak/>
        <w:t>Table 2-2:</w:t>
      </w:r>
      <w:r w:rsidR="0024252A">
        <w:rPr>
          <w:b/>
          <w:color w:val="000000" w:themeColor="text1"/>
          <w:sz w:val="22"/>
          <w:szCs w:val="22"/>
        </w:rPr>
        <w:t xml:space="preserve"> </w:t>
      </w:r>
      <w:r w:rsidR="00493A8A">
        <w:rPr>
          <w:b/>
          <w:color w:val="000000" w:themeColor="text1"/>
          <w:sz w:val="22"/>
          <w:szCs w:val="22"/>
        </w:rPr>
        <w:t xml:space="preserve">Number of Accounts nominated by event </w:t>
      </w:r>
      <w:r w:rsidR="00C31CCD" w:rsidRPr="00D8760E">
        <w:rPr>
          <w:b/>
          <w:color w:val="000000" w:themeColor="text1"/>
          <w:sz w:val="22"/>
          <w:szCs w:val="22"/>
        </w:rPr>
        <w:t xml:space="preserve">– </w:t>
      </w:r>
      <w:r w:rsidR="00C31CCD" w:rsidRPr="00D8760E">
        <w:rPr>
          <w:b/>
          <w:i/>
          <w:color w:val="000000" w:themeColor="text1"/>
          <w:sz w:val="22"/>
          <w:szCs w:val="22"/>
        </w:rPr>
        <w:t>SDG&amp;E CBP</w:t>
      </w:r>
      <w:bookmarkStart w:id="41" w:name="_Toc259624190"/>
      <w:bookmarkStart w:id="42" w:name="_Toc259624191"/>
      <w:bookmarkStart w:id="43" w:name="_Toc259624193"/>
      <w:bookmarkStart w:id="44" w:name="_Toc259628870"/>
      <w:bookmarkStart w:id="45" w:name="_Toc289248345"/>
      <w:bookmarkStart w:id="46" w:name="_Toc351990565"/>
      <w:bookmarkStart w:id="47" w:name="_Toc352084142"/>
      <w:bookmarkEnd w:id="40"/>
      <w:bookmarkEnd w:id="41"/>
      <w:bookmarkEnd w:id="42"/>
      <w:r w:rsidR="00493A8A">
        <w:rPr>
          <w:b/>
          <w:i/>
          <w:color w:val="000000" w:themeColor="text1"/>
          <w:sz w:val="22"/>
          <w:szCs w:val="22"/>
        </w:rPr>
        <w:t xml:space="preserve"> </w:t>
      </w:r>
    </w:p>
    <w:tbl>
      <w:tblPr>
        <w:tblW w:w="5000" w:type="pct"/>
        <w:jc w:val="center"/>
        <w:tblLayout w:type="fixed"/>
        <w:tblLook w:val="04A0" w:firstRow="1" w:lastRow="0" w:firstColumn="1" w:lastColumn="0" w:noHBand="0" w:noVBand="1"/>
      </w:tblPr>
      <w:tblGrid>
        <w:gridCol w:w="1621"/>
        <w:gridCol w:w="1588"/>
        <w:gridCol w:w="1590"/>
        <w:gridCol w:w="1590"/>
        <w:gridCol w:w="1590"/>
        <w:gridCol w:w="1597"/>
      </w:tblGrid>
      <w:tr w:rsidR="00A84584" w:rsidRPr="00BF676C" w:rsidTr="00A84584">
        <w:trPr>
          <w:trHeight w:val="245"/>
          <w:tblHeader/>
          <w:jc w:val="center"/>
        </w:trPr>
        <w:tc>
          <w:tcPr>
            <w:tcW w:w="846" w:type="pct"/>
            <w:shd w:val="clear" w:color="auto" w:fill="1A1D5D"/>
            <w:noWrap/>
            <w:vAlign w:val="center"/>
            <w:hideMark/>
          </w:tcPr>
          <w:p w:rsidR="00A84584" w:rsidRPr="00B9660B" w:rsidRDefault="00A84584" w:rsidP="00336E76">
            <w:pPr>
              <w:keepNext/>
              <w:spacing w:before="100" w:beforeAutospacing="1" w:after="100" w:afterAutospacing="1"/>
              <w:jc w:val="center"/>
              <w:rPr>
                <w:b/>
                <w:color w:val="FFFFFF" w:themeColor="background1"/>
                <w:sz w:val="20"/>
                <w:szCs w:val="20"/>
              </w:rPr>
            </w:pPr>
          </w:p>
          <w:p w:rsidR="00A84584" w:rsidRPr="00B9660B" w:rsidRDefault="00A84584" w:rsidP="00336E76">
            <w:pPr>
              <w:keepNext/>
              <w:spacing w:before="100" w:beforeAutospacing="1" w:after="100" w:afterAutospacing="1"/>
              <w:jc w:val="center"/>
              <w:rPr>
                <w:b/>
                <w:color w:val="FFFFFF" w:themeColor="background1"/>
                <w:sz w:val="20"/>
                <w:szCs w:val="20"/>
              </w:rPr>
            </w:pPr>
            <w:r w:rsidRPr="00B9660B">
              <w:rPr>
                <w:b/>
                <w:color w:val="FFFFFF" w:themeColor="background1"/>
                <w:sz w:val="20"/>
                <w:szCs w:val="20"/>
              </w:rPr>
              <w:t>Date</w:t>
            </w:r>
          </w:p>
        </w:tc>
        <w:tc>
          <w:tcPr>
            <w:tcW w:w="829" w:type="pct"/>
            <w:shd w:val="clear" w:color="auto" w:fill="1A1D5D"/>
            <w:noWrap/>
            <w:vAlign w:val="bottom"/>
            <w:hideMark/>
          </w:tcPr>
          <w:p w:rsidR="00A84584" w:rsidRPr="00B9660B" w:rsidRDefault="00A84584" w:rsidP="00336E76">
            <w:pPr>
              <w:keepNext/>
              <w:spacing w:before="100" w:beforeAutospacing="1" w:after="100" w:afterAutospacing="1"/>
              <w:jc w:val="center"/>
              <w:rPr>
                <w:b/>
                <w:color w:val="FFFFFF" w:themeColor="background1"/>
                <w:sz w:val="20"/>
                <w:szCs w:val="20"/>
              </w:rPr>
            </w:pPr>
            <w:r w:rsidRPr="00B9660B">
              <w:rPr>
                <w:b/>
                <w:color w:val="FFFFFF" w:themeColor="background1"/>
                <w:sz w:val="20"/>
                <w:szCs w:val="20"/>
              </w:rPr>
              <w:t>Day of Week</w:t>
            </w:r>
          </w:p>
        </w:tc>
        <w:tc>
          <w:tcPr>
            <w:tcW w:w="830" w:type="pct"/>
            <w:shd w:val="clear" w:color="auto" w:fill="1A1D5D"/>
            <w:vAlign w:val="bottom"/>
          </w:tcPr>
          <w:p w:rsidR="00A84584" w:rsidRPr="00B9660B" w:rsidRDefault="00A84584" w:rsidP="00336E76">
            <w:pPr>
              <w:keepNext/>
              <w:spacing w:before="100" w:beforeAutospacing="1" w:after="100" w:afterAutospacing="1"/>
              <w:jc w:val="center"/>
              <w:rPr>
                <w:b/>
                <w:color w:val="FFFFFF" w:themeColor="background1"/>
                <w:sz w:val="20"/>
                <w:szCs w:val="20"/>
              </w:rPr>
            </w:pPr>
            <w:r w:rsidRPr="00B9660B">
              <w:rPr>
                <w:b/>
                <w:color w:val="FFFFFF" w:themeColor="background1"/>
                <w:sz w:val="20"/>
                <w:szCs w:val="20"/>
              </w:rPr>
              <w:t>Event Hours (HE)</w:t>
            </w:r>
          </w:p>
        </w:tc>
        <w:tc>
          <w:tcPr>
            <w:tcW w:w="830" w:type="pct"/>
            <w:shd w:val="clear" w:color="auto" w:fill="1A1D5D"/>
            <w:noWrap/>
            <w:vAlign w:val="bottom"/>
            <w:hideMark/>
          </w:tcPr>
          <w:p w:rsidR="00A84584" w:rsidRPr="00B9660B" w:rsidRDefault="00A84584" w:rsidP="00336E76">
            <w:pPr>
              <w:keepNext/>
              <w:spacing w:before="100" w:beforeAutospacing="1" w:after="100" w:afterAutospacing="1"/>
              <w:jc w:val="center"/>
              <w:rPr>
                <w:b/>
                <w:color w:val="FFFFFF" w:themeColor="background1"/>
                <w:sz w:val="20"/>
                <w:szCs w:val="20"/>
              </w:rPr>
            </w:pPr>
            <w:r w:rsidRPr="00B9660B">
              <w:rPr>
                <w:b/>
                <w:color w:val="FFFFFF" w:themeColor="background1"/>
                <w:sz w:val="20"/>
                <w:szCs w:val="20"/>
              </w:rPr>
              <w:t># Accounts DO 1-4 Hour</w:t>
            </w:r>
          </w:p>
        </w:tc>
        <w:tc>
          <w:tcPr>
            <w:tcW w:w="830" w:type="pct"/>
            <w:shd w:val="clear" w:color="auto" w:fill="1A1D5D"/>
            <w:noWrap/>
            <w:vAlign w:val="bottom"/>
            <w:hideMark/>
          </w:tcPr>
          <w:p w:rsidR="00A84584" w:rsidRPr="00B9660B" w:rsidRDefault="00A84584" w:rsidP="00336E76">
            <w:pPr>
              <w:keepNext/>
              <w:spacing w:before="100" w:beforeAutospacing="1" w:after="100" w:afterAutospacing="1"/>
              <w:jc w:val="center"/>
              <w:rPr>
                <w:b/>
                <w:color w:val="FFFFFF" w:themeColor="background1"/>
                <w:sz w:val="20"/>
                <w:szCs w:val="20"/>
              </w:rPr>
            </w:pPr>
            <w:r w:rsidRPr="00B9660B">
              <w:rPr>
                <w:b/>
                <w:color w:val="FFFFFF" w:themeColor="background1"/>
                <w:sz w:val="20"/>
                <w:szCs w:val="20"/>
              </w:rPr>
              <w:t># Accounts DO 2-6 Hour</w:t>
            </w:r>
          </w:p>
        </w:tc>
        <w:tc>
          <w:tcPr>
            <w:tcW w:w="834" w:type="pct"/>
            <w:shd w:val="clear" w:color="auto" w:fill="1A1D5D"/>
            <w:noWrap/>
            <w:vAlign w:val="bottom"/>
            <w:hideMark/>
          </w:tcPr>
          <w:p w:rsidR="00A84584" w:rsidRPr="00B9660B" w:rsidRDefault="00A84584" w:rsidP="00336E76">
            <w:pPr>
              <w:keepNext/>
              <w:spacing w:before="100" w:beforeAutospacing="1" w:after="100" w:afterAutospacing="1"/>
              <w:jc w:val="center"/>
              <w:rPr>
                <w:b/>
                <w:color w:val="FFFFFF" w:themeColor="background1"/>
                <w:sz w:val="20"/>
                <w:szCs w:val="20"/>
              </w:rPr>
            </w:pPr>
            <w:r w:rsidRPr="00B9660B">
              <w:rPr>
                <w:b/>
                <w:color w:val="FFFFFF" w:themeColor="background1"/>
                <w:sz w:val="20"/>
                <w:szCs w:val="20"/>
              </w:rPr>
              <w:t># Accounts DA 1-4 Hour</w:t>
            </w:r>
          </w:p>
        </w:tc>
      </w:tr>
      <w:tr w:rsidR="00A84584" w:rsidRPr="00F75A57" w:rsidTr="00A84584">
        <w:trPr>
          <w:trHeight w:val="245"/>
          <w:tblHeader/>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themeColor="text1"/>
                <w:sz w:val="20"/>
                <w:szCs w:val="20"/>
              </w:rPr>
            </w:pPr>
            <w:r w:rsidRPr="00A84584">
              <w:rPr>
                <w:color w:val="000000" w:themeColor="text1"/>
                <w:sz w:val="20"/>
                <w:szCs w:val="20"/>
              </w:rPr>
              <w:t>Avg. Event</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themeColor="text1"/>
                <w:sz w:val="20"/>
                <w:szCs w:val="20"/>
              </w:rPr>
            </w:pPr>
            <w:r w:rsidRPr="00A84584">
              <w:rPr>
                <w:color w:val="000000" w:themeColor="text1"/>
                <w:sz w:val="20"/>
                <w:szCs w:val="20"/>
              </w:rPr>
              <w:t>-</w:t>
            </w:r>
          </w:p>
        </w:tc>
        <w:tc>
          <w:tcPr>
            <w:tcW w:w="830" w:type="pct"/>
            <w:shd w:val="clear" w:color="auto" w:fill="auto"/>
            <w:vAlign w:val="center"/>
          </w:tcPr>
          <w:p w:rsidR="00A84584" w:rsidRPr="00A84584" w:rsidRDefault="00A84584" w:rsidP="00336E76">
            <w:pPr>
              <w:keepNext/>
              <w:spacing w:before="100" w:beforeAutospacing="1" w:after="100" w:afterAutospacing="1"/>
              <w:jc w:val="center"/>
              <w:rPr>
                <w:color w:val="000000" w:themeColor="text1"/>
                <w:sz w:val="20"/>
                <w:szCs w:val="20"/>
              </w:rPr>
            </w:pPr>
            <w:r w:rsidRPr="00A84584">
              <w:rPr>
                <w:color w:val="000000" w:themeColor="text1"/>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FFFFFF" w:themeColor="background1"/>
                <w:sz w:val="20"/>
                <w:szCs w:val="20"/>
              </w:rPr>
            </w:pPr>
            <w:r w:rsidRPr="00A84584">
              <w:rPr>
                <w:color w:val="000000"/>
                <w:sz w:val="20"/>
                <w:szCs w:val="20"/>
              </w:rPr>
              <w:t>160</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FFFFFF" w:themeColor="background1"/>
                <w:sz w:val="20"/>
                <w:szCs w:val="20"/>
              </w:rPr>
            </w:pPr>
            <w:r w:rsidRPr="00A84584">
              <w:rPr>
                <w:color w:val="000000"/>
                <w:sz w:val="20"/>
                <w:szCs w:val="20"/>
              </w:rPr>
              <w:t>63</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FFFFFF" w:themeColor="background1"/>
                <w:sz w:val="20"/>
                <w:szCs w:val="20"/>
              </w:rPr>
            </w:pPr>
            <w:r w:rsidRPr="00A84584">
              <w:rPr>
                <w:color w:val="000000"/>
                <w:sz w:val="20"/>
                <w:szCs w:val="20"/>
              </w:rPr>
              <w:t>122</w:t>
            </w:r>
          </w:p>
        </w:tc>
      </w:tr>
      <w:tr w:rsidR="00A84584" w:rsidRPr="00BF676C" w:rsidTr="00A84584">
        <w:trPr>
          <w:trHeight w:val="245"/>
          <w:jc w:val="center"/>
        </w:trPr>
        <w:tc>
          <w:tcPr>
            <w:tcW w:w="846" w:type="pct"/>
            <w:shd w:val="clear" w:color="auto" w:fill="auto"/>
            <w:noWrap/>
            <w:vAlign w:val="center"/>
            <w:hideMark/>
          </w:tcPr>
          <w:p w:rsidR="00A84584" w:rsidRPr="00A84584" w:rsidRDefault="00A84584" w:rsidP="00336E76">
            <w:pPr>
              <w:keepNext/>
              <w:spacing w:before="100" w:beforeAutospacing="1" w:after="100" w:afterAutospacing="1"/>
              <w:rPr>
                <w:color w:val="000000"/>
                <w:sz w:val="20"/>
                <w:szCs w:val="20"/>
              </w:rPr>
            </w:pPr>
            <w:r w:rsidRPr="00A84584">
              <w:rPr>
                <w:sz w:val="20"/>
                <w:szCs w:val="20"/>
              </w:rPr>
              <w:t>5/1/2015</w:t>
            </w:r>
          </w:p>
        </w:tc>
        <w:tc>
          <w:tcPr>
            <w:tcW w:w="829"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Friday</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173</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70</w:t>
            </w:r>
          </w:p>
        </w:tc>
        <w:tc>
          <w:tcPr>
            <w:tcW w:w="834"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123</w:t>
            </w:r>
          </w:p>
        </w:tc>
      </w:tr>
      <w:tr w:rsidR="00A84584" w:rsidRPr="00BF676C" w:rsidTr="00A84584">
        <w:trPr>
          <w:trHeight w:val="245"/>
          <w:jc w:val="center"/>
        </w:trPr>
        <w:tc>
          <w:tcPr>
            <w:tcW w:w="846" w:type="pct"/>
            <w:shd w:val="clear" w:color="auto" w:fill="auto"/>
            <w:noWrap/>
            <w:vAlign w:val="center"/>
            <w:hideMark/>
          </w:tcPr>
          <w:p w:rsidR="00A84584" w:rsidRPr="00A84584" w:rsidRDefault="00A84584" w:rsidP="00336E76">
            <w:pPr>
              <w:keepNext/>
              <w:spacing w:before="100" w:beforeAutospacing="1" w:after="100" w:afterAutospacing="1"/>
              <w:rPr>
                <w:color w:val="000000"/>
                <w:sz w:val="20"/>
                <w:szCs w:val="20"/>
              </w:rPr>
            </w:pPr>
            <w:r w:rsidRPr="00A84584">
              <w:rPr>
                <w:sz w:val="20"/>
                <w:szCs w:val="20"/>
              </w:rPr>
              <w:t>6/9/2015</w:t>
            </w:r>
          </w:p>
        </w:tc>
        <w:tc>
          <w:tcPr>
            <w:tcW w:w="829"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Tuesday</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vertAlign w:val="superscript"/>
              </w:rPr>
            </w:pPr>
            <w:r w:rsidRPr="00A84584">
              <w:rPr>
                <w:sz w:val="20"/>
                <w:szCs w:val="20"/>
              </w:rPr>
              <w:t>16-19</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194</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70</w:t>
            </w:r>
          </w:p>
        </w:tc>
        <w:tc>
          <w:tcPr>
            <w:tcW w:w="834"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131</w:t>
            </w:r>
          </w:p>
        </w:tc>
      </w:tr>
      <w:tr w:rsidR="00A84584" w:rsidRPr="00BF676C" w:rsidTr="00A84584">
        <w:trPr>
          <w:trHeight w:val="245"/>
          <w:jc w:val="center"/>
        </w:trPr>
        <w:tc>
          <w:tcPr>
            <w:tcW w:w="846" w:type="pct"/>
            <w:shd w:val="clear" w:color="auto" w:fill="auto"/>
            <w:noWrap/>
            <w:vAlign w:val="center"/>
            <w:hideMark/>
          </w:tcPr>
          <w:p w:rsidR="00A84584" w:rsidRPr="00A84584" w:rsidRDefault="00A84584" w:rsidP="00336E76">
            <w:pPr>
              <w:keepNext/>
              <w:spacing w:before="100" w:beforeAutospacing="1" w:after="100" w:afterAutospacing="1"/>
              <w:rPr>
                <w:color w:val="000000"/>
                <w:sz w:val="20"/>
                <w:szCs w:val="20"/>
              </w:rPr>
            </w:pPr>
            <w:r w:rsidRPr="00A84584">
              <w:rPr>
                <w:sz w:val="20"/>
                <w:szCs w:val="20"/>
              </w:rPr>
              <w:t>6/16/2015</w:t>
            </w:r>
          </w:p>
        </w:tc>
        <w:tc>
          <w:tcPr>
            <w:tcW w:w="829"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Tuesday</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131</w:t>
            </w:r>
          </w:p>
        </w:tc>
      </w:tr>
      <w:tr w:rsidR="00A84584" w:rsidRPr="00BF676C" w:rsidTr="00A84584">
        <w:trPr>
          <w:trHeight w:val="245"/>
          <w:jc w:val="center"/>
        </w:trPr>
        <w:tc>
          <w:tcPr>
            <w:tcW w:w="846" w:type="pct"/>
            <w:shd w:val="clear" w:color="auto" w:fill="auto"/>
            <w:noWrap/>
            <w:vAlign w:val="center"/>
            <w:hideMark/>
          </w:tcPr>
          <w:p w:rsidR="00A84584" w:rsidRPr="00A84584" w:rsidRDefault="00A84584" w:rsidP="00336E76">
            <w:pPr>
              <w:keepNext/>
              <w:spacing w:before="100" w:beforeAutospacing="1" w:after="100" w:afterAutospacing="1"/>
              <w:rPr>
                <w:color w:val="000000"/>
                <w:sz w:val="20"/>
                <w:szCs w:val="20"/>
              </w:rPr>
            </w:pPr>
            <w:r w:rsidRPr="00A84584">
              <w:rPr>
                <w:sz w:val="20"/>
                <w:szCs w:val="20"/>
              </w:rPr>
              <w:t>6/17/2015</w:t>
            </w:r>
          </w:p>
        </w:tc>
        <w:tc>
          <w:tcPr>
            <w:tcW w:w="829"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Wednesday</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131</w:t>
            </w:r>
          </w:p>
        </w:tc>
      </w:tr>
      <w:tr w:rsidR="00A84584" w:rsidRPr="00BF676C" w:rsidTr="00A84584">
        <w:trPr>
          <w:trHeight w:val="245"/>
          <w:jc w:val="center"/>
        </w:trPr>
        <w:tc>
          <w:tcPr>
            <w:tcW w:w="846" w:type="pct"/>
            <w:shd w:val="clear" w:color="auto" w:fill="auto"/>
            <w:noWrap/>
            <w:vAlign w:val="center"/>
            <w:hideMark/>
          </w:tcPr>
          <w:p w:rsidR="00A84584" w:rsidRPr="00A84584" w:rsidRDefault="00A84584" w:rsidP="00336E76">
            <w:pPr>
              <w:keepNext/>
              <w:spacing w:before="100" w:beforeAutospacing="1" w:after="100" w:afterAutospacing="1"/>
              <w:rPr>
                <w:color w:val="000000"/>
                <w:sz w:val="20"/>
                <w:szCs w:val="20"/>
              </w:rPr>
            </w:pPr>
            <w:r w:rsidRPr="00A84584">
              <w:rPr>
                <w:sz w:val="20"/>
                <w:szCs w:val="20"/>
              </w:rPr>
              <w:t>6/22/2015</w:t>
            </w:r>
          </w:p>
        </w:tc>
        <w:tc>
          <w:tcPr>
            <w:tcW w:w="829"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Monday</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131</w:t>
            </w:r>
          </w:p>
        </w:tc>
      </w:tr>
      <w:tr w:rsidR="00A84584" w:rsidRPr="00BF676C" w:rsidTr="00A84584">
        <w:trPr>
          <w:trHeight w:val="245"/>
          <w:jc w:val="center"/>
        </w:trPr>
        <w:tc>
          <w:tcPr>
            <w:tcW w:w="846" w:type="pct"/>
            <w:shd w:val="clear" w:color="auto" w:fill="auto"/>
            <w:noWrap/>
            <w:vAlign w:val="center"/>
            <w:hideMark/>
          </w:tcPr>
          <w:p w:rsidR="00A84584" w:rsidRPr="00A84584" w:rsidRDefault="00A84584" w:rsidP="00336E76">
            <w:pPr>
              <w:keepNext/>
              <w:spacing w:before="100" w:beforeAutospacing="1" w:after="100" w:afterAutospacing="1"/>
              <w:rPr>
                <w:color w:val="000000"/>
                <w:sz w:val="20"/>
                <w:szCs w:val="20"/>
              </w:rPr>
            </w:pPr>
            <w:r w:rsidRPr="00A84584">
              <w:rPr>
                <w:sz w:val="20"/>
                <w:szCs w:val="20"/>
              </w:rPr>
              <w:t>6/24/2015</w:t>
            </w:r>
          </w:p>
        </w:tc>
        <w:tc>
          <w:tcPr>
            <w:tcW w:w="829"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Wednesday</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194</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70</w:t>
            </w:r>
          </w:p>
        </w:tc>
        <w:tc>
          <w:tcPr>
            <w:tcW w:w="834"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131</w:t>
            </w:r>
          </w:p>
        </w:tc>
      </w:tr>
      <w:tr w:rsidR="00A84584" w:rsidRPr="00BF676C" w:rsidTr="00A84584">
        <w:trPr>
          <w:trHeight w:val="245"/>
          <w:jc w:val="center"/>
        </w:trPr>
        <w:tc>
          <w:tcPr>
            <w:tcW w:w="846" w:type="pct"/>
            <w:shd w:val="clear" w:color="auto" w:fill="auto"/>
            <w:noWrap/>
            <w:vAlign w:val="center"/>
            <w:hideMark/>
          </w:tcPr>
          <w:p w:rsidR="00A84584" w:rsidRPr="00A84584" w:rsidRDefault="00A84584" w:rsidP="00336E76">
            <w:pPr>
              <w:keepNext/>
              <w:spacing w:before="100" w:beforeAutospacing="1" w:after="100" w:afterAutospacing="1"/>
              <w:rPr>
                <w:color w:val="000000"/>
                <w:sz w:val="20"/>
                <w:szCs w:val="20"/>
              </w:rPr>
            </w:pPr>
            <w:r w:rsidRPr="00A84584">
              <w:rPr>
                <w:sz w:val="20"/>
                <w:szCs w:val="20"/>
              </w:rPr>
              <w:t>6/25/2015</w:t>
            </w:r>
          </w:p>
        </w:tc>
        <w:tc>
          <w:tcPr>
            <w:tcW w:w="829"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Thursday</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194</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70</w:t>
            </w:r>
          </w:p>
        </w:tc>
        <w:tc>
          <w:tcPr>
            <w:tcW w:w="834"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131</w:t>
            </w:r>
          </w:p>
        </w:tc>
      </w:tr>
      <w:tr w:rsidR="00A84584" w:rsidRPr="00BF676C" w:rsidTr="00A84584">
        <w:trPr>
          <w:trHeight w:val="245"/>
          <w:jc w:val="center"/>
        </w:trPr>
        <w:tc>
          <w:tcPr>
            <w:tcW w:w="846" w:type="pct"/>
            <w:shd w:val="clear" w:color="auto" w:fill="auto"/>
            <w:noWrap/>
            <w:vAlign w:val="center"/>
            <w:hideMark/>
          </w:tcPr>
          <w:p w:rsidR="00A84584" w:rsidRPr="00A84584" w:rsidRDefault="00A84584" w:rsidP="00336E76">
            <w:pPr>
              <w:keepNext/>
              <w:spacing w:before="100" w:beforeAutospacing="1" w:after="100" w:afterAutospacing="1"/>
              <w:rPr>
                <w:color w:val="000000"/>
                <w:sz w:val="20"/>
                <w:szCs w:val="20"/>
              </w:rPr>
            </w:pPr>
            <w:r w:rsidRPr="00A84584">
              <w:rPr>
                <w:sz w:val="20"/>
                <w:szCs w:val="20"/>
              </w:rPr>
              <w:t>6/26/2015</w:t>
            </w:r>
          </w:p>
        </w:tc>
        <w:tc>
          <w:tcPr>
            <w:tcW w:w="829"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Friday</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194</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70</w:t>
            </w:r>
          </w:p>
        </w:tc>
        <w:tc>
          <w:tcPr>
            <w:tcW w:w="834"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131</w:t>
            </w:r>
          </w:p>
        </w:tc>
      </w:tr>
      <w:tr w:rsidR="00A84584" w:rsidRPr="00BF676C" w:rsidTr="00A84584">
        <w:trPr>
          <w:trHeight w:val="245"/>
          <w:jc w:val="center"/>
        </w:trPr>
        <w:tc>
          <w:tcPr>
            <w:tcW w:w="846" w:type="pct"/>
            <w:shd w:val="clear" w:color="auto" w:fill="auto"/>
            <w:noWrap/>
            <w:vAlign w:val="center"/>
            <w:hideMark/>
          </w:tcPr>
          <w:p w:rsidR="00A84584" w:rsidRPr="00A84584" w:rsidRDefault="00A84584" w:rsidP="00336E76">
            <w:pPr>
              <w:keepNext/>
              <w:spacing w:before="100" w:beforeAutospacing="1" w:after="100" w:afterAutospacing="1"/>
              <w:rPr>
                <w:color w:val="000000"/>
                <w:sz w:val="20"/>
                <w:szCs w:val="20"/>
              </w:rPr>
            </w:pPr>
            <w:r w:rsidRPr="00A84584">
              <w:rPr>
                <w:sz w:val="20"/>
                <w:szCs w:val="20"/>
              </w:rPr>
              <w:t>6/29/2015</w:t>
            </w:r>
          </w:p>
        </w:tc>
        <w:tc>
          <w:tcPr>
            <w:tcW w:w="829"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Monday</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194</w:t>
            </w:r>
          </w:p>
        </w:tc>
        <w:tc>
          <w:tcPr>
            <w:tcW w:w="830"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70</w:t>
            </w:r>
          </w:p>
        </w:tc>
        <w:tc>
          <w:tcPr>
            <w:tcW w:w="834" w:type="pct"/>
            <w:shd w:val="clear" w:color="auto" w:fill="auto"/>
            <w:noWrap/>
            <w:vAlign w:val="center"/>
            <w:hideMark/>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6/30/2015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Tuesday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194</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70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131</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7/1/2015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Wednesday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168</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70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130</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7/16/2015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Thursday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130</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7/28/2015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Tuesday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130</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7/29/2015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Wednesday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168</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70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7/30/2015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Thursday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130</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7/31/2015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Friday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130</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8/5/2015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Wednesday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156</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8/6/2015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Thursday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61</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8/11/2015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Tuesday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61</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8/12/2015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Wednesday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15-18</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61</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8/13/2015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Thursday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156</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61</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8/21/2015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Friday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15-18</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61</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8/25/2015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Tuesday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156</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61</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8/26/2015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Wednesday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156</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61</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8/27/2015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Thursday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156</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61</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8/28/2015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Friday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156</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61</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9/8/2015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Tuesday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155</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9/9/2015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Wednesday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155</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59</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9/10/2015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Thursday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155</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59</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9/11/2015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Friday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155</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59</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9/21/2015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Monday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155</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9/23/2015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Wednesday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59</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9/24/2015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Thursday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59</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sz w:val="20"/>
                <w:szCs w:val="20"/>
              </w:rPr>
            </w:pPr>
            <w:r w:rsidRPr="00A84584">
              <w:rPr>
                <w:sz w:val="20"/>
                <w:szCs w:val="20"/>
              </w:rPr>
              <w:t>9/25/2015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sz w:val="20"/>
                <w:szCs w:val="20"/>
              </w:rPr>
            </w:pPr>
            <w:r w:rsidRPr="00A84584">
              <w:rPr>
                <w:sz w:val="20"/>
                <w:szCs w:val="20"/>
              </w:rPr>
              <w:t>Friday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sz w:val="20"/>
                <w:szCs w:val="20"/>
              </w:rPr>
            </w:pPr>
            <w:r w:rsidRPr="00A84584">
              <w:rPr>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sz w:val="20"/>
                <w:szCs w:val="20"/>
              </w:rPr>
            </w:pPr>
            <w:r w:rsidRPr="00A84584">
              <w:rPr>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sz w:val="20"/>
                <w:szCs w:val="20"/>
              </w:rPr>
            </w:pPr>
            <w:r w:rsidRPr="00A84584">
              <w:rPr>
                <w:sz w:val="20"/>
                <w:szCs w:val="20"/>
              </w:rPr>
              <w:t>59</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9/29/2015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Tuesday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59</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9/30/2015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Wednesday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59</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sz w:val="20"/>
                <w:szCs w:val="20"/>
              </w:rPr>
            </w:pPr>
            <w:r w:rsidRPr="00A84584">
              <w:rPr>
                <w:sz w:val="20"/>
                <w:szCs w:val="20"/>
              </w:rPr>
              <w:t>10/8/2015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sz w:val="20"/>
                <w:szCs w:val="20"/>
              </w:rPr>
            </w:pPr>
            <w:r w:rsidRPr="00A84584">
              <w:rPr>
                <w:sz w:val="20"/>
                <w:szCs w:val="20"/>
              </w:rPr>
              <w:t>Thursday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sz w:val="20"/>
                <w:szCs w:val="20"/>
              </w:rPr>
            </w:pPr>
            <w:r w:rsidRPr="00A84584">
              <w:rPr>
                <w:sz w:val="20"/>
                <w:szCs w:val="20"/>
              </w:rPr>
              <w:t>58</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10/9/2015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Friday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158</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58</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10/12/2015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Monday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158</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58</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10/13/2015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Tuesday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158</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58</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10/14/2015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Wednesday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158</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60</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58</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10/21/2015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Wednesday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58</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10/22/2015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Thursday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58</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sz w:val="20"/>
                <w:szCs w:val="20"/>
              </w:rPr>
              <w:t>10/23/2015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Friday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sz w:val="20"/>
                <w:szCs w:val="20"/>
              </w:rPr>
              <w:t>58</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color w:val="000000"/>
                <w:sz w:val="20"/>
                <w:szCs w:val="20"/>
              </w:rPr>
              <w:t>10/27/2015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color w:val="000000"/>
                <w:sz w:val="20"/>
                <w:szCs w:val="20"/>
              </w:rPr>
              <w:t>Tuesday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color w:val="000000"/>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58</w:t>
            </w:r>
          </w:p>
        </w:tc>
      </w:tr>
      <w:tr w:rsidR="00A84584" w:rsidRPr="00BF676C" w:rsidTr="00A84584">
        <w:trPr>
          <w:trHeight w:val="245"/>
          <w:jc w:val="center"/>
        </w:trPr>
        <w:tc>
          <w:tcPr>
            <w:tcW w:w="846" w:type="pct"/>
            <w:shd w:val="clear" w:color="auto" w:fill="auto"/>
            <w:noWrap/>
            <w:vAlign w:val="center"/>
          </w:tcPr>
          <w:p w:rsidR="00A84584" w:rsidRPr="00A84584" w:rsidRDefault="00A84584" w:rsidP="00336E76">
            <w:pPr>
              <w:keepNext/>
              <w:spacing w:before="100" w:beforeAutospacing="1" w:after="100" w:afterAutospacing="1"/>
              <w:rPr>
                <w:color w:val="000000"/>
                <w:sz w:val="20"/>
                <w:szCs w:val="20"/>
              </w:rPr>
            </w:pPr>
            <w:r w:rsidRPr="00A84584">
              <w:rPr>
                <w:color w:val="000000"/>
                <w:sz w:val="20"/>
                <w:szCs w:val="20"/>
              </w:rPr>
              <w:t>10/28/2015</w:t>
            </w:r>
          </w:p>
        </w:tc>
        <w:tc>
          <w:tcPr>
            <w:tcW w:w="829"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color w:val="000000"/>
                <w:sz w:val="20"/>
                <w:szCs w:val="20"/>
              </w:rPr>
              <w:t>Wednesday</w:t>
            </w:r>
          </w:p>
        </w:tc>
        <w:tc>
          <w:tcPr>
            <w:tcW w:w="830" w:type="pct"/>
            <w:shd w:val="clear" w:color="auto" w:fill="auto"/>
            <w:noWrap/>
            <w:vAlign w:val="center"/>
          </w:tcPr>
          <w:p w:rsidR="00A84584" w:rsidRPr="00A84584" w:rsidRDefault="00A84584" w:rsidP="00336E76">
            <w:pPr>
              <w:keepNext/>
              <w:spacing w:before="100" w:beforeAutospacing="1" w:after="100" w:afterAutospacing="1"/>
              <w:jc w:val="center"/>
              <w:rPr>
                <w:color w:val="000000"/>
                <w:sz w:val="20"/>
                <w:szCs w:val="20"/>
              </w:rPr>
            </w:pPr>
            <w:r w:rsidRPr="00A84584">
              <w:rPr>
                <w:color w:val="000000"/>
                <w:sz w:val="20"/>
                <w:szCs w:val="20"/>
              </w:rPr>
              <w:t>16-19</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0"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w:t>
            </w:r>
          </w:p>
        </w:tc>
        <w:tc>
          <w:tcPr>
            <w:tcW w:w="834" w:type="pct"/>
            <w:shd w:val="clear" w:color="auto" w:fill="auto"/>
            <w:noWrap/>
            <w:vAlign w:val="center"/>
          </w:tcPr>
          <w:p w:rsidR="00A84584" w:rsidRPr="00A84584" w:rsidRDefault="00A84584" w:rsidP="00336E76">
            <w:pPr>
              <w:keepNext/>
              <w:spacing w:before="100" w:beforeAutospacing="1" w:after="100" w:afterAutospacing="1"/>
              <w:jc w:val="right"/>
              <w:rPr>
                <w:color w:val="000000"/>
                <w:sz w:val="20"/>
                <w:szCs w:val="20"/>
              </w:rPr>
            </w:pPr>
            <w:r w:rsidRPr="00A84584">
              <w:rPr>
                <w:color w:val="000000"/>
                <w:sz w:val="20"/>
                <w:szCs w:val="20"/>
              </w:rPr>
              <w:t>58</w:t>
            </w:r>
          </w:p>
        </w:tc>
      </w:tr>
      <w:tr w:rsidR="00A84584" w:rsidRPr="00BF676C" w:rsidTr="00A84584">
        <w:trPr>
          <w:trHeight w:val="245"/>
          <w:jc w:val="center"/>
        </w:trPr>
        <w:tc>
          <w:tcPr>
            <w:tcW w:w="846" w:type="pct"/>
            <w:tcBorders>
              <w:bottom w:val="single" w:sz="4" w:space="0" w:color="7F7F7F" w:themeColor="text1" w:themeTint="80"/>
            </w:tcBorders>
            <w:shd w:val="clear" w:color="auto" w:fill="auto"/>
            <w:noWrap/>
            <w:vAlign w:val="center"/>
            <w:hideMark/>
          </w:tcPr>
          <w:p w:rsidR="00A84584" w:rsidRPr="00A84584" w:rsidRDefault="00A84584" w:rsidP="00336E76">
            <w:pPr>
              <w:spacing w:before="100" w:beforeAutospacing="1" w:after="100" w:afterAutospacing="1"/>
              <w:rPr>
                <w:color w:val="000000"/>
                <w:sz w:val="20"/>
                <w:szCs w:val="20"/>
              </w:rPr>
            </w:pPr>
            <w:r w:rsidRPr="00A84584">
              <w:rPr>
                <w:color w:val="000000"/>
                <w:sz w:val="20"/>
                <w:szCs w:val="20"/>
              </w:rPr>
              <w:t>10/30/2015</w:t>
            </w:r>
          </w:p>
        </w:tc>
        <w:tc>
          <w:tcPr>
            <w:tcW w:w="829" w:type="pct"/>
            <w:tcBorders>
              <w:bottom w:val="single" w:sz="4" w:space="0" w:color="7F7F7F" w:themeColor="text1" w:themeTint="80"/>
            </w:tcBorders>
            <w:shd w:val="clear" w:color="auto" w:fill="auto"/>
            <w:noWrap/>
            <w:vAlign w:val="center"/>
            <w:hideMark/>
          </w:tcPr>
          <w:p w:rsidR="00A84584" w:rsidRPr="00A84584" w:rsidRDefault="00A84584" w:rsidP="00336E76">
            <w:pPr>
              <w:spacing w:before="100" w:beforeAutospacing="1" w:after="100" w:afterAutospacing="1"/>
              <w:jc w:val="center"/>
              <w:rPr>
                <w:color w:val="000000"/>
                <w:sz w:val="20"/>
                <w:szCs w:val="20"/>
              </w:rPr>
            </w:pPr>
            <w:r w:rsidRPr="00A84584">
              <w:rPr>
                <w:color w:val="000000"/>
                <w:sz w:val="20"/>
                <w:szCs w:val="20"/>
              </w:rPr>
              <w:t>Friday</w:t>
            </w:r>
          </w:p>
        </w:tc>
        <w:tc>
          <w:tcPr>
            <w:tcW w:w="830" w:type="pct"/>
            <w:tcBorders>
              <w:bottom w:val="single" w:sz="4" w:space="0" w:color="7F7F7F" w:themeColor="text1" w:themeTint="80"/>
            </w:tcBorders>
            <w:shd w:val="clear" w:color="auto" w:fill="auto"/>
            <w:noWrap/>
            <w:vAlign w:val="center"/>
            <w:hideMark/>
          </w:tcPr>
          <w:p w:rsidR="00A84584" w:rsidRPr="00A84584" w:rsidRDefault="00A84584" w:rsidP="00336E76">
            <w:pPr>
              <w:spacing w:before="100" w:beforeAutospacing="1" w:after="100" w:afterAutospacing="1"/>
              <w:jc w:val="center"/>
              <w:rPr>
                <w:color w:val="000000"/>
                <w:sz w:val="20"/>
                <w:szCs w:val="20"/>
              </w:rPr>
            </w:pPr>
            <w:r w:rsidRPr="00A84584">
              <w:rPr>
                <w:color w:val="000000"/>
                <w:sz w:val="20"/>
                <w:szCs w:val="20"/>
              </w:rPr>
              <w:t>16-19</w:t>
            </w:r>
          </w:p>
        </w:tc>
        <w:tc>
          <w:tcPr>
            <w:tcW w:w="830" w:type="pct"/>
            <w:tcBorders>
              <w:bottom w:val="single" w:sz="4" w:space="0" w:color="7F7F7F" w:themeColor="text1" w:themeTint="80"/>
            </w:tcBorders>
            <w:shd w:val="clear" w:color="auto" w:fill="auto"/>
            <w:noWrap/>
            <w:vAlign w:val="center"/>
            <w:hideMark/>
          </w:tcPr>
          <w:p w:rsidR="00A84584" w:rsidRPr="00A84584" w:rsidRDefault="00A84584" w:rsidP="00336E76">
            <w:pPr>
              <w:spacing w:before="100" w:beforeAutospacing="1" w:after="100" w:afterAutospacing="1"/>
              <w:jc w:val="right"/>
              <w:rPr>
                <w:color w:val="000000"/>
                <w:sz w:val="20"/>
                <w:szCs w:val="20"/>
              </w:rPr>
            </w:pPr>
            <w:r w:rsidRPr="00A84584">
              <w:rPr>
                <w:color w:val="000000"/>
                <w:sz w:val="20"/>
                <w:szCs w:val="20"/>
              </w:rPr>
              <w:t>-</w:t>
            </w:r>
          </w:p>
        </w:tc>
        <w:tc>
          <w:tcPr>
            <w:tcW w:w="830" w:type="pct"/>
            <w:tcBorders>
              <w:bottom w:val="single" w:sz="4" w:space="0" w:color="7F7F7F" w:themeColor="text1" w:themeTint="80"/>
            </w:tcBorders>
            <w:shd w:val="clear" w:color="auto" w:fill="auto"/>
            <w:noWrap/>
            <w:vAlign w:val="center"/>
            <w:hideMark/>
          </w:tcPr>
          <w:p w:rsidR="00A84584" w:rsidRPr="00A84584" w:rsidRDefault="00A84584" w:rsidP="00336E76">
            <w:pPr>
              <w:spacing w:before="100" w:beforeAutospacing="1" w:after="100" w:afterAutospacing="1"/>
              <w:jc w:val="right"/>
              <w:rPr>
                <w:color w:val="000000"/>
                <w:sz w:val="20"/>
                <w:szCs w:val="20"/>
              </w:rPr>
            </w:pPr>
            <w:r w:rsidRPr="00A84584">
              <w:rPr>
                <w:color w:val="000000"/>
                <w:sz w:val="20"/>
                <w:szCs w:val="20"/>
              </w:rPr>
              <w:t>-</w:t>
            </w:r>
          </w:p>
        </w:tc>
        <w:tc>
          <w:tcPr>
            <w:tcW w:w="834" w:type="pct"/>
            <w:tcBorders>
              <w:bottom w:val="single" w:sz="4" w:space="0" w:color="7F7F7F" w:themeColor="text1" w:themeTint="80"/>
            </w:tcBorders>
            <w:shd w:val="clear" w:color="auto" w:fill="auto"/>
            <w:noWrap/>
            <w:vAlign w:val="center"/>
            <w:hideMark/>
          </w:tcPr>
          <w:p w:rsidR="00A84584" w:rsidRPr="00A84584" w:rsidRDefault="00A84584" w:rsidP="00336E76">
            <w:pPr>
              <w:spacing w:before="100" w:beforeAutospacing="1" w:after="100" w:afterAutospacing="1"/>
              <w:jc w:val="right"/>
              <w:rPr>
                <w:color w:val="000000"/>
                <w:sz w:val="20"/>
                <w:szCs w:val="20"/>
              </w:rPr>
            </w:pPr>
            <w:r w:rsidRPr="00A84584">
              <w:rPr>
                <w:color w:val="000000"/>
                <w:sz w:val="20"/>
                <w:szCs w:val="20"/>
              </w:rPr>
              <w:t>58</w:t>
            </w:r>
          </w:p>
        </w:tc>
      </w:tr>
    </w:tbl>
    <w:p w:rsidR="00B9660B" w:rsidRPr="008227A8" w:rsidRDefault="00D84FC4" w:rsidP="00B9660B">
      <w:pPr>
        <w:pStyle w:val="BodyText"/>
        <w:spacing w:after="0" w:line="276" w:lineRule="auto"/>
        <w:ind w:firstLine="360"/>
        <w:rPr>
          <w:color w:val="000000" w:themeColor="text1"/>
        </w:rPr>
      </w:pPr>
      <w:r>
        <w:rPr>
          <w:color w:val="000000" w:themeColor="text1"/>
        </w:rPr>
        <w:lastRenderedPageBreak/>
        <w:t>Table 2-3</w:t>
      </w:r>
      <w:r w:rsidR="00EA6E7D">
        <w:rPr>
          <w:color w:val="000000" w:themeColor="text1"/>
        </w:rPr>
        <w:t xml:space="preserve"> </w:t>
      </w:r>
      <w:r w:rsidR="00B9660B" w:rsidRPr="008227A8">
        <w:rPr>
          <w:color w:val="000000" w:themeColor="text1"/>
        </w:rPr>
        <w:t xml:space="preserve">to </w:t>
      </w:r>
      <w:r w:rsidR="00A16BE8" w:rsidRPr="00A7376E">
        <w:rPr>
          <w:color w:val="000000" w:themeColor="text1"/>
          <w:sz w:val="22"/>
          <w:szCs w:val="22"/>
        </w:rPr>
        <w:t>Table 2-</w:t>
      </w:r>
      <w:r>
        <w:rPr>
          <w:color w:val="000000" w:themeColor="text1"/>
          <w:sz w:val="22"/>
          <w:szCs w:val="22"/>
        </w:rPr>
        <w:t>5</w:t>
      </w:r>
      <w:r w:rsidR="00A16BE8">
        <w:rPr>
          <w:color w:val="000000" w:themeColor="text1"/>
        </w:rPr>
        <w:t xml:space="preserve"> </w:t>
      </w:r>
      <w:r w:rsidR="00B9660B" w:rsidRPr="008227A8">
        <w:rPr>
          <w:color w:val="000000" w:themeColor="text1"/>
        </w:rPr>
        <w:t>show the average event-hour impacts for each event and for each product, both at the average per-customer level and in aggregate. The tables include results for the average event day.</w:t>
      </w:r>
    </w:p>
    <w:p w:rsidR="008A6A2B" w:rsidRDefault="00B9660B" w:rsidP="00B9660B">
      <w:pPr>
        <w:pStyle w:val="TableCaption"/>
      </w:pPr>
      <w:r w:rsidRPr="008227A8">
        <w:rPr>
          <w:color w:val="000000" w:themeColor="text1"/>
        </w:rPr>
        <w:fldChar w:fldCharType="begin"/>
      </w:r>
      <w:r w:rsidRPr="008227A8">
        <w:rPr>
          <w:color w:val="000000" w:themeColor="text1"/>
        </w:rPr>
        <w:instrText xml:space="preserve"> REF _Ref443062308 \h </w:instrText>
      </w:r>
      <w:r w:rsidR="00A7376E">
        <w:rPr>
          <w:color w:val="000000" w:themeColor="text1"/>
        </w:rPr>
        <w:instrText xml:space="preserve"> \* MERGEFORMAT </w:instrText>
      </w:r>
      <w:r w:rsidRPr="008227A8">
        <w:rPr>
          <w:color w:val="000000" w:themeColor="text1"/>
        </w:rPr>
      </w:r>
      <w:r w:rsidRPr="008227A8">
        <w:rPr>
          <w:color w:val="000000" w:themeColor="text1"/>
        </w:rPr>
        <w:fldChar w:fldCharType="separate"/>
      </w:r>
    </w:p>
    <w:p w:rsidR="00B9660B" w:rsidRPr="008227A8" w:rsidRDefault="00A7376E" w:rsidP="00B9660B">
      <w:pPr>
        <w:pStyle w:val="BodyText"/>
        <w:spacing w:after="0" w:line="276" w:lineRule="auto"/>
        <w:ind w:firstLine="360"/>
        <w:rPr>
          <w:color w:val="000000" w:themeColor="text1"/>
        </w:rPr>
      </w:pPr>
      <w:r w:rsidRPr="00A7376E">
        <w:t>In</w:t>
      </w:r>
      <w:r>
        <w:rPr>
          <w:sz w:val="22"/>
          <w:szCs w:val="22"/>
        </w:rPr>
        <w:t xml:space="preserve"> Table 2-4 </w:t>
      </w:r>
      <w:r w:rsidR="00B9660B" w:rsidRPr="008227A8">
        <w:rPr>
          <w:color w:val="000000" w:themeColor="text1"/>
        </w:rPr>
        <w:fldChar w:fldCharType="end"/>
      </w:r>
      <w:r w:rsidR="00B9660B" w:rsidRPr="008227A8">
        <w:rPr>
          <w:color w:val="000000" w:themeColor="text1"/>
        </w:rPr>
        <w:t>the average event-hour impacts for the CBP DO 1-4 hour participants</w:t>
      </w:r>
      <w:r w:rsidR="00AA3984">
        <w:rPr>
          <w:color w:val="000000" w:themeColor="text1"/>
        </w:rPr>
        <w:t xml:space="preserve"> are presented</w:t>
      </w:r>
      <w:r w:rsidR="00B9660B" w:rsidRPr="008227A8">
        <w:rPr>
          <w:color w:val="000000" w:themeColor="text1"/>
        </w:rPr>
        <w:t xml:space="preserve">. Of the three products offered under SDG&amp;E’s CBP, the DO 1-4 has the most participants. The highest per-customer impacts (31.6 kW) and highest overall aggregate impacts (4.9 MW) occurred during the event on September 10, 2015. The impacts represent a 15% reduction over the reference load and a total of 155 nominated service accounts. The lowest impacts occurred during the first event which was on May 1, 2015 when impacts of only 11.3 kW (per-customer) and 2 MW (aggregate) were achieved. </w:t>
      </w:r>
    </w:p>
    <w:p w:rsidR="00B9660B" w:rsidRDefault="00B9660B" w:rsidP="00B9660B">
      <w:pPr>
        <w:pStyle w:val="TableCaption"/>
      </w:pPr>
      <w:bookmarkStart w:id="48" w:name="_Ref443062308"/>
      <w:bookmarkStart w:id="49" w:name="_Toc445825295"/>
    </w:p>
    <w:p w:rsidR="00B9660B" w:rsidRPr="00B9660B" w:rsidRDefault="00B9660B" w:rsidP="00B9660B">
      <w:pPr>
        <w:pStyle w:val="TableCaption"/>
        <w:rPr>
          <w:sz w:val="22"/>
          <w:szCs w:val="22"/>
        </w:rPr>
      </w:pPr>
      <w:r w:rsidRPr="00B9660B">
        <w:rPr>
          <w:sz w:val="22"/>
          <w:szCs w:val="22"/>
        </w:rPr>
        <w:t xml:space="preserve">Table </w:t>
      </w:r>
      <w:r>
        <w:rPr>
          <w:sz w:val="22"/>
          <w:szCs w:val="22"/>
        </w:rPr>
        <w:t>2</w:t>
      </w:r>
      <w:r w:rsidRPr="00B9660B">
        <w:rPr>
          <w:sz w:val="22"/>
          <w:szCs w:val="22"/>
        </w:rPr>
        <w:noBreakHyphen/>
      </w:r>
      <w:bookmarkEnd w:id="48"/>
      <w:r w:rsidR="00D84FC4">
        <w:rPr>
          <w:sz w:val="22"/>
          <w:szCs w:val="22"/>
        </w:rPr>
        <w:t>3</w:t>
      </w:r>
      <w:r w:rsidR="004A3AE7">
        <w:rPr>
          <w:sz w:val="22"/>
          <w:szCs w:val="22"/>
        </w:rPr>
        <w:t xml:space="preserve">: </w:t>
      </w:r>
      <w:r w:rsidRPr="00B9660B">
        <w:rPr>
          <w:sz w:val="22"/>
          <w:szCs w:val="22"/>
        </w:rPr>
        <w:t>SDG&amp;E CBP Day-Of 1-4 Hour: Impacts by Event</w:t>
      </w:r>
      <w:bookmarkEnd w:id="49"/>
    </w:p>
    <w:tbl>
      <w:tblPr>
        <w:tblW w:w="9576" w:type="dxa"/>
        <w:tblLook w:val="04A0" w:firstRow="1" w:lastRow="0" w:firstColumn="1" w:lastColumn="0" w:noHBand="0" w:noVBand="1"/>
      </w:tblPr>
      <w:tblGrid>
        <w:gridCol w:w="1233"/>
        <w:gridCol w:w="1141"/>
        <w:gridCol w:w="1160"/>
        <w:gridCol w:w="1171"/>
        <w:gridCol w:w="925"/>
        <w:gridCol w:w="1089"/>
        <w:gridCol w:w="1007"/>
        <w:gridCol w:w="1007"/>
        <w:gridCol w:w="843"/>
      </w:tblGrid>
      <w:tr w:rsidR="00B9660B" w:rsidRPr="00371A4C" w:rsidTr="00336E76">
        <w:trPr>
          <w:trHeight w:val="300"/>
        </w:trPr>
        <w:tc>
          <w:tcPr>
            <w:tcW w:w="1236" w:type="dxa"/>
            <w:shd w:val="clear" w:color="auto" w:fill="1A1D5D"/>
            <w:noWrap/>
            <w:vAlign w:val="center"/>
            <w:hideMark/>
          </w:tcPr>
          <w:p w:rsidR="00B9660B" w:rsidRPr="00B9660B" w:rsidRDefault="00B9660B" w:rsidP="00336E76">
            <w:pPr>
              <w:jc w:val="center"/>
              <w:rPr>
                <w:b/>
                <w:color w:val="FFFFFF" w:themeColor="background1"/>
                <w:sz w:val="20"/>
                <w:szCs w:val="20"/>
              </w:rPr>
            </w:pPr>
          </w:p>
        </w:tc>
        <w:tc>
          <w:tcPr>
            <w:tcW w:w="1142" w:type="dxa"/>
            <w:vMerge w:val="restart"/>
            <w:shd w:val="clear" w:color="auto" w:fill="1A1D5D"/>
            <w:noWrap/>
            <w:vAlign w:val="bottom"/>
            <w:hideMark/>
          </w:tcPr>
          <w:p w:rsidR="00B9660B" w:rsidRPr="00B9660B" w:rsidRDefault="00B9660B" w:rsidP="00336E76">
            <w:pPr>
              <w:jc w:val="center"/>
              <w:rPr>
                <w:b/>
                <w:color w:val="FFFFFF" w:themeColor="background1"/>
                <w:sz w:val="20"/>
                <w:szCs w:val="20"/>
              </w:rPr>
            </w:pPr>
            <w:r w:rsidRPr="00B9660B">
              <w:rPr>
                <w:b/>
                <w:color w:val="FFFFFF" w:themeColor="background1"/>
                <w:sz w:val="20"/>
                <w:szCs w:val="20"/>
              </w:rPr>
              <w:t xml:space="preserve"># of </w:t>
            </w:r>
          </w:p>
          <w:p w:rsidR="00B9660B" w:rsidRPr="00B9660B" w:rsidRDefault="00B9660B" w:rsidP="00336E76">
            <w:pPr>
              <w:jc w:val="center"/>
              <w:rPr>
                <w:b/>
                <w:color w:val="FFFFFF" w:themeColor="background1"/>
                <w:sz w:val="20"/>
                <w:szCs w:val="20"/>
              </w:rPr>
            </w:pPr>
            <w:r w:rsidRPr="00B9660B">
              <w:rPr>
                <w:b/>
                <w:color w:val="FFFFFF" w:themeColor="background1"/>
                <w:sz w:val="20"/>
                <w:szCs w:val="20"/>
              </w:rPr>
              <w:t>Accts</w:t>
            </w:r>
          </w:p>
        </w:tc>
        <w:tc>
          <w:tcPr>
            <w:tcW w:w="1149" w:type="dxa"/>
            <w:vMerge w:val="restart"/>
            <w:shd w:val="clear" w:color="auto" w:fill="1A1D5D"/>
            <w:vAlign w:val="bottom"/>
          </w:tcPr>
          <w:p w:rsidR="00B9660B" w:rsidRPr="00B9660B" w:rsidRDefault="00B9660B" w:rsidP="00336E76">
            <w:pPr>
              <w:jc w:val="center"/>
              <w:rPr>
                <w:b/>
                <w:color w:val="FFFFFF" w:themeColor="background1"/>
                <w:sz w:val="20"/>
                <w:szCs w:val="20"/>
              </w:rPr>
            </w:pPr>
            <w:r w:rsidRPr="00B9660B">
              <w:rPr>
                <w:b/>
                <w:color w:val="FFFFFF" w:themeColor="background1"/>
                <w:sz w:val="20"/>
                <w:szCs w:val="20"/>
              </w:rPr>
              <w:t>Nominated Capacity (MW)</w:t>
            </w:r>
          </w:p>
        </w:tc>
        <w:tc>
          <w:tcPr>
            <w:tcW w:w="2099" w:type="dxa"/>
            <w:gridSpan w:val="2"/>
            <w:shd w:val="clear" w:color="auto" w:fill="1A1D5D"/>
            <w:noWrap/>
            <w:vAlign w:val="center"/>
            <w:hideMark/>
          </w:tcPr>
          <w:p w:rsidR="00B9660B" w:rsidRPr="00B9660B" w:rsidRDefault="00B9660B" w:rsidP="00336E76">
            <w:pPr>
              <w:jc w:val="center"/>
              <w:rPr>
                <w:b/>
                <w:color w:val="FFFFFF" w:themeColor="background1"/>
                <w:sz w:val="20"/>
                <w:szCs w:val="20"/>
              </w:rPr>
            </w:pPr>
            <w:r w:rsidRPr="00B9660B">
              <w:rPr>
                <w:b/>
                <w:color w:val="FFFFFF" w:themeColor="background1"/>
                <w:sz w:val="20"/>
                <w:szCs w:val="20"/>
              </w:rPr>
              <w:t>Per Customer Impact (kW)</w:t>
            </w:r>
          </w:p>
        </w:tc>
        <w:tc>
          <w:tcPr>
            <w:tcW w:w="2098" w:type="dxa"/>
            <w:gridSpan w:val="2"/>
            <w:shd w:val="clear" w:color="auto" w:fill="1A1D5D"/>
            <w:noWrap/>
            <w:vAlign w:val="center"/>
            <w:hideMark/>
          </w:tcPr>
          <w:p w:rsidR="00B9660B" w:rsidRPr="00B9660B" w:rsidRDefault="00B9660B" w:rsidP="00336E76">
            <w:pPr>
              <w:jc w:val="center"/>
              <w:rPr>
                <w:b/>
                <w:color w:val="FFFFFF" w:themeColor="background1"/>
                <w:sz w:val="20"/>
                <w:szCs w:val="20"/>
              </w:rPr>
            </w:pPr>
            <w:r w:rsidRPr="00B9660B">
              <w:rPr>
                <w:b/>
                <w:color w:val="FFFFFF" w:themeColor="background1"/>
                <w:sz w:val="20"/>
                <w:szCs w:val="20"/>
              </w:rPr>
              <w:t xml:space="preserve">Aggregate Impact </w:t>
            </w:r>
          </w:p>
          <w:p w:rsidR="00B9660B" w:rsidRPr="00B9660B" w:rsidRDefault="00B9660B" w:rsidP="00336E76">
            <w:pPr>
              <w:jc w:val="center"/>
              <w:rPr>
                <w:b/>
                <w:color w:val="FFFFFF" w:themeColor="background1"/>
                <w:sz w:val="20"/>
                <w:szCs w:val="20"/>
              </w:rPr>
            </w:pPr>
            <w:r w:rsidRPr="00B9660B">
              <w:rPr>
                <w:b/>
                <w:color w:val="FFFFFF" w:themeColor="background1"/>
                <w:sz w:val="20"/>
                <w:szCs w:val="20"/>
              </w:rPr>
              <w:t>(MW)</w:t>
            </w:r>
          </w:p>
        </w:tc>
        <w:tc>
          <w:tcPr>
            <w:tcW w:w="1008" w:type="dxa"/>
            <w:shd w:val="clear" w:color="auto" w:fill="1A1D5D"/>
            <w:noWrap/>
            <w:vAlign w:val="center"/>
            <w:hideMark/>
          </w:tcPr>
          <w:p w:rsidR="00B9660B" w:rsidRPr="00B9660B" w:rsidRDefault="00B9660B" w:rsidP="00336E76">
            <w:pPr>
              <w:jc w:val="center"/>
              <w:rPr>
                <w:b/>
                <w:color w:val="FFFFFF" w:themeColor="background1"/>
                <w:sz w:val="20"/>
                <w:szCs w:val="20"/>
              </w:rPr>
            </w:pPr>
          </w:p>
        </w:tc>
        <w:tc>
          <w:tcPr>
            <w:tcW w:w="844" w:type="dxa"/>
            <w:shd w:val="clear" w:color="auto" w:fill="1A1D5D"/>
            <w:noWrap/>
            <w:vAlign w:val="center"/>
            <w:hideMark/>
          </w:tcPr>
          <w:p w:rsidR="00B9660B" w:rsidRPr="00B9660B" w:rsidRDefault="00B9660B" w:rsidP="00336E76">
            <w:pPr>
              <w:jc w:val="center"/>
              <w:rPr>
                <w:b/>
                <w:color w:val="FFFFFF" w:themeColor="background1"/>
                <w:sz w:val="20"/>
                <w:szCs w:val="20"/>
              </w:rPr>
            </w:pPr>
          </w:p>
        </w:tc>
      </w:tr>
      <w:tr w:rsidR="00B9660B" w:rsidRPr="00371A4C" w:rsidTr="00336E76">
        <w:trPr>
          <w:trHeight w:val="300"/>
        </w:trPr>
        <w:tc>
          <w:tcPr>
            <w:tcW w:w="1236" w:type="dxa"/>
            <w:shd w:val="clear" w:color="auto" w:fill="1A1D5D"/>
            <w:noWrap/>
            <w:vAlign w:val="bottom"/>
            <w:hideMark/>
          </w:tcPr>
          <w:p w:rsidR="00B9660B" w:rsidRPr="00B9660B" w:rsidRDefault="00B9660B" w:rsidP="00336E76">
            <w:pPr>
              <w:rPr>
                <w:b/>
                <w:color w:val="FFFFFF" w:themeColor="background1"/>
                <w:sz w:val="20"/>
                <w:szCs w:val="20"/>
              </w:rPr>
            </w:pPr>
            <w:r w:rsidRPr="00B9660B">
              <w:rPr>
                <w:b/>
                <w:color w:val="FFFFFF" w:themeColor="background1"/>
                <w:sz w:val="20"/>
                <w:szCs w:val="20"/>
              </w:rPr>
              <w:t>Event</w:t>
            </w:r>
          </w:p>
        </w:tc>
        <w:tc>
          <w:tcPr>
            <w:tcW w:w="1142" w:type="dxa"/>
            <w:vMerge/>
            <w:shd w:val="clear" w:color="auto" w:fill="1A1D5D"/>
            <w:noWrap/>
            <w:vAlign w:val="bottom"/>
            <w:hideMark/>
          </w:tcPr>
          <w:p w:rsidR="00B9660B" w:rsidRPr="00B9660B" w:rsidRDefault="00B9660B" w:rsidP="00336E76">
            <w:pPr>
              <w:jc w:val="center"/>
              <w:rPr>
                <w:b/>
                <w:color w:val="FFFFFF" w:themeColor="background1"/>
                <w:sz w:val="20"/>
                <w:szCs w:val="20"/>
              </w:rPr>
            </w:pPr>
          </w:p>
        </w:tc>
        <w:tc>
          <w:tcPr>
            <w:tcW w:w="1149" w:type="dxa"/>
            <w:vMerge/>
            <w:shd w:val="clear" w:color="auto" w:fill="1A1D5D"/>
            <w:vAlign w:val="bottom"/>
          </w:tcPr>
          <w:p w:rsidR="00B9660B" w:rsidRPr="00B9660B" w:rsidRDefault="00B9660B" w:rsidP="00336E76">
            <w:pPr>
              <w:jc w:val="center"/>
              <w:rPr>
                <w:b/>
                <w:color w:val="FFFFFF" w:themeColor="background1"/>
                <w:sz w:val="20"/>
                <w:szCs w:val="20"/>
              </w:rPr>
            </w:pPr>
          </w:p>
        </w:tc>
        <w:tc>
          <w:tcPr>
            <w:tcW w:w="1173" w:type="dxa"/>
            <w:shd w:val="clear" w:color="auto" w:fill="1A1D5D"/>
            <w:noWrap/>
            <w:vAlign w:val="bottom"/>
            <w:hideMark/>
          </w:tcPr>
          <w:p w:rsidR="00B9660B" w:rsidRPr="00B9660B" w:rsidRDefault="00B9660B" w:rsidP="00336E76">
            <w:pPr>
              <w:jc w:val="center"/>
              <w:rPr>
                <w:b/>
                <w:color w:val="FFFFFF" w:themeColor="background1"/>
                <w:sz w:val="20"/>
                <w:szCs w:val="20"/>
              </w:rPr>
            </w:pPr>
            <w:r w:rsidRPr="00B9660B">
              <w:rPr>
                <w:b/>
                <w:color w:val="FFFFFF" w:themeColor="background1"/>
                <w:sz w:val="20"/>
                <w:szCs w:val="20"/>
              </w:rPr>
              <w:t>Reference Load</w:t>
            </w:r>
          </w:p>
        </w:tc>
        <w:tc>
          <w:tcPr>
            <w:tcW w:w="926" w:type="dxa"/>
            <w:shd w:val="clear" w:color="auto" w:fill="1A1D5D"/>
            <w:noWrap/>
            <w:vAlign w:val="bottom"/>
            <w:hideMark/>
          </w:tcPr>
          <w:p w:rsidR="00B9660B" w:rsidRPr="00B9660B" w:rsidRDefault="00B9660B" w:rsidP="00336E76">
            <w:pPr>
              <w:jc w:val="center"/>
              <w:rPr>
                <w:b/>
                <w:color w:val="FFFFFF" w:themeColor="background1"/>
                <w:sz w:val="20"/>
                <w:szCs w:val="20"/>
              </w:rPr>
            </w:pPr>
            <w:r w:rsidRPr="00B9660B">
              <w:rPr>
                <w:b/>
                <w:color w:val="FFFFFF" w:themeColor="background1"/>
                <w:sz w:val="20"/>
                <w:szCs w:val="20"/>
              </w:rPr>
              <w:t>Impact</w:t>
            </w:r>
          </w:p>
        </w:tc>
        <w:tc>
          <w:tcPr>
            <w:tcW w:w="1090" w:type="dxa"/>
            <w:shd w:val="clear" w:color="auto" w:fill="1A1D5D"/>
            <w:noWrap/>
            <w:vAlign w:val="bottom"/>
            <w:hideMark/>
          </w:tcPr>
          <w:p w:rsidR="00B9660B" w:rsidRPr="00B9660B" w:rsidRDefault="00B9660B" w:rsidP="00336E76">
            <w:pPr>
              <w:jc w:val="center"/>
              <w:rPr>
                <w:b/>
                <w:color w:val="FFFFFF" w:themeColor="background1"/>
                <w:sz w:val="20"/>
                <w:szCs w:val="20"/>
              </w:rPr>
            </w:pPr>
            <w:r w:rsidRPr="00B9660B">
              <w:rPr>
                <w:b/>
                <w:color w:val="FFFFFF" w:themeColor="background1"/>
                <w:sz w:val="20"/>
                <w:szCs w:val="20"/>
              </w:rPr>
              <w:t>Reference Load</w:t>
            </w:r>
          </w:p>
        </w:tc>
        <w:tc>
          <w:tcPr>
            <w:tcW w:w="1008" w:type="dxa"/>
            <w:shd w:val="clear" w:color="auto" w:fill="1A1D5D"/>
            <w:noWrap/>
            <w:vAlign w:val="bottom"/>
            <w:hideMark/>
          </w:tcPr>
          <w:p w:rsidR="00B9660B" w:rsidRPr="00B9660B" w:rsidRDefault="00B9660B" w:rsidP="00336E76">
            <w:pPr>
              <w:jc w:val="center"/>
              <w:rPr>
                <w:b/>
                <w:color w:val="FFFFFF" w:themeColor="background1"/>
                <w:sz w:val="20"/>
                <w:szCs w:val="20"/>
              </w:rPr>
            </w:pPr>
            <w:r w:rsidRPr="00B9660B">
              <w:rPr>
                <w:b/>
                <w:color w:val="FFFFFF" w:themeColor="background1"/>
                <w:sz w:val="20"/>
                <w:szCs w:val="20"/>
              </w:rPr>
              <w:t>Impact</w:t>
            </w:r>
          </w:p>
        </w:tc>
        <w:tc>
          <w:tcPr>
            <w:tcW w:w="1008" w:type="dxa"/>
            <w:shd w:val="clear" w:color="auto" w:fill="1A1D5D"/>
            <w:noWrap/>
            <w:vAlign w:val="bottom"/>
            <w:hideMark/>
          </w:tcPr>
          <w:p w:rsidR="00B9660B" w:rsidRPr="00B9660B" w:rsidRDefault="00B9660B" w:rsidP="00336E76">
            <w:pPr>
              <w:jc w:val="center"/>
              <w:rPr>
                <w:b/>
                <w:color w:val="FFFFFF" w:themeColor="background1"/>
                <w:sz w:val="20"/>
                <w:szCs w:val="20"/>
              </w:rPr>
            </w:pPr>
            <w:r w:rsidRPr="00B9660B">
              <w:rPr>
                <w:b/>
                <w:color w:val="FFFFFF" w:themeColor="background1"/>
                <w:sz w:val="20"/>
                <w:szCs w:val="20"/>
              </w:rPr>
              <w:t>% Impact</w:t>
            </w:r>
          </w:p>
        </w:tc>
        <w:tc>
          <w:tcPr>
            <w:tcW w:w="844" w:type="dxa"/>
            <w:shd w:val="clear" w:color="auto" w:fill="1A1D5D"/>
            <w:noWrap/>
            <w:vAlign w:val="bottom"/>
            <w:hideMark/>
          </w:tcPr>
          <w:p w:rsidR="00B9660B" w:rsidRPr="00B9660B" w:rsidRDefault="00B9660B" w:rsidP="00336E76">
            <w:pPr>
              <w:jc w:val="right"/>
              <w:rPr>
                <w:b/>
                <w:color w:val="FFFFFF" w:themeColor="background1"/>
                <w:sz w:val="20"/>
                <w:szCs w:val="20"/>
              </w:rPr>
            </w:pPr>
            <w:r w:rsidRPr="00B9660B">
              <w:rPr>
                <w:b/>
                <w:color w:val="FFFFFF" w:themeColor="background1"/>
                <w:sz w:val="20"/>
                <w:szCs w:val="20"/>
              </w:rPr>
              <w:t>Temp (˚F)</w:t>
            </w:r>
          </w:p>
        </w:tc>
      </w:tr>
      <w:tr w:rsidR="00B9660B" w:rsidRPr="00485763" w:rsidTr="00336E76">
        <w:trPr>
          <w:trHeight w:val="300"/>
        </w:trPr>
        <w:tc>
          <w:tcPr>
            <w:tcW w:w="1236" w:type="dxa"/>
            <w:shd w:val="clear" w:color="auto" w:fill="auto"/>
            <w:noWrap/>
            <w:vAlign w:val="center"/>
          </w:tcPr>
          <w:p w:rsidR="00B9660B" w:rsidRPr="00B9660B" w:rsidRDefault="00B9660B" w:rsidP="00336E76">
            <w:pPr>
              <w:rPr>
                <w:color w:val="000000" w:themeColor="text1"/>
                <w:sz w:val="20"/>
                <w:szCs w:val="20"/>
              </w:rPr>
            </w:pPr>
            <w:r w:rsidRPr="00B9660B">
              <w:rPr>
                <w:color w:val="000000" w:themeColor="text1"/>
                <w:sz w:val="20"/>
                <w:szCs w:val="20"/>
              </w:rPr>
              <w:t>Avg. Event</w:t>
            </w:r>
          </w:p>
        </w:tc>
        <w:tc>
          <w:tcPr>
            <w:tcW w:w="1142" w:type="dxa"/>
            <w:shd w:val="clear" w:color="auto" w:fill="auto"/>
            <w:noWrap/>
            <w:vAlign w:val="center"/>
          </w:tcPr>
          <w:p w:rsidR="00B9660B" w:rsidRPr="00B9660B" w:rsidRDefault="00B9660B" w:rsidP="00336E76">
            <w:pPr>
              <w:jc w:val="center"/>
              <w:rPr>
                <w:color w:val="000000" w:themeColor="text1"/>
                <w:sz w:val="20"/>
                <w:szCs w:val="20"/>
              </w:rPr>
            </w:pPr>
            <w:r w:rsidRPr="00B9660B">
              <w:rPr>
                <w:color w:val="000000" w:themeColor="text1"/>
                <w:sz w:val="20"/>
                <w:szCs w:val="20"/>
              </w:rPr>
              <w:t>160</w:t>
            </w:r>
          </w:p>
        </w:tc>
        <w:tc>
          <w:tcPr>
            <w:tcW w:w="1149" w:type="dxa"/>
            <w:shd w:val="clear" w:color="auto" w:fill="auto"/>
          </w:tcPr>
          <w:p w:rsidR="00B9660B" w:rsidRPr="00B9660B" w:rsidRDefault="00B9660B" w:rsidP="00336E76">
            <w:pPr>
              <w:jc w:val="center"/>
              <w:rPr>
                <w:color w:val="000000" w:themeColor="text1"/>
                <w:sz w:val="20"/>
                <w:szCs w:val="20"/>
              </w:rPr>
            </w:pPr>
            <w:r w:rsidRPr="00B9660B">
              <w:rPr>
                <w:color w:val="000000" w:themeColor="text1"/>
                <w:sz w:val="20"/>
                <w:szCs w:val="20"/>
              </w:rPr>
              <w:t>4.4</w:t>
            </w:r>
          </w:p>
        </w:tc>
        <w:tc>
          <w:tcPr>
            <w:tcW w:w="1173" w:type="dxa"/>
            <w:shd w:val="clear" w:color="auto" w:fill="auto"/>
            <w:noWrap/>
            <w:vAlign w:val="center"/>
          </w:tcPr>
          <w:p w:rsidR="00B9660B" w:rsidRPr="00B9660B" w:rsidRDefault="00B9660B" w:rsidP="00336E76">
            <w:pPr>
              <w:jc w:val="center"/>
              <w:rPr>
                <w:color w:val="000000" w:themeColor="text1"/>
                <w:sz w:val="20"/>
                <w:szCs w:val="20"/>
              </w:rPr>
            </w:pPr>
            <w:r w:rsidRPr="00B9660B">
              <w:rPr>
                <w:color w:val="000000"/>
                <w:sz w:val="20"/>
                <w:szCs w:val="20"/>
              </w:rPr>
              <w:t>182.8</w:t>
            </w:r>
          </w:p>
        </w:tc>
        <w:tc>
          <w:tcPr>
            <w:tcW w:w="926" w:type="dxa"/>
            <w:shd w:val="clear" w:color="auto" w:fill="auto"/>
            <w:noWrap/>
            <w:vAlign w:val="center"/>
          </w:tcPr>
          <w:p w:rsidR="00B9660B" w:rsidRPr="00B9660B" w:rsidRDefault="00B9660B" w:rsidP="00336E76">
            <w:pPr>
              <w:jc w:val="center"/>
              <w:rPr>
                <w:color w:val="000000" w:themeColor="text1"/>
                <w:sz w:val="20"/>
                <w:szCs w:val="20"/>
              </w:rPr>
            </w:pPr>
            <w:r w:rsidRPr="00B9660B">
              <w:rPr>
                <w:color w:val="000000"/>
                <w:sz w:val="20"/>
                <w:szCs w:val="20"/>
              </w:rPr>
              <w:t>21.9</w:t>
            </w:r>
          </w:p>
        </w:tc>
        <w:tc>
          <w:tcPr>
            <w:tcW w:w="1090" w:type="dxa"/>
            <w:shd w:val="clear" w:color="auto" w:fill="auto"/>
            <w:noWrap/>
            <w:vAlign w:val="center"/>
          </w:tcPr>
          <w:p w:rsidR="00B9660B" w:rsidRPr="00B9660B" w:rsidRDefault="00B9660B" w:rsidP="00336E76">
            <w:pPr>
              <w:jc w:val="center"/>
              <w:rPr>
                <w:color w:val="000000" w:themeColor="text1"/>
                <w:sz w:val="20"/>
                <w:szCs w:val="20"/>
              </w:rPr>
            </w:pPr>
            <w:r w:rsidRPr="00B9660B">
              <w:rPr>
                <w:color w:val="000000"/>
                <w:sz w:val="20"/>
                <w:szCs w:val="20"/>
              </w:rPr>
              <w:t>29.2</w:t>
            </w:r>
          </w:p>
        </w:tc>
        <w:tc>
          <w:tcPr>
            <w:tcW w:w="1008" w:type="dxa"/>
            <w:shd w:val="clear" w:color="auto" w:fill="auto"/>
            <w:noWrap/>
            <w:vAlign w:val="center"/>
          </w:tcPr>
          <w:p w:rsidR="00B9660B" w:rsidRPr="00B9660B" w:rsidRDefault="00B9660B" w:rsidP="00336E76">
            <w:pPr>
              <w:jc w:val="center"/>
              <w:rPr>
                <w:color w:val="000000" w:themeColor="text1"/>
                <w:sz w:val="20"/>
                <w:szCs w:val="20"/>
              </w:rPr>
            </w:pPr>
            <w:r w:rsidRPr="00B9660B">
              <w:rPr>
                <w:color w:val="000000"/>
                <w:sz w:val="20"/>
                <w:szCs w:val="20"/>
              </w:rPr>
              <w:t>3.5</w:t>
            </w:r>
          </w:p>
        </w:tc>
        <w:tc>
          <w:tcPr>
            <w:tcW w:w="1008" w:type="dxa"/>
            <w:shd w:val="clear" w:color="auto" w:fill="auto"/>
            <w:noWrap/>
            <w:vAlign w:val="center"/>
          </w:tcPr>
          <w:p w:rsidR="00B9660B" w:rsidRPr="00B9660B" w:rsidRDefault="00B9660B" w:rsidP="00336E76">
            <w:pPr>
              <w:jc w:val="center"/>
              <w:rPr>
                <w:color w:val="000000" w:themeColor="text1"/>
                <w:sz w:val="20"/>
                <w:szCs w:val="20"/>
              </w:rPr>
            </w:pPr>
            <w:r w:rsidRPr="00B9660B">
              <w:rPr>
                <w:color w:val="000000"/>
                <w:sz w:val="20"/>
                <w:szCs w:val="20"/>
              </w:rPr>
              <w:t>12%</w:t>
            </w:r>
          </w:p>
        </w:tc>
        <w:tc>
          <w:tcPr>
            <w:tcW w:w="844" w:type="dxa"/>
            <w:shd w:val="clear" w:color="auto" w:fill="auto"/>
            <w:noWrap/>
            <w:vAlign w:val="center"/>
          </w:tcPr>
          <w:p w:rsidR="00B9660B" w:rsidRPr="00B9660B" w:rsidRDefault="00B9660B" w:rsidP="00336E76">
            <w:pPr>
              <w:jc w:val="right"/>
              <w:rPr>
                <w:color w:val="000000" w:themeColor="text1"/>
                <w:sz w:val="20"/>
                <w:szCs w:val="20"/>
              </w:rPr>
            </w:pPr>
            <w:r w:rsidRPr="00B9660B">
              <w:rPr>
                <w:color w:val="000000"/>
                <w:sz w:val="20"/>
                <w:szCs w:val="20"/>
              </w:rPr>
              <w:t>81</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5/1/2015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173</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2.9</w:t>
            </w:r>
          </w:p>
        </w:tc>
        <w:tc>
          <w:tcPr>
            <w:tcW w:w="1173" w:type="dxa"/>
            <w:tcBorders>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110.6</w:t>
            </w:r>
          </w:p>
        </w:tc>
        <w:tc>
          <w:tcPr>
            <w:tcW w:w="926" w:type="dxa"/>
            <w:tcBorders>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11.3</w:t>
            </w:r>
          </w:p>
        </w:tc>
        <w:tc>
          <w:tcPr>
            <w:tcW w:w="1090" w:type="dxa"/>
            <w:tcBorders>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19.1</w:t>
            </w:r>
          </w:p>
        </w:tc>
        <w:tc>
          <w:tcPr>
            <w:tcW w:w="1008" w:type="dxa"/>
            <w:tcBorders>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2.0</w:t>
            </w:r>
          </w:p>
        </w:tc>
        <w:tc>
          <w:tcPr>
            <w:tcW w:w="1008" w:type="dxa"/>
            <w:tcBorders>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10%</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76</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6/9/2015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193</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4.7</w:t>
            </w:r>
          </w:p>
        </w:tc>
        <w:tc>
          <w:tcPr>
            <w:tcW w:w="1173"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144.8</w:t>
            </w:r>
          </w:p>
        </w:tc>
        <w:tc>
          <w:tcPr>
            <w:tcW w:w="92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16.0</w:t>
            </w:r>
          </w:p>
        </w:tc>
        <w:tc>
          <w:tcPr>
            <w:tcW w:w="1090"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27.9</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3.1</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11%</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70</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6/24/2015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193</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4.7</w:t>
            </w:r>
          </w:p>
        </w:tc>
        <w:tc>
          <w:tcPr>
            <w:tcW w:w="1173"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151.6</w:t>
            </w:r>
          </w:p>
        </w:tc>
        <w:tc>
          <w:tcPr>
            <w:tcW w:w="92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14.5</w:t>
            </w:r>
          </w:p>
        </w:tc>
        <w:tc>
          <w:tcPr>
            <w:tcW w:w="1090"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29.3</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2.8</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10%</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76</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6/25/2015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193</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4.7</w:t>
            </w:r>
          </w:p>
        </w:tc>
        <w:tc>
          <w:tcPr>
            <w:tcW w:w="1173"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147.2</w:t>
            </w:r>
          </w:p>
        </w:tc>
        <w:tc>
          <w:tcPr>
            <w:tcW w:w="92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15.1</w:t>
            </w:r>
          </w:p>
        </w:tc>
        <w:tc>
          <w:tcPr>
            <w:tcW w:w="1090"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28.4</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2.9</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10%</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74</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6/26/2015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193</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4.7</w:t>
            </w:r>
          </w:p>
        </w:tc>
        <w:tc>
          <w:tcPr>
            <w:tcW w:w="1173"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144.5</w:t>
            </w:r>
          </w:p>
        </w:tc>
        <w:tc>
          <w:tcPr>
            <w:tcW w:w="92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15.4</w:t>
            </w:r>
          </w:p>
        </w:tc>
        <w:tc>
          <w:tcPr>
            <w:tcW w:w="1090"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27.9</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3.0</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11%</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74</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6/29/2015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193</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4.7</w:t>
            </w:r>
          </w:p>
        </w:tc>
        <w:tc>
          <w:tcPr>
            <w:tcW w:w="1173"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154.0</w:t>
            </w:r>
          </w:p>
        </w:tc>
        <w:tc>
          <w:tcPr>
            <w:tcW w:w="92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16.1</w:t>
            </w:r>
          </w:p>
        </w:tc>
        <w:tc>
          <w:tcPr>
            <w:tcW w:w="1090"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29.7</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3.1</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10%</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74</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6/30/2015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193</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4.7</w:t>
            </w:r>
          </w:p>
        </w:tc>
        <w:tc>
          <w:tcPr>
            <w:tcW w:w="1173"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159.2</w:t>
            </w:r>
          </w:p>
        </w:tc>
        <w:tc>
          <w:tcPr>
            <w:tcW w:w="92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15.8</w:t>
            </w:r>
          </w:p>
        </w:tc>
        <w:tc>
          <w:tcPr>
            <w:tcW w:w="1090"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30.7</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3.1</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10%</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81</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7/1/2015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168</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4.4</w:t>
            </w:r>
          </w:p>
        </w:tc>
        <w:tc>
          <w:tcPr>
            <w:tcW w:w="1173"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167.8</w:t>
            </w:r>
          </w:p>
        </w:tc>
        <w:tc>
          <w:tcPr>
            <w:tcW w:w="92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18.3</w:t>
            </w:r>
          </w:p>
        </w:tc>
        <w:tc>
          <w:tcPr>
            <w:tcW w:w="1090"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28.2</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3.1</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11%</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76</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7/29/2015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168</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4.4</w:t>
            </w:r>
          </w:p>
        </w:tc>
        <w:tc>
          <w:tcPr>
            <w:tcW w:w="1173"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158.1</w:t>
            </w:r>
          </w:p>
        </w:tc>
        <w:tc>
          <w:tcPr>
            <w:tcW w:w="92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17.4</w:t>
            </w:r>
          </w:p>
        </w:tc>
        <w:tc>
          <w:tcPr>
            <w:tcW w:w="1090"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26.6</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2.9</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11%</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76</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8/5/2015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156</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4.4</w:t>
            </w:r>
          </w:p>
        </w:tc>
        <w:tc>
          <w:tcPr>
            <w:tcW w:w="1173"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189.1</w:t>
            </w:r>
          </w:p>
        </w:tc>
        <w:tc>
          <w:tcPr>
            <w:tcW w:w="92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19.9</w:t>
            </w:r>
          </w:p>
        </w:tc>
        <w:tc>
          <w:tcPr>
            <w:tcW w:w="1090"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29.5</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3.1</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11%</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80</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8/13/2015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156</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4.4</w:t>
            </w:r>
          </w:p>
        </w:tc>
        <w:tc>
          <w:tcPr>
            <w:tcW w:w="1173"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198.2</w:t>
            </w:r>
          </w:p>
        </w:tc>
        <w:tc>
          <w:tcPr>
            <w:tcW w:w="92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21.2</w:t>
            </w:r>
          </w:p>
        </w:tc>
        <w:tc>
          <w:tcPr>
            <w:tcW w:w="1090"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30.9</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3.3</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11%</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82</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8/25/2015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156</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4.4</w:t>
            </w:r>
          </w:p>
        </w:tc>
        <w:tc>
          <w:tcPr>
            <w:tcW w:w="1173"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174.1</w:t>
            </w:r>
          </w:p>
        </w:tc>
        <w:tc>
          <w:tcPr>
            <w:tcW w:w="92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17.2</w:t>
            </w:r>
          </w:p>
        </w:tc>
        <w:tc>
          <w:tcPr>
            <w:tcW w:w="1090"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27.2</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2.7</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10%</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78</w:t>
            </w:r>
          </w:p>
        </w:tc>
      </w:tr>
      <w:tr w:rsidR="00B9660B" w:rsidRPr="00371A4C" w:rsidTr="00336E76">
        <w:trPr>
          <w:trHeight w:val="300"/>
        </w:trPr>
        <w:tc>
          <w:tcPr>
            <w:tcW w:w="1236" w:type="dxa"/>
            <w:shd w:val="clear" w:color="auto" w:fill="auto"/>
            <w:noWrap/>
            <w:vAlign w:val="center"/>
          </w:tcPr>
          <w:p w:rsidR="00B9660B" w:rsidRPr="00B9660B" w:rsidRDefault="00B9660B" w:rsidP="00336E76">
            <w:pPr>
              <w:rPr>
                <w:color w:val="000000"/>
                <w:sz w:val="20"/>
                <w:szCs w:val="20"/>
              </w:rPr>
            </w:pPr>
            <w:r w:rsidRPr="00B9660B">
              <w:rPr>
                <w:sz w:val="20"/>
                <w:szCs w:val="20"/>
              </w:rPr>
              <w:t>8/26/2015</w:t>
            </w:r>
          </w:p>
        </w:tc>
        <w:tc>
          <w:tcPr>
            <w:tcW w:w="1142" w:type="dxa"/>
            <w:shd w:val="clear" w:color="auto" w:fill="auto"/>
            <w:noWrap/>
            <w:vAlign w:val="center"/>
          </w:tcPr>
          <w:p w:rsidR="00B9660B" w:rsidRPr="00B9660B" w:rsidRDefault="00B9660B" w:rsidP="00336E76">
            <w:pPr>
              <w:jc w:val="center"/>
              <w:rPr>
                <w:color w:val="000000"/>
                <w:sz w:val="20"/>
                <w:szCs w:val="20"/>
              </w:rPr>
            </w:pPr>
            <w:r w:rsidRPr="00B9660B">
              <w:rPr>
                <w:sz w:val="20"/>
                <w:szCs w:val="20"/>
              </w:rPr>
              <w:t>156</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4.4</w:t>
            </w:r>
          </w:p>
        </w:tc>
        <w:tc>
          <w:tcPr>
            <w:tcW w:w="1173"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190.2</w:t>
            </w:r>
          </w:p>
        </w:tc>
        <w:tc>
          <w:tcPr>
            <w:tcW w:w="926"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22.1</w:t>
            </w:r>
          </w:p>
        </w:tc>
        <w:tc>
          <w:tcPr>
            <w:tcW w:w="1090"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29.7</w:t>
            </w:r>
          </w:p>
        </w:tc>
        <w:tc>
          <w:tcPr>
            <w:tcW w:w="1008"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3.4</w:t>
            </w:r>
          </w:p>
        </w:tc>
        <w:tc>
          <w:tcPr>
            <w:tcW w:w="1008"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12%</w:t>
            </w:r>
          </w:p>
        </w:tc>
        <w:tc>
          <w:tcPr>
            <w:tcW w:w="844" w:type="dxa"/>
            <w:shd w:val="clear" w:color="auto" w:fill="auto"/>
            <w:noWrap/>
            <w:vAlign w:val="center"/>
          </w:tcPr>
          <w:p w:rsidR="00B9660B" w:rsidRPr="00B9660B" w:rsidRDefault="00B9660B" w:rsidP="00336E76">
            <w:pPr>
              <w:jc w:val="right"/>
              <w:rPr>
                <w:color w:val="000000"/>
                <w:sz w:val="20"/>
                <w:szCs w:val="20"/>
              </w:rPr>
            </w:pPr>
            <w:r w:rsidRPr="00B9660B">
              <w:rPr>
                <w:sz w:val="20"/>
                <w:szCs w:val="20"/>
              </w:rPr>
              <w:t>84</w:t>
            </w:r>
          </w:p>
        </w:tc>
      </w:tr>
      <w:tr w:rsidR="00B9660B" w:rsidRPr="00371A4C" w:rsidTr="00336E76">
        <w:trPr>
          <w:trHeight w:val="300"/>
        </w:trPr>
        <w:tc>
          <w:tcPr>
            <w:tcW w:w="1236" w:type="dxa"/>
            <w:shd w:val="clear" w:color="auto" w:fill="auto"/>
            <w:noWrap/>
            <w:vAlign w:val="center"/>
          </w:tcPr>
          <w:p w:rsidR="00B9660B" w:rsidRPr="00B9660B" w:rsidRDefault="00B9660B" w:rsidP="00336E76">
            <w:pPr>
              <w:rPr>
                <w:color w:val="000000"/>
                <w:sz w:val="20"/>
                <w:szCs w:val="20"/>
              </w:rPr>
            </w:pPr>
            <w:r w:rsidRPr="00B9660B">
              <w:rPr>
                <w:sz w:val="20"/>
                <w:szCs w:val="20"/>
              </w:rPr>
              <w:t>8/27/2015</w:t>
            </w:r>
          </w:p>
        </w:tc>
        <w:tc>
          <w:tcPr>
            <w:tcW w:w="1142" w:type="dxa"/>
            <w:shd w:val="clear" w:color="auto" w:fill="auto"/>
            <w:noWrap/>
            <w:vAlign w:val="center"/>
          </w:tcPr>
          <w:p w:rsidR="00B9660B" w:rsidRPr="00B9660B" w:rsidRDefault="00B9660B" w:rsidP="00336E76">
            <w:pPr>
              <w:jc w:val="center"/>
              <w:rPr>
                <w:color w:val="000000"/>
                <w:sz w:val="20"/>
                <w:szCs w:val="20"/>
              </w:rPr>
            </w:pPr>
            <w:r w:rsidRPr="00B9660B">
              <w:rPr>
                <w:sz w:val="20"/>
                <w:szCs w:val="20"/>
              </w:rPr>
              <w:t>156</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4.4</w:t>
            </w:r>
          </w:p>
        </w:tc>
        <w:tc>
          <w:tcPr>
            <w:tcW w:w="1173"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197.4</w:t>
            </w:r>
          </w:p>
        </w:tc>
        <w:tc>
          <w:tcPr>
            <w:tcW w:w="926"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23.2</w:t>
            </w:r>
          </w:p>
        </w:tc>
        <w:tc>
          <w:tcPr>
            <w:tcW w:w="1090"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30.8</w:t>
            </w:r>
          </w:p>
        </w:tc>
        <w:tc>
          <w:tcPr>
            <w:tcW w:w="1008"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3.6</w:t>
            </w:r>
          </w:p>
        </w:tc>
        <w:tc>
          <w:tcPr>
            <w:tcW w:w="1008"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12%</w:t>
            </w:r>
          </w:p>
        </w:tc>
        <w:tc>
          <w:tcPr>
            <w:tcW w:w="844" w:type="dxa"/>
            <w:shd w:val="clear" w:color="auto" w:fill="auto"/>
            <w:noWrap/>
            <w:vAlign w:val="center"/>
          </w:tcPr>
          <w:p w:rsidR="00B9660B" w:rsidRPr="00B9660B" w:rsidRDefault="00B9660B" w:rsidP="00336E76">
            <w:pPr>
              <w:jc w:val="right"/>
              <w:rPr>
                <w:color w:val="000000"/>
                <w:sz w:val="20"/>
                <w:szCs w:val="20"/>
              </w:rPr>
            </w:pPr>
            <w:r w:rsidRPr="00B9660B">
              <w:rPr>
                <w:sz w:val="20"/>
                <w:szCs w:val="20"/>
              </w:rPr>
              <w:t>87</w:t>
            </w:r>
          </w:p>
        </w:tc>
      </w:tr>
      <w:tr w:rsidR="00B9660B" w:rsidRPr="00371A4C" w:rsidTr="00336E76">
        <w:trPr>
          <w:trHeight w:val="300"/>
        </w:trPr>
        <w:tc>
          <w:tcPr>
            <w:tcW w:w="1236" w:type="dxa"/>
            <w:shd w:val="clear" w:color="auto" w:fill="auto"/>
            <w:noWrap/>
            <w:vAlign w:val="center"/>
          </w:tcPr>
          <w:p w:rsidR="00B9660B" w:rsidRPr="00B9660B" w:rsidRDefault="00B9660B" w:rsidP="00336E76">
            <w:pPr>
              <w:rPr>
                <w:color w:val="000000"/>
                <w:sz w:val="20"/>
                <w:szCs w:val="20"/>
              </w:rPr>
            </w:pPr>
            <w:r w:rsidRPr="00B9660B">
              <w:rPr>
                <w:sz w:val="20"/>
                <w:szCs w:val="20"/>
              </w:rPr>
              <w:t>8/28/2015</w:t>
            </w:r>
          </w:p>
        </w:tc>
        <w:tc>
          <w:tcPr>
            <w:tcW w:w="1142" w:type="dxa"/>
            <w:shd w:val="clear" w:color="auto" w:fill="auto"/>
            <w:noWrap/>
            <w:vAlign w:val="center"/>
          </w:tcPr>
          <w:p w:rsidR="00B9660B" w:rsidRPr="00B9660B" w:rsidRDefault="00B9660B" w:rsidP="00336E76">
            <w:pPr>
              <w:jc w:val="center"/>
              <w:rPr>
                <w:color w:val="000000"/>
                <w:sz w:val="20"/>
                <w:szCs w:val="20"/>
              </w:rPr>
            </w:pPr>
            <w:r w:rsidRPr="00B9660B">
              <w:rPr>
                <w:sz w:val="20"/>
                <w:szCs w:val="20"/>
              </w:rPr>
              <w:t>156</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4.4</w:t>
            </w:r>
          </w:p>
        </w:tc>
        <w:tc>
          <w:tcPr>
            <w:tcW w:w="1173"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202.7</w:t>
            </w:r>
          </w:p>
        </w:tc>
        <w:tc>
          <w:tcPr>
            <w:tcW w:w="926"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26.5</w:t>
            </w:r>
          </w:p>
        </w:tc>
        <w:tc>
          <w:tcPr>
            <w:tcW w:w="1090"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31.6</w:t>
            </w:r>
          </w:p>
        </w:tc>
        <w:tc>
          <w:tcPr>
            <w:tcW w:w="1008"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4.1</w:t>
            </w:r>
          </w:p>
        </w:tc>
        <w:tc>
          <w:tcPr>
            <w:tcW w:w="1008"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13%</w:t>
            </w:r>
          </w:p>
        </w:tc>
        <w:tc>
          <w:tcPr>
            <w:tcW w:w="844" w:type="dxa"/>
            <w:shd w:val="clear" w:color="auto" w:fill="auto"/>
            <w:noWrap/>
            <w:vAlign w:val="center"/>
          </w:tcPr>
          <w:p w:rsidR="00B9660B" w:rsidRPr="00B9660B" w:rsidRDefault="00B9660B" w:rsidP="00336E76">
            <w:pPr>
              <w:jc w:val="right"/>
              <w:rPr>
                <w:color w:val="000000"/>
                <w:sz w:val="20"/>
                <w:szCs w:val="20"/>
              </w:rPr>
            </w:pPr>
            <w:r w:rsidRPr="00B9660B">
              <w:rPr>
                <w:sz w:val="20"/>
                <w:szCs w:val="20"/>
              </w:rPr>
              <w:t>90</w:t>
            </w:r>
          </w:p>
        </w:tc>
      </w:tr>
      <w:tr w:rsidR="00B9660B" w:rsidRPr="00371A4C" w:rsidTr="00336E76">
        <w:trPr>
          <w:trHeight w:val="300"/>
        </w:trPr>
        <w:tc>
          <w:tcPr>
            <w:tcW w:w="1236" w:type="dxa"/>
            <w:shd w:val="clear" w:color="auto" w:fill="auto"/>
            <w:noWrap/>
            <w:vAlign w:val="center"/>
          </w:tcPr>
          <w:p w:rsidR="00B9660B" w:rsidRPr="00B9660B" w:rsidRDefault="00B9660B" w:rsidP="00336E76">
            <w:pPr>
              <w:rPr>
                <w:color w:val="000000"/>
                <w:sz w:val="20"/>
                <w:szCs w:val="20"/>
              </w:rPr>
            </w:pPr>
            <w:r w:rsidRPr="00B9660B">
              <w:rPr>
                <w:sz w:val="20"/>
                <w:szCs w:val="20"/>
              </w:rPr>
              <w:t>9/8/2015</w:t>
            </w:r>
          </w:p>
        </w:tc>
        <w:tc>
          <w:tcPr>
            <w:tcW w:w="1142" w:type="dxa"/>
            <w:shd w:val="clear" w:color="auto" w:fill="auto"/>
            <w:noWrap/>
            <w:vAlign w:val="center"/>
          </w:tcPr>
          <w:p w:rsidR="00B9660B" w:rsidRPr="00B9660B" w:rsidRDefault="00B9660B" w:rsidP="00336E76">
            <w:pPr>
              <w:jc w:val="center"/>
              <w:rPr>
                <w:color w:val="000000"/>
                <w:sz w:val="20"/>
                <w:szCs w:val="20"/>
              </w:rPr>
            </w:pPr>
            <w:r w:rsidRPr="00B9660B">
              <w:rPr>
                <w:sz w:val="20"/>
                <w:szCs w:val="20"/>
              </w:rPr>
              <w:t>155</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3.6</w:t>
            </w:r>
          </w:p>
        </w:tc>
        <w:tc>
          <w:tcPr>
            <w:tcW w:w="1173"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192.5</w:t>
            </w:r>
          </w:p>
        </w:tc>
        <w:tc>
          <w:tcPr>
            <w:tcW w:w="926"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27.4</w:t>
            </w:r>
          </w:p>
        </w:tc>
        <w:tc>
          <w:tcPr>
            <w:tcW w:w="1090"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29.8</w:t>
            </w:r>
          </w:p>
        </w:tc>
        <w:tc>
          <w:tcPr>
            <w:tcW w:w="1008"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4.2</w:t>
            </w:r>
          </w:p>
        </w:tc>
        <w:tc>
          <w:tcPr>
            <w:tcW w:w="1008"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14%</w:t>
            </w:r>
          </w:p>
        </w:tc>
        <w:tc>
          <w:tcPr>
            <w:tcW w:w="844" w:type="dxa"/>
            <w:shd w:val="clear" w:color="auto" w:fill="auto"/>
            <w:noWrap/>
            <w:vAlign w:val="center"/>
          </w:tcPr>
          <w:p w:rsidR="00B9660B" w:rsidRPr="00B9660B" w:rsidRDefault="00B9660B" w:rsidP="00336E76">
            <w:pPr>
              <w:jc w:val="right"/>
              <w:rPr>
                <w:color w:val="000000"/>
                <w:sz w:val="20"/>
                <w:szCs w:val="20"/>
              </w:rPr>
            </w:pPr>
            <w:r w:rsidRPr="00B9660B">
              <w:rPr>
                <w:sz w:val="20"/>
                <w:szCs w:val="20"/>
              </w:rPr>
              <w:t>88</w:t>
            </w:r>
          </w:p>
        </w:tc>
      </w:tr>
      <w:tr w:rsidR="00B9660B" w:rsidRPr="00371A4C" w:rsidTr="00336E76">
        <w:trPr>
          <w:trHeight w:val="300"/>
        </w:trPr>
        <w:tc>
          <w:tcPr>
            <w:tcW w:w="1236" w:type="dxa"/>
            <w:shd w:val="clear" w:color="auto" w:fill="auto"/>
            <w:noWrap/>
            <w:vAlign w:val="center"/>
          </w:tcPr>
          <w:p w:rsidR="00B9660B" w:rsidRPr="00B9660B" w:rsidRDefault="00B9660B" w:rsidP="00336E76">
            <w:pPr>
              <w:rPr>
                <w:color w:val="000000"/>
                <w:sz w:val="20"/>
                <w:szCs w:val="20"/>
              </w:rPr>
            </w:pPr>
            <w:r w:rsidRPr="00B9660B">
              <w:rPr>
                <w:sz w:val="20"/>
                <w:szCs w:val="20"/>
              </w:rPr>
              <w:t>9/9/2015</w:t>
            </w:r>
          </w:p>
        </w:tc>
        <w:tc>
          <w:tcPr>
            <w:tcW w:w="1142" w:type="dxa"/>
            <w:shd w:val="clear" w:color="auto" w:fill="auto"/>
            <w:noWrap/>
            <w:vAlign w:val="center"/>
          </w:tcPr>
          <w:p w:rsidR="00B9660B" w:rsidRPr="00B9660B" w:rsidRDefault="00B9660B" w:rsidP="00336E76">
            <w:pPr>
              <w:jc w:val="center"/>
              <w:rPr>
                <w:color w:val="000000"/>
                <w:sz w:val="20"/>
                <w:szCs w:val="20"/>
              </w:rPr>
            </w:pPr>
            <w:r w:rsidRPr="00B9660B">
              <w:rPr>
                <w:sz w:val="20"/>
                <w:szCs w:val="20"/>
              </w:rPr>
              <w:t>155</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3.6</w:t>
            </w:r>
          </w:p>
        </w:tc>
        <w:tc>
          <w:tcPr>
            <w:tcW w:w="1173"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204.8</w:t>
            </w:r>
          </w:p>
        </w:tc>
        <w:tc>
          <w:tcPr>
            <w:tcW w:w="926"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30.7</w:t>
            </w:r>
          </w:p>
        </w:tc>
        <w:tc>
          <w:tcPr>
            <w:tcW w:w="1090"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31.8</w:t>
            </w:r>
          </w:p>
        </w:tc>
        <w:tc>
          <w:tcPr>
            <w:tcW w:w="1008"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4.8</w:t>
            </w:r>
          </w:p>
        </w:tc>
        <w:tc>
          <w:tcPr>
            <w:tcW w:w="1008"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15%</w:t>
            </w:r>
          </w:p>
        </w:tc>
        <w:tc>
          <w:tcPr>
            <w:tcW w:w="844" w:type="dxa"/>
            <w:shd w:val="clear" w:color="auto" w:fill="auto"/>
            <w:noWrap/>
            <w:vAlign w:val="center"/>
          </w:tcPr>
          <w:p w:rsidR="00B9660B" w:rsidRPr="00B9660B" w:rsidRDefault="00B9660B" w:rsidP="00336E76">
            <w:pPr>
              <w:jc w:val="right"/>
              <w:rPr>
                <w:color w:val="000000"/>
                <w:sz w:val="20"/>
                <w:szCs w:val="20"/>
              </w:rPr>
            </w:pPr>
            <w:r w:rsidRPr="00B9660B">
              <w:rPr>
                <w:sz w:val="20"/>
                <w:szCs w:val="20"/>
              </w:rPr>
              <w:t>94</w:t>
            </w:r>
          </w:p>
        </w:tc>
      </w:tr>
      <w:tr w:rsidR="00B9660B" w:rsidRPr="00371A4C" w:rsidTr="00336E76">
        <w:trPr>
          <w:trHeight w:val="300"/>
        </w:trPr>
        <w:tc>
          <w:tcPr>
            <w:tcW w:w="1236" w:type="dxa"/>
            <w:shd w:val="clear" w:color="auto" w:fill="auto"/>
            <w:noWrap/>
            <w:vAlign w:val="center"/>
          </w:tcPr>
          <w:p w:rsidR="00B9660B" w:rsidRPr="00B9660B" w:rsidRDefault="00B9660B" w:rsidP="00336E76">
            <w:pPr>
              <w:rPr>
                <w:color w:val="000000"/>
                <w:sz w:val="20"/>
                <w:szCs w:val="20"/>
              </w:rPr>
            </w:pPr>
            <w:r w:rsidRPr="00B9660B">
              <w:rPr>
                <w:sz w:val="20"/>
                <w:szCs w:val="20"/>
              </w:rPr>
              <w:t>9/10/2015</w:t>
            </w:r>
          </w:p>
        </w:tc>
        <w:tc>
          <w:tcPr>
            <w:tcW w:w="1142" w:type="dxa"/>
            <w:shd w:val="clear" w:color="auto" w:fill="auto"/>
            <w:noWrap/>
            <w:vAlign w:val="center"/>
          </w:tcPr>
          <w:p w:rsidR="00B9660B" w:rsidRPr="00B9660B" w:rsidRDefault="00B9660B" w:rsidP="00336E76">
            <w:pPr>
              <w:jc w:val="center"/>
              <w:rPr>
                <w:color w:val="000000"/>
                <w:sz w:val="20"/>
                <w:szCs w:val="20"/>
              </w:rPr>
            </w:pPr>
            <w:r w:rsidRPr="00B9660B">
              <w:rPr>
                <w:sz w:val="20"/>
                <w:szCs w:val="20"/>
              </w:rPr>
              <w:t>155</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3.6</w:t>
            </w:r>
          </w:p>
        </w:tc>
        <w:tc>
          <w:tcPr>
            <w:tcW w:w="1173"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218.0</w:t>
            </w:r>
          </w:p>
        </w:tc>
        <w:tc>
          <w:tcPr>
            <w:tcW w:w="926"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31.6</w:t>
            </w:r>
          </w:p>
        </w:tc>
        <w:tc>
          <w:tcPr>
            <w:tcW w:w="1090"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33.8</w:t>
            </w:r>
          </w:p>
        </w:tc>
        <w:tc>
          <w:tcPr>
            <w:tcW w:w="1008"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4.9</w:t>
            </w:r>
          </w:p>
        </w:tc>
        <w:tc>
          <w:tcPr>
            <w:tcW w:w="1008"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15%</w:t>
            </w:r>
          </w:p>
        </w:tc>
        <w:tc>
          <w:tcPr>
            <w:tcW w:w="844" w:type="dxa"/>
            <w:shd w:val="clear" w:color="auto" w:fill="auto"/>
            <w:noWrap/>
            <w:vAlign w:val="center"/>
          </w:tcPr>
          <w:p w:rsidR="00B9660B" w:rsidRPr="00B9660B" w:rsidRDefault="00B9660B" w:rsidP="00336E76">
            <w:pPr>
              <w:jc w:val="right"/>
              <w:rPr>
                <w:color w:val="000000"/>
                <w:sz w:val="20"/>
                <w:szCs w:val="20"/>
              </w:rPr>
            </w:pPr>
            <w:r w:rsidRPr="00B9660B">
              <w:rPr>
                <w:sz w:val="20"/>
                <w:szCs w:val="20"/>
              </w:rPr>
              <w:t>90</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9/11/2015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155</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3.6</w:t>
            </w:r>
          </w:p>
        </w:tc>
        <w:tc>
          <w:tcPr>
            <w:tcW w:w="1173"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194.0</w:t>
            </w:r>
          </w:p>
        </w:tc>
        <w:tc>
          <w:tcPr>
            <w:tcW w:w="92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23.8</w:t>
            </w:r>
          </w:p>
        </w:tc>
        <w:tc>
          <w:tcPr>
            <w:tcW w:w="1090"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30.1</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3.7</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12%</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84</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9/21/2015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155</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3.6</w:t>
            </w:r>
          </w:p>
        </w:tc>
        <w:tc>
          <w:tcPr>
            <w:tcW w:w="1173"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176.1</w:t>
            </w:r>
          </w:p>
        </w:tc>
        <w:tc>
          <w:tcPr>
            <w:tcW w:w="92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24.1</w:t>
            </w:r>
          </w:p>
        </w:tc>
        <w:tc>
          <w:tcPr>
            <w:tcW w:w="1090"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27.3</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3.7</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14%</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78</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10/9/2015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158</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2.8</w:t>
            </w:r>
          </w:p>
        </w:tc>
        <w:tc>
          <w:tcPr>
            <w:tcW w:w="1173"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195.1</w:t>
            </w:r>
          </w:p>
        </w:tc>
        <w:tc>
          <w:tcPr>
            <w:tcW w:w="92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27.6</w:t>
            </w:r>
          </w:p>
        </w:tc>
        <w:tc>
          <w:tcPr>
            <w:tcW w:w="1090"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30.8</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4.4</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14%</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95</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10/12/2015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158</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2.8</w:t>
            </w:r>
          </w:p>
        </w:tc>
        <w:tc>
          <w:tcPr>
            <w:tcW w:w="1173"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194.1</w:t>
            </w:r>
          </w:p>
        </w:tc>
        <w:tc>
          <w:tcPr>
            <w:tcW w:w="92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28.5</w:t>
            </w:r>
          </w:p>
        </w:tc>
        <w:tc>
          <w:tcPr>
            <w:tcW w:w="1090"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30.7</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4.5</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15%</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88</w:t>
            </w:r>
          </w:p>
        </w:tc>
      </w:tr>
      <w:tr w:rsidR="00B9660B" w:rsidRPr="00371A4C" w:rsidTr="00336E76">
        <w:trPr>
          <w:trHeight w:val="300"/>
        </w:trPr>
        <w:tc>
          <w:tcPr>
            <w:tcW w:w="1236" w:type="dxa"/>
            <w:shd w:val="clear" w:color="auto" w:fill="auto"/>
            <w:noWrap/>
            <w:vAlign w:val="center"/>
            <w:hideMark/>
          </w:tcPr>
          <w:p w:rsidR="00B9660B" w:rsidRPr="00B9660B" w:rsidRDefault="00B9660B" w:rsidP="00336E76">
            <w:pPr>
              <w:rPr>
                <w:color w:val="000000"/>
                <w:sz w:val="20"/>
                <w:szCs w:val="20"/>
              </w:rPr>
            </w:pPr>
            <w:r w:rsidRPr="00B9660B">
              <w:rPr>
                <w:sz w:val="20"/>
                <w:szCs w:val="20"/>
              </w:rPr>
              <w:t>10/13/2015</w:t>
            </w:r>
          </w:p>
        </w:tc>
        <w:tc>
          <w:tcPr>
            <w:tcW w:w="1142" w:type="dxa"/>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158</w:t>
            </w:r>
          </w:p>
        </w:tc>
        <w:tc>
          <w:tcPr>
            <w:tcW w:w="1149" w:type="dxa"/>
            <w:shd w:val="clear" w:color="auto" w:fill="auto"/>
          </w:tcPr>
          <w:p w:rsidR="00B9660B" w:rsidRPr="00B9660B" w:rsidRDefault="00B9660B" w:rsidP="00336E76">
            <w:pPr>
              <w:jc w:val="center"/>
              <w:rPr>
                <w:color w:val="000000"/>
                <w:sz w:val="20"/>
                <w:szCs w:val="20"/>
              </w:rPr>
            </w:pPr>
            <w:r w:rsidRPr="00B9660B">
              <w:rPr>
                <w:color w:val="000000"/>
                <w:sz w:val="20"/>
                <w:szCs w:val="20"/>
              </w:rPr>
              <w:t>2.8</w:t>
            </w:r>
          </w:p>
        </w:tc>
        <w:tc>
          <w:tcPr>
            <w:tcW w:w="1173"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193.3</w:t>
            </w:r>
          </w:p>
        </w:tc>
        <w:tc>
          <w:tcPr>
            <w:tcW w:w="92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26.6</w:t>
            </w:r>
          </w:p>
        </w:tc>
        <w:tc>
          <w:tcPr>
            <w:tcW w:w="1090"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30.5</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4.2</w:t>
            </w:r>
          </w:p>
        </w:tc>
        <w:tc>
          <w:tcPr>
            <w:tcW w:w="1008"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14%</w:t>
            </w:r>
          </w:p>
        </w:tc>
        <w:tc>
          <w:tcPr>
            <w:tcW w:w="844" w:type="dxa"/>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82</w:t>
            </w:r>
          </w:p>
        </w:tc>
      </w:tr>
      <w:tr w:rsidR="00B9660B" w:rsidRPr="00371A4C" w:rsidTr="00336E76">
        <w:trPr>
          <w:trHeight w:val="70"/>
        </w:trPr>
        <w:tc>
          <w:tcPr>
            <w:tcW w:w="1236" w:type="dxa"/>
            <w:tcBorders>
              <w:bottom w:val="single" w:sz="4" w:space="0" w:color="7F7F7F" w:themeColor="text1" w:themeTint="80"/>
            </w:tcBorders>
            <w:shd w:val="clear" w:color="auto" w:fill="auto"/>
            <w:noWrap/>
            <w:vAlign w:val="center"/>
            <w:hideMark/>
          </w:tcPr>
          <w:p w:rsidR="00B9660B" w:rsidRPr="00B9660B" w:rsidRDefault="00B9660B" w:rsidP="00336E76">
            <w:pPr>
              <w:rPr>
                <w:color w:val="000000"/>
                <w:sz w:val="20"/>
                <w:szCs w:val="20"/>
              </w:rPr>
            </w:pPr>
            <w:r w:rsidRPr="00B9660B">
              <w:rPr>
                <w:color w:val="000000"/>
                <w:sz w:val="20"/>
                <w:szCs w:val="20"/>
              </w:rPr>
              <w:t>10/14/2015</w:t>
            </w:r>
          </w:p>
        </w:tc>
        <w:tc>
          <w:tcPr>
            <w:tcW w:w="1142" w:type="dxa"/>
            <w:tcBorders>
              <w:bottom w:val="single" w:sz="4" w:space="0" w:color="7F7F7F" w:themeColor="text1" w:themeTint="80"/>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158</w:t>
            </w:r>
          </w:p>
        </w:tc>
        <w:tc>
          <w:tcPr>
            <w:tcW w:w="1149" w:type="dxa"/>
            <w:tcBorders>
              <w:bottom w:val="single" w:sz="4" w:space="0" w:color="7F7F7F" w:themeColor="text1" w:themeTint="80"/>
            </w:tcBorders>
            <w:shd w:val="clear" w:color="auto" w:fill="auto"/>
          </w:tcPr>
          <w:p w:rsidR="00B9660B" w:rsidRPr="00B9660B" w:rsidRDefault="00B9660B" w:rsidP="00336E76">
            <w:pPr>
              <w:jc w:val="center"/>
              <w:rPr>
                <w:color w:val="000000"/>
                <w:sz w:val="20"/>
                <w:szCs w:val="20"/>
              </w:rPr>
            </w:pPr>
            <w:r w:rsidRPr="00B9660B">
              <w:rPr>
                <w:color w:val="000000"/>
                <w:sz w:val="20"/>
                <w:szCs w:val="20"/>
              </w:rPr>
              <w:t>2.8</w:t>
            </w:r>
          </w:p>
        </w:tc>
        <w:tc>
          <w:tcPr>
            <w:tcW w:w="1173"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188.0</w:t>
            </w:r>
          </w:p>
        </w:tc>
        <w:tc>
          <w:tcPr>
            <w:tcW w:w="926"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23.2</w:t>
            </w:r>
          </w:p>
        </w:tc>
        <w:tc>
          <w:tcPr>
            <w:tcW w:w="1090"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29.7</w:t>
            </w:r>
          </w:p>
        </w:tc>
        <w:tc>
          <w:tcPr>
            <w:tcW w:w="1008"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3.7</w:t>
            </w:r>
          </w:p>
        </w:tc>
        <w:tc>
          <w:tcPr>
            <w:tcW w:w="1008"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12%</w:t>
            </w:r>
          </w:p>
        </w:tc>
        <w:tc>
          <w:tcPr>
            <w:tcW w:w="844" w:type="dxa"/>
            <w:tcBorders>
              <w:bottom w:val="single" w:sz="4" w:space="0" w:color="7F7F7F" w:themeColor="text1" w:themeTint="80"/>
            </w:tcBorders>
            <w:shd w:val="clear" w:color="auto" w:fill="auto"/>
            <w:noWrap/>
            <w:vAlign w:val="center"/>
            <w:hideMark/>
          </w:tcPr>
          <w:p w:rsidR="00B9660B" w:rsidRPr="00B9660B" w:rsidRDefault="00B9660B" w:rsidP="00336E76">
            <w:pPr>
              <w:jc w:val="right"/>
              <w:rPr>
                <w:color w:val="000000"/>
                <w:sz w:val="20"/>
                <w:szCs w:val="20"/>
              </w:rPr>
            </w:pPr>
            <w:r w:rsidRPr="00B9660B">
              <w:rPr>
                <w:color w:val="000000"/>
                <w:sz w:val="20"/>
                <w:szCs w:val="20"/>
              </w:rPr>
              <w:t>80</w:t>
            </w:r>
          </w:p>
        </w:tc>
      </w:tr>
    </w:tbl>
    <w:p w:rsidR="008A6A2B" w:rsidRDefault="00B9660B" w:rsidP="00B9660B">
      <w:pPr>
        <w:pStyle w:val="TableCaption"/>
      </w:pPr>
      <w:r w:rsidRPr="008227A8">
        <w:rPr>
          <w:color w:val="000000" w:themeColor="text1"/>
        </w:rPr>
        <w:lastRenderedPageBreak/>
        <w:fldChar w:fldCharType="begin"/>
      </w:r>
      <w:r w:rsidRPr="008227A8">
        <w:rPr>
          <w:color w:val="000000" w:themeColor="text1"/>
        </w:rPr>
        <w:instrText xml:space="preserve"> REF _Ref443062261 \h </w:instrText>
      </w:r>
      <w:r w:rsidR="00A7376E">
        <w:rPr>
          <w:color w:val="000000" w:themeColor="text1"/>
        </w:rPr>
        <w:instrText xml:space="preserve"> \* MERGEFORMAT </w:instrText>
      </w:r>
      <w:r w:rsidRPr="008227A8">
        <w:rPr>
          <w:color w:val="000000" w:themeColor="text1"/>
        </w:rPr>
      </w:r>
      <w:r w:rsidRPr="008227A8">
        <w:rPr>
          <w:color w:val="000000" w:themeColor="text1"/>
        </w:rPr>
        <w:fldChar w:fldCharType="separate"/>
      </w:r>
    </w:p>
    <w:p w:rsidR="00B9660B" w:rsidRPr="008227A8" w:rsidRDefault="00A7376E" w:rsidP="00B9660B">
      <w:pPr>
        <w:pStyle w:val="BodyText"/>
        <w:spacing w:after="0" w:line="276" w:lineRule="auto"/>
        <w:ind w:firstLine="360"/>
        <w:rPr>
          <w:color w:val="000000" w:themeColor="text1"/>
        </w:rPr>
      </w:pPr>
      <w:r w:rsidRPr="00A7376E">
        <w:t>In</w:t>
      </w:r>
      <w:r>
        <w:rPr>
          <w:sz w:val="22"/>
          <w:szCs w:val="22"/>
        </w:rPr>
        <w:t xml:space="preserve"> </w:t>
      </w:r>
      <w:r w:rsidR="008A6A2B" w:rsidRPr="00B9660B">
        <w:rPr>
          <w:sz w:val="22"/>
          <w:szCs w:val="22"/>
        </w:rPr>
        <w:t xml:space="preserve">Table </w:t>
      </w:r>
      <w:r w:rsidR="008A6A2B">
        <w:rPr>
          <w:sz w:val="22"/>
          <w:szCs w:val="22"/>
        </w:rPr>
        <w:t>2</w:t>
      </w:r>
      <w:r w:rsidR="00D84FC4">
        <w:rPr>
          <w:sz w:val="22"/>
          <w:szCs w:val="22"/>
        </w:rPr>
        <w:t>-4</w:t>
      </w:r>
      <w:r>
        <w:rPr>
          <w:sz w:val="22"/>
          <w:szCs w:val="22"/>
        </w:rPr>
        <w:t xml:space="preserve"> </w:t>
      </w:r>
      <w:r w:rsidR="00B9660B" w:rsidRPr="008227A8">
        <w:rPr>
          <w:color w:val="000000" w:themeColor="text1"/>
        </w:rPr>
        <w:fldChar w:fldCharType="end"/>
      </w:r>
      <w:r w:rsidR="00B9660B" w:rsidRPr="008227A8">
        <w:rPr>
          <w:color w:val="000000" w:themeColor="text1"/>
        </w:rPr>
        <w:t xml:space="preserve"> the average event-hour impacts for the CBP DO 2-6 hour participants</w:t>
      </w:r>
      <w:r w:rsidR="00AA3984">
        <w:rPr>
          <w:color w:val="000000" w:themeColor="text1"/>
        </w:rPr>
        <w:t xml:space="preserve"> are presented</w:t>
      </w:r>
      <w:r w:rsidR="00B9660B" w:rsidRPr="008227A8">
        <w:rPr>
          <w:color w:val="000000" w:themeColor="text1"/>
        </w:rPr>
        <w:t xml:space="preserve">. In this case, the highest per-customer impacts occurred during August, with a maximum per-customer impact of 40.5 kW on August 5, 2015 representing 60 service accounts and an average 14% reduction over the reference load. The largest aggregate impacts occurred on June 26, 2015 at 2.7 MW representing a total of 70 service accounts and a 15% reduction over the reference load. The lowest impacts occurred on May 1, 2015. On that day 70 service accounts provided a total of 1.1 MW of load reduction. </w:t>
      </w:r>
    </w:p>
    <w:p w:rsidR="00B9660B" w:rsidRDefault="00B9660B" w:rsidP="00B9660B">
      <w:pPr>
        <w:pStyle w:val="TableCaption"/>
      </w:pPr>
      <w:bookmarkStart w:id="50" w:name="_Ref443062261"/>
      <w:bookmarkStart w:id="51" w:name="_Toc445825296"/>
    </w:p>
    <w:p w:rsidR="00B9660B" w:rsidRPr="00B9660B" w:rsidRDefault="00B9660B" w:rsidP="00B9660B">
      <w:pPr>
        <w:pStyle w:val="TableCaption"/>
        <w:rPr>
          <w:sz w:val="22"/>
          <w:szCs w:val="22"/>
        </w:rPr>
      </w:pPr>
      <w:r w:rsidRPr="00B9660B">
        <w:rPr>
          <w:sz w:val="22"/>
          <w:szCs w:val="22"/>
        </w:rPr>
        <w:t xml:space="preserve">Table </w:t>
      </w:r>
      <w:r>
        <w:rPr>
          <w:sz w:val="22"/>
          <w:szCs w:val="22"/>
        </w:rPr>
        <w:t>2</w:t>
      </w:r>
      <w:r w:rsidRPr="00B9660B">
        <w:rPr>
          <w:sz w:val="22"/>
          <w:szCs w:val="22"/>
        </w:rPr>
        <w:noBreakHyphen/>
      </w:r>
      <w:bookmarkEnd w:id="50"/>
      <w:r w:rsidR="00D84FC4">
        <w:rPr>
          <w:sz w:val="22"/>
          <w:szCs w:val="22"/>
        </w:rPr>
        <w:t>4</w:t>
      </w:r>
      <w:r w:rsidR="004A3AE7">
        <w:rPr>
          <w:sz w:val="22"/>
          <w:szCs w:val="22"/>
        </w:rPr>
        <w:t xml:space="preserve">: </w:t>
      </w:r>
      <w:r w:rsidRPr="00B9660B">
        <w:rPr>
          <w:sz w:val="22"/>
          <w:szCs w:val="22"/>
        </w:rPr>
        <w:t>SDG&amp;E CBP Day-Of 2-6 Hour: Impacts by Event</w:t>
      </w:r>
      <w:bookmarkEnd w:id="51"/>
    </w:p>
    <w:tbl>
      <w:tblPr>
        <w:tblW w:w="9576" w:type="dxa"/>
        <w:tblLook w:val="04A0" w:firstRow="1" w:lastRow="0" w:firstColumn="1" w:lastColumn="0" w:noHBand="0" w:noVBand="1"/>
      </w:tblPr>
      <w:tblGrid>
        <w:gridCol w:w="1182"/>
        <w:gridCol w:w="974"/>
        <w:gridCol w:w="1192"/>
        <w:gridCol w:w="1157"/>
        <w:gridCol w:w="962"/>
        <w:gridCol w:w="1136"/>
        <w:gridCol w:w="1049"/>
        <w:gridCol w:w="1049"/>
        <w:gridCol w:w="875"/>
      </w:tblGrid>
      <w:tr w:rsidR="00B9660B" w:rsidRPr="00B9660B" w:rsidTr="00336E76">
        <w:trPr>
          <w:trHeight w:val="300"/>
        </w:trPr>
        <w:tc>
          <w:tcPr>
            <w:tcW w:w="1182" w:type="dxa"/>
            <w:shd w:val="clear" w:color="auto" w:fill="1A1D5D"/>
            <w:noWrap/>
            <w:vAlign w:val="center"/>
            <w:hideMark/>
          </w:tcPr>
          <w:p w:rsidR="00B9660B" w:rsidRPr="00B9660B" w:rsidRDefault="00B9660B" w:rsidP="00336E76">
            <w:pPr>
              <w:keepNext/>
              <w:jc w:val="center"/>
              <w:rPr>
                <w:b/>
                <w:color w:val="FFFFFF" w:themeColor="background1"/>
                <w:sz w:val="20"/>
                <w:szCs w:val="20"/>
              </w:rPr>
            </w:pPr>
          </w:p>
        </w:tc>
        <w:tc>
          <w:tcPr>
            <w:tcW w:w="974" w:type="dxa"/>
            <w:vMerge w:val="restart"/>
            <w:shd w:val="clear" w:color="auto" w:fill="1A1D5D"/>
            <w:noWrap/>
            <w:vAlign w:val="bottom"/>
            <w:hideMark/>
          </w:tcPr>
          <w:p w:rsidR="00B9660B" w:rsidRPr="00B9660B" w:rsidRDefault="00B9660B" w:rsidP="00336E76">
            <w:pPr>
              <w:keepNext/>
              <w:jc w:val="center"/>
              <w:rPr>
                <w:b/>
                <w:color w:val="FFFFFF" w:themeColor="background1"/>
                <w:sz w:val="20"/>
                <w:szCs w:val="20"/>
              </w:rPr>
            </w:pPr>
            <w:r w:rsidRPr="00B9660B">
              <w:rPr>
                <w:b/>
                <w:color w:val="FFFFFF" w:themeColor="background1"/>
                <w:sz w:val="20"/>
                <w:szCs w:val="20"/>
              </w:rPr>
              <w:t># of</w:t>
            </w:r>
          </w:p>
          <w:p w:rsidR="00B9660B" w:rsidRPr="00B9660B" w:rsidRDefault="00B9660B" w:rsidP="00336E76">
            <w:pPr>
              <w:keepNext/>
              <w:jc w:val="center"/>
              <w:rPr>
                <w:b/>
                <w:color w:val="FFFFFF" w:themeColor="background1"/>
                <w:sz w:val="20"/>
                <w:szCs w:val="20"/>
              </w:rPr>
            </w:pPr>
            <w:r w:rsidRPr="00B9660B">
              <w:rPr>
                <w:b/>
                <w:color w:val="FFFFFF" w:themeColor="background1"/>
                <w:sz w:val="20"/>
                <w:szCs w:val="20"/>
              </w:rPr>
              <w:t>Accts</w:t>
            </w:r>
          </w:p>
        </w:tc>
        <w:tc>
          <w:tcPr>
            <w:tcW w:w="1192" w:type="dxa"/>
            <w:vMerge w:val="restart"/>
            <w:shd w:val="clear" w:color="auto" w:fill="1A1D5D"/>
            <w:vAlign w:val="bottom"/>
          </w:tcPr>
          <w:p w:rsidR="00B9660B" w:rsidRPr="00B9660B" w:rsidRDefault="00B9660B" w:rsidP="00336E76">
            <w:pPr>
              <w:keepNext/>
              <w:jc w:val="center"/>
              <w:rPr>
                <w:b/>
                <w:color w:val="FFFFFF" w:themeColor="background1"/>
                <w:sz w:val="20"/>
                <w:szCs w:val="20"/>
              </w:rPr>
            </w:pPr>
            <w:r w:rsidRPr="00B9660B">
              <w:rPr>
                <w:b/>
                <w:color w:val="FFFFFF" w:themeColor="background1"/>
                <w:sz w:val="20"/>
                <w:szCs w:val="20"/>
              </w:rPr>
              <w:t>Nominated Capacity (MW)</w:t>
            </w:r>
          </w:p>
        </w:tc>
        <w:tc>
          <w:tcPr>
            <w:tcW w:w="2119" w:type="dxa"/>
            <w:gridSpan w:val="2"/>
            <w:shd w:val="clear" w:color="auto" w:fill="1A1D5D"/>
            <w:noWrap/>
            <w:vAlign w:val="center"/>
            <w:hideMark/>
          </w:tcPr>
          <w:p w:rsidR="00B9660B" w:rsidRPr="00B9660B" w:rsidRDefault="00B9660B" w:rsidP="00336E76">
            <w:pPr>
              <w:keepNext/>
              <w:jc w:val="center"/>
              <w:rPr>
                <w:b/>
                <w:color w:val="FFFFFF" w:themeColor="background1"/>
                <w:sz w:val="20"/>
                <w:szCs w:val="20"/>
              </w:rPr>
            </w:pPr>
            <w:r w:rsidRPr="00B9660B">
              <w:rPr>
                <w:b/>
                <w:color w:val="FFFFFF" w:themeColor="background1"/>
                <w:sz w:val="20"/>
                <w:szCs w:val="20"/>
              </w:rPr>
              <w:t>Per Customer Impact (kW)</w:t>
            </w:r>
          </w:p>
        </w:tc>
        <w:tc>
          <w:tcPr>
            <w:tcW w:w="2185" w:type="dxa"/>
            <w:gridSpan w:val="2"/>
            <w:shd w:val="clear" w:color="auto" w:fill="1A1D5D"/>
            <w:noWrap/>
            <w:vAlign w:val="center"/>
            <w:hideMark/>
          </w:tcPr>
          <w:p w:rsidR="00B9660B" w:rsidRPr="00B9660B" w:rsidRDefault="00B9660B" w:rsidP="00336E76">
            <w:pPr>
              <w:keepNext/>
              <w:jc w:val="center"/>
              <w:rPr>
                <w:b/>
                <w:color w:val="FFFFFF" w:themeColor="background1"/>
                <w:sz w:val="20"/>
                <w:szCs w:val="20"/>
              </w:rPr>
            </w:pPr>
            <w:r w:rsidRPr="00B9660B">
              <w:rPr>
                <w:b/>
                <w:color w:val="FFFFFF" w:themeColor="background1"/>
                <w:sz w:val="20"/>
                <w:szCs w:val="20"/>
              </w:rPr>
              <w:t xml:space="preserve">Aggregate Impact </w:t>
            </w:r>
          </w:p>
          <w:p w:rsidR="00B9660B" w:rsidRPr="00B9660B" w:rsidRDefault="00B9660B" w:rsidP="00336E76">
            <w:pPr>
              <w:keepNext/>
              <w:jc w:val="center"/>
              <w:rPr>
                <w:b/>
                <w:color w:val="FFFFFF" w:themeColor="background1"/>
                <w:sz w:val="20"/>
                <w:szCs w:val="20"/>
              </w:rPr>
            </w:pPr>
            <w:r w:rsidRPr="00B9660B">
              <w:rPr>
                <w:b/>
                <w:color w:val="FFFFFF" w:themeColor="background1"/>
                <w:sz w:val="20"/>
                <w:szCs w:val="20"/>
              </w:rPr>
              <w:t>(MW)</w:t>
            </w:r>
          </w:p>
        </w:tc>
        <w:tc>
          <w:tcPr>
            <w:tcW w:w="1049" w:type="dxa"/>
            <w:shd w:val="clear" w:color="auto" w:fill="1A1D5D"/>
            <w:noWrap/>
            <w:vAlign w:val="center"/>
            <w:hideMark/>
          </w:tcPr>
          <w:p w:rsidR="00B9660B" w:rsidRPr="00B9660B" w:rsidRDefault="00B9660B" w:rsidP="00336E76">
            <w:pPr>
              <w:keepNext/>
              <w:jc w:val="center"/>
              <w:rPr>
                <w:b/>
                <w:color w:val="FFFFFF" w:themeColor="background1"/>
                <w:sz w:val="20"/>
                <w:szCs w:val="20"/>
              </w:rPr>
            </w:pPr>
          </w:p>
        </w:tc>
        <w:tc>
          <w:tcPr>
            <w:tcW w:w="875" w:type="dxa"/>
            <w:shd w:val="clear" w:color="auto" w:fill="1A1D5D"/>
            <w:noWrap/>
            <w:vAlign w:val="center"/>
            <w:hideMark/>
          </w:tcPr>
          <w:p w:rsidR="00B9660B" w:rsidRPr="00B9660B" w:rsidRDefault="00B9660B" w:rsidP="00336E76">
            <w:pPr>
              <w:keepNext/>
              <w:jc w:val="center"/>
              <w:rPr>
                <w:b/>
                <w:color w:val="FFFFFF" w:themeColor="background1"/>
                <w:sz w:val="20"/>
                <w:szCs w:val="20"/>
              </w:rPr>
            </w:pPr>
          </w:p>
        </w:tc>
      </w:tr>
      <w:tr w:rsidR="00B9660B" w:rsidRPr="00B9660B" w:rsidTr="00336E76">
        <w:trPr>
          <w:trHeight w:val="300"/>
        </w:trPr>
        <w:tc>
          <w:tcPr>
            <w:tcW w:w="1182" w:type="dxa"/>
            <w:shd w:val="clear" w:color="auto" w:fill="1A1D5D"/>
            <w:noWrap/>
            <w:vAlign w:val="bottom"/>
            <w:hideMark/>
          </w:tcPr>
          <w:p w:rsidR="00B9660B" w:rsidRPr="00B9660B" w:rsidRDefault="00B9660B" w:rsidP="00336E76">
            <w:pPr>
              <w:keepNext/>
              <w:rPr>
                <w:b/>
                <w:color w:val="FFFFFF" w:themeColor="background1"/>
                <w:sz w:val="20"/>
                <w:szCs w:val="20"/>
              </w:rPr>
            </w:pPr>
            <w:r w:rsidRPr="00B9660B">
              <w:rPr>
                <w:b/>
                <w:color w:val="FFFFFF" w:themeColor="background1"/>
                <w:sz w:val="20"/>
                <w:szCs w:val="20"/>
              </w:rPr>
              <w:t>Event</w:t>
            </w:r>
          </w:p>
        </w:tc>
        <w:tc>
          <w:tcPr>
            <w:tcW w:w="974" w:type="dxa"/>
            <w:vMerge/>
            <w:shd w:val="clear" w:color="auto" w:fill="1A1D5D"/>
            <w:noWrap/>
            <w:vAlign w:val="bottom"/>
            <w:hideMark/>
          </w:tcPr>
          <w:p w:rsidR="00B9660B" w:rsidRPr="00B9660B" w:rsidRDefault="00B9660B" w:rsidP="00336E76">
            <w:pPr>
              <w:keepNext/>
              <w:jc w:val="center"/>
              <w:rPr>
                <w:b/>
                <w:color w:val="FFFFFF" w:themeColor="background1"/>
                <w:sz w:val="20"/>
                <w:szCs w:val="20"/>
              </w:rPr>
            </w:pPr>
          </w:p>
        </w:tc>
        <w:tc>
          <w:tcPr>
            <w:tcW w:w="1192" w:type="dxa"/>
            <w:vMerge/>
            <w:shd w:val="clear" w:color="auto" w:fill="1A1D5D"/>
            <w:vAlign w:val="bottom"/>
          </w:tcPr>
          <w:p w:rsidR="00B9660B" w:rsidRPr="00B9660B" w:rsidRDefault="00B9660B" w:rsidP="00336E76">
            <w:pPr>
              <w:keepNext/>
              <w:jc w:val="center"/>
              <w:rPr>
                <w:b/>
                <w:color w:val="FFFFFF" w:themeColor="background1"/>
                <w:sz w:val="20"/>
                <w:szCs w:val="20"/>
              </w:rPr>
            </w:pPr>
          </w:p>
        </w:tc>
        <w:tc>
          <w:tcPr>
            <w:tcW w:w="1157" w:type="dxa"/>
            <w:shd w:val="clear" w:color="auto" w:fill="1A1D5D"/>
            <w:noWrap/>
            <w:vAlign w:val="bottom"/>
            <w:hideMark/>
          </w:tcPr>
          <w:p w:rsidR="00B9660B" w:rsidRPr="00B9660B" w:rsidRDefault="00B9660B" w:rsidP="00336E76">
            <w:pPr>
              <w:keepNext/>
              <w:jc w:val="center"/>
              <w:rPr>
                <w:b/>
                <w:color w:val="FFFFFF" w:themeColor="background1"/>
                <w:sz w:val="20"/>
                <w:szCs w:val="20"/>
              </w:rPr>
            </w:pPr>
            <w:r w:rsidRPr="00B9660B">
              <w:rPr>
                <w:b/>
                <w:color w:val="FFFFFF" w:themeColor="background1"/>
                <w:sz w:val="20"/>
                <w:szCs w:val="20"/>
              </w:rPr>
              <w:t>Reference Load</w:t>
            </w:r>
          </w:p>
        </w:tc>
        <w:tc>
          <w:tcPr>
            <w:tcW w:w="962" w:type="dxa"/>
            <w:shd w:val="clear" w:color="auto" w:fill="1A1D5D"/>
            <w:noWrap/>
            <w:vAlign w:val="bottom"/>
            <w:hideMark/>
          </w:tcPr>
          <w:p w:rsidR="00B9660B" w:rsidRPr="00B9660B" w:rsidRDefault="00B9660B" w:rsidP="00336E76">
            <w:pPr>
              <w:keepNext/>
              <w:jc w:val="center"/>
              <w:rPr>
                <w:b/>
                <w:color w:val="FFFFFF" w:themeColor="background1"/>
                <w:sz w:val="20"/>
                <w:szCs w:val="20"/>
              </w:rPr>
            </w:pPr>
            <w:r w:rsidRPr="00B9660B">
              <w:rPr>
                <w:b/>
                <w:color w:val="FFFFFF" w:themeColor="background1"/>
                <w:sz w:val="20"/>
                <w:szCs w:val="20"/>
              </w:rPr>
              <w:t>Impact</w:t>
            </w:r>
          </w:p>
        </w:tc>
        <w:tc>
          <w:tcPr>
            <w:tcW w:w="1136" w:type="dxa"/>
            <w:shd w:val="clear" w:color="auto" w:fill="1A1D5D"/>
            <w:noWrap/>
            <w:vAlign w:val="bottom"/>
            <w:hideMark/>
          </w:tcPr>
          <w:p w:rsidR="00B9660B" w:rsidRPr="00B9660B" w:rsidRDefault="00B9660B" w:rsidP="00336E76">
            <w:pPr>
              <w:keepNext/>
              <w:jc w:val="center"/>
              <w:rPr>
                <w:b/>
                <w:color w:val="FFFFFF" w:themeColor="background1"/>
                <w:sz w:val="20"/>
                <w:szCs w:val="20"/>
              </w:rPr>
            </w:pPr>
            <w:r w:rsidRPr="00B9660B">
              <w:rPr>
                <w:b/>
                <w:color w:val="FFFFFF" w:themeColor="background1"/>
                <w:sz w:val="20"/>
                <w:szCs w:val="20"/>
              </w:rPr>
              <w:t>Reference Load</w:t>
            </w:r>
          </w:p>
        </w:tc>
        <w:tc>
          <w:tcPr>
            <w:tcW w:w="1049" w:type="dxa"/>
            <w:shd w:val="clear" w:color="auto" w:fill="1A1D5D"/>
            <w:noWrap/>
            <w:vAlign w:val="bottom"/>
            <w:hideMark/>
          </w:tcPr>
          <w:p w:rsidR="00B9660B" w:rsidRPr="00B9660B" w:rsidRDefault="00B9660B" w:rsidP="00336E76">
            <w:pPr>
              <w:keepNext/>
              <w:jc w:val="center"/>
              <w:rPr>
                <w:b/>
                <w:color w:val="FFFFFF" w:themeColor="background1"/>
                <w:sz w:val="20"/>
                <w:szCs w:val="20"/>
              </w:rPr>
            </w:pPr>
            <w:r w:rsidRPr="00B9660B">
              <w:rPr>
                <w:b/>
                <w:color w:val="FFFFFF" w:themeColor="background1"/>
                <w:sz w:val="20"/>
                <w:szCs w:val="20"/>
              </w:rPr>
              <w:t>Impact</w:t>
            </w:r>
          </w:p>
        </w:tc>
        <w:tc>
          <w:tcPr>
            <w:tcW w:w="1049" w:type="dxa"/>
            <w:shd w:val="clear" w:color="auto" w:fill="1A1D5D"/>
            <w:noWrap/>
            <w:vAlign w:val="bottom"/>
            <w:hideMark/>
          </w:tcPr>
          <w:p w:rsidR="00B9660B" w:rsidRPr="00B9660B" w:rsidRDefault="00B9660B" w:rsidP="00336E76">
            <w:pPr>
              <w:keepNext/>
              <w:jc w:val="right"/>
              <w:rPr>
                <w:b/>
                <w:color w:val="FFFFFF" w:themeColor="background1"/>
                <w:sz w:val="20"/>
                <w:szCs w:val="20"/>
              </w:rPr>
            </w:pPr>
            <w:r w:rsidRPr="00B9660B">
              <w:rPr>
                <w:b/>
                <w:color w:val="FFFFFF" w:themeColor="background1"/>
                <w:sz w:val="20"/>
                <w:szCs w:val="20"/>
              </w:rPr>
              <w:t>% Impact</w:t>
            </w:r>
          </w:p>
        </w:tc>
        <w:tc>
          <w:tcPr>
            <w:tcW w:w="875" w:type="dxa"/>
            <w:shd w:val="clear" w:color="auto" w:fill="1A1D5D"/>
            <w:noWrap/>
            <w:vAlign w:val="bottom"/>
            <w:hideMark/>
          </w:tcPr>
          <w:p w:rsidR="00B9660B" w:rsidRPr="00B9660B" w:rsidRDefault="00B9660B" w:rsidP="00336E76">
            <w:pPr>
              <w:keepNext/>
              <w:ind w:left="-11"/>
              <w:jc w:val="right"/>
              <w:rPr>
                <w:b/>
                <w:color w:val="FFFFFF" w:themeColor="background1"/>
                <w:sz w:val="20"/>
                <w:szCs w:val="20"/>
              </w:rPr>
            </w:pPr>
            <w:r w:rsidRPr="00B9660B">
              <w:rPr>
                <w:b/>
                <w:color w:val="FFFFFF" w:themeColor="background1"/>
                <w:sz w:val="20"/>
                <w:szCs w:val="20"/>
              </w:rPr>
              <w:t>Temp (˚F)</w:t>
            </w:r>
          </w:p>
        </w:tc>
      </w:tr>
      <w:tr w:rsidR="00B9660B" w:rsidRPr="00B9660B" w:rsidTr="00336E76">
        <w:trPr>
          <w:trHeight w:val="300"/>
        </w:trPr>
        <w:tc>
          <w:tcPr>
            <w:tcW w:w="1182" w:type="dxa"/>
            <w:shd w:val="clear" w:color="auto" w:fill="auto"/>
            <w:noWrap/>
            <w:vAlign w:val="bottom"/>
          </w:tcPr>
          <w:p w:rsidR="00B9660B" w:rsidRPr="00B9660B" w:rsidRDefault="00B9660B" w:rsidP="00336E76">
            <w:pPr>
              <w:keepNext/>
              <w:rPr>
                <w:color w:val="000000" w:themeColor="text1"/>
                <w:sz w:val="20"/>
                <w:szCs w:val="20"/>
              </w:rPr>
            </w:pPr>
            <w:r w:rsidRPr="00B9660B">
              <w:rPr>
                <w:color w:val="000000" w:themeColor="text1"/>
                <w:sz w:val="20"/>
                <w:szCs w:val="20"/>
              </w:rPr>
              <w:t>Avg. Event</w:t>
            </w:r>
          </w:p>
        </w:tc>
        <w:tc>
          <w:tcPr>
            <w:tcW w:w="974" w:type="dxa"/>
            <w:shd w:val="clear" w:color="auto" w:fill="auto"/>
            <w:noWrap/>
            <w:vAlign w:val="bottom"/>
          </w:tcPr>
          <w:p w:rsidR="00B9660B" w:rsidRPr="00B9660B" w:rsidRDefault="00B9660B" w:rsidP="00336E76">
            <w:pPr>
              <w:keepNext/>
              <w:jc w:val="center"/>
              <w:rPr>
                <w:color w:val="000000" w:themeColor="text1"/>
                <w:sz w:val="20"/>
                <w:szCs w:val="20"/>
              </w:rPr>
            </w:pPr>
            <w:r w:rsidRPr="00B9660B">
              <w:rPr>
                <w:color w:val="000000" w:themeColor="text1"/>
                <w:sz w:val="20"/>
                <w:szCs w:val="20"/>
              </w:rPr>
              <w:t>63</w:t>
            </w:r>
          </w:p>
        </w:tc>
        <w:tc>
          <w:tcPr>
            <w:tcW w:w="1192" w:type="dxa"/>
            <w:shd w:val="clear" w:color="auto" w:fill="auto"/>
            <w:vAlign w:val="bottom"/>
          </w:tcPr>
          <w:p w:rsidR="00B9660B" w:rsidRPr="00B9660B" w:rsidRDefault="00B9660B" w:rsidP="00336E76">
            <w:pPr>
              <w:keepNext/>
              <w:jc w:val="center"/>
              <w:rPr>
                <w:color w:val="000000" w:themeColor="text1"/>
                <w:sz w:val="20"/>
                <w:szCs w:val="20"/>
              </w:rPr>
            </w:pPr>
            <w:r w:rsidRPr="00B9660B">
              <w:rPr>
                <w:color w:val="000000" w:themeColor="text1"/>
                <w:sz w:val="20"/>
                <w:szCs w:val="20"/>
              </w:rPr>
              <w:t>1.7</w:t>
            </w:r>
          </w:p>
        </w:tc>
        <w:tc>
          <w:tcPr>
            <w:tcW w:w="1157" w:type="dxa"/>
            <w:shd w:val="clear" w:color="auto" w:fill="auto"/>
            <w:noWrap/>
            <w:vAlign w:val="center"/>
          </w:tcPr>
          <w:p w:rsidR="00B9660B" w:rsidRPr="00B9660B" w:rsidRDefault="00B9660B" w:rsidP="00336E76">
            <w:pPr>
              <w:keepNext/>
              <w:jc w:val="center"/>
              <w:rPr>
                <w:color w:val="000000" w:themeColor="text1"/>
                <w:sz w:val="20"/>
                <w:szCs w:val="20"/>
              </w:rPr>
            </w:pPr>
            <w:r w:rsidRPr="00B9660B">
              <w:rPr>
                <w:color w:val="000000"/>
                <w:sz w:val="20"/>
                <w:szCs w:val="20"/>
              </w:rPr>
              <w:t>273.3</w:t>
            </w:r>
          </w:p>
        </w:tc>
        <w:tc>
          <w:tcPr>
            <w:tcW w:w="962" w:type="dxa"/>
            <w:shd w:val="clear" w:color="auto" w:fill="auto"/>
            <w:noWrap/>
            <w:vAlign w:val="center"/>
          </w:tcPr>
          <w:p w:rsidR="00B9660B" w:rsidRPr="00B9660B" w:rsidRDefault="00B9660B" w:rsidP="00336E76">
            <w:pPr>
              <w:keepNext/>
              <w:jc w:val="center"/>
              <w:rPr>
                <w:color w:val="000000" w:themeColor="text1"/>
                <w:sz w:val="20"/>
                <w:szCs w:val="20"/>
              </w:rPr>
            </w:pPr>
            <w:r w:rsidRPr="00B9660B">
              <w:rPr>
                <w:color w:val="000000"/>
                <w:sz w:val="20"/>
                <w:szCs w:val="20"/>
              </w:rPr>
              <w:t>34.8</w:t>
            </w:r>
          </w:p>
        </w:tc>
        <w:tc>
          <w:tcPr>
            <w:tcW w:w="1136" w:type="dxa"/>
            <w:shd w:val="clear" w:color="auto" w:fill="auto"/>
            <w:noWrap/>
            <w:vAlign w:val="center"/>
          </w:tcPr>
          <w:p w:rsidR="00B9660B" w:rsidRPr="00B9660B" w:rsidRDefault="00B9660B" w:rsidP="00336E76">
            <w:pPr>
              <w:keepNext/>
              <w:jc w:val="center"/>
              <w:rPr>
                <w:color w:val="000000" w:themeColor="text1"/>
                <w:sz w:val="20"/>
                <w:szCs w:val="20"/>
              </w:rPr>
            </w:pPr>
            <w:r w:rsidRPr="00B9660B">
              <w:rPr>
                <w:color w:val="000000"/>
                <w:sz w:val="20"/>
                <w:szCs w:val="20"/>
              </w:rPr>
              <w:t>17.2</w:t>
            </w:r>
          </w:p>
        </w:tc>
        <w:tc>
          <w:tcPr>
            <w:tcW w:w="1049" w:type="dxa"/>
            <w:shd w:val="clear" w:color="auto" w:fill="auto"/>
            <w:noWrap/>
            <w:vAlign w:val="center"/>
          </w:tcPr>
          <w:p w:rsidR="00B9660B" w:rsidRPr="00B9660B" w:rsidRDefault="00B9660B" w:rsidP="00336E76">
            <w:pPr>
              <w:keepNext/>
              <w:jc w:val="center"/>
              <w:rPr>
                <w:color w:val="000000" w:themeColor="text1"/>
                <w:sz w:val="20"/>
                <w:szCs w:val="20"/>
              </w:rPr>
            </w:pPr>
            <w:r w:rsidRPr="00B9660B">
              <w:rPr>
                <w:color w:val="000000"/>
                <w:sz w:val="20"/>
                <w:szCs w:val="20"/>
              </w:rPr>
              <w:t>2.2</w:t>
            </w:r>
          </w:p>
        </w:tc>
        <w:tc>
          <w:tcPr>
            <w:tcW w:w="1049" w:type="dxa"/>
            <w:shd w:val="clear" w:color="auto" w:fill="auto"/>
            <w:noWrap/>
            <w:vAlign w:val="center"/>
          </w:tcPr>
          <w:p w:rsidR="00B9660B" w:rsidRPr="00B9660B" w:rsidRDefault="00B9660B" w:rsidP="00336E76">
            <w:pPr>
              <w:keepNext/>
              <w:jc w:val="right"/>
              <w:rPr>
                <w:color w:val="000000" w:themeColor="text1"/>
                <w:sz w:val="20"/>
                <w:szCs w:val="20"/>
              </w:rPr>
            </w:pPr>
            <w:r w:rsidRPr="00B9660B">
              <w:rPr>
                <w:color w:val="000000"/>
                <w:sz w:val="20"/>
                <w:szCs w:val="20"/>
              </w:rPr>
              <w:t>13%</w:t>
            </w:r>
          </w:p>
        </w:tc>
        <w:tc>
          <w:tcPr>
            <w:tcW w:w="875" w:type="dxa"/>
            <w:shd w:val="clear" w:color="auto" w:fill="auto"/>
            <w:noWrap/>
            <w:vAlign w:val="center"/>
          </w:tcPr>
          <w:p w:rsidR="00B9660B" w:rsidRPr="00B9660B" w:rsidRDefault="00B9660B" w:rsidP="00336E76">
            <w:pPr>
              <w:keepNext/>
              <w:jc w:val="right"/>
              <w:rPr>
                <w:color w:val="000000" w:themeColor="text1"/>
                <w:sz w:val="20"/>
                <w:szCs w:val="20"/>
              </w:rPr>
            </w:pPr>
            <w:r w:rsidRPr="00B9660B">
              <w:rPr>
                <w:color w:val="000000"/>
                <w:sz w:val="20"/>
                <w:szCs w:val="20"/>
              </w:rPr>
              <w:t>82</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5/1/2015</w:t>
            </w:r>
          </w:p>
        </w:tc>
        <w:tc>
          <w:tcPr>
            <w:tcW w:w="974" w:type="dxa"/>
            <w:tcBorders>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70</w:t>
            </w:r>
          </w:p>
        </w:tc>
        <w:tc>
          <w:tcPr>
            <w:tcW w:w="1192" w:type="dxa"/>
            <w:tcBorders>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2.2</w:t>
            </w:r>
          </w:p>
        </w:tc>
        <w:tc>
          <w:tcPr>
            <w:tcW w:w="1157" w:type="dxa"/>
            <w:tcBorders>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188.5</w:t>
            </w:r>
          </w:p>
        </w:tc>
        <w:tc>
          <w:tcPr>
            <w:tcW w:w="962" w:type="dxa"/>
            <w:tcBorders>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15.9</w:t>
            </w:r>
          </w:p>
        </w:tc>
        <w:tc>
          <w:tcPr>
            <w:tcW w:w="1136" w:type="dxa"/>
            <w:tcBorders>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13.2</w:t>
            </w:r>
          </w:p>
        </w:tc>
        <w:tc>
          <w:tcPr>
            <w:tcW w:w="1049" w:type="dxa"/>
            <w:tcBorders>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1.1</w:t>
            </w:r>
          </w:p>
        </w:tc>
        <w:tc>
          <w:tcPr>
            <w:tcW w:w="1049" w:type="dxa"/>
            <w:tcBorders>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8%</w:t>
            </w:r>
          </w:p>
        </w:tc>
        <w:tc>
          <w:tcPr>
            <w:tcW w:w="875" w:type="dxa"/>
            <w:tcBorders>
              <w:left w:val="nil"/>
              <w:bottom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76</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6/9/2015</w:t>
            </w:r>
          </w:p>
        </w:tc>
        <w:tc>
          <w:tcPr>
            <w:tcW w:w="974"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70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2.0</w:t>
            </w:r>
          </w:p>
        </w:tc>
        <w:tc>
          <w:tcPr>
            <w:tcW w:w="1157"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236.6</w:t>
            </w:r>
          </w:p>
        </w:tc>
        <w:tc>
          <w:tcPr>
            <w:tcW w:w="962"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33.6</w:t>
            </w:r>
          </w:p>
        </w:tc>
        <w:tc>
          <w:tcPr>
            <w:tcW w:w="113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16.6</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2.3</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14%</w:t>
            </w:r>
          </w:p>
        </w:tc>
        <w:tc>
          <w:tcPr>
            <w:tcW w:w="875" w:type="dxa"/>
            <w:tcBorders>
              <w:top w:val="nil"/>
              <w:left w:val="nil"/>
              <w:bottom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71</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6/24/2015</w:t>
            </w:r>
          </w:p>
        </w:tc>
        <w:tc>
          <w:tcPr>
            <w:tcW w:w="974"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70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2.0</w:t>
            </w:r>
          </w:p>
        </w:tc>
        <w:tc>
          <w:tcPr>
            <w:tcW w:w="1157"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249.9</w:t>
            </w:r>
          </w:p>
        </w:tc>
        <w:tc>
          <w:tcPr>
            <w:tcW w:w="962"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37.7</w:t>
            </w:r>
          </w:p>
        </w:tc>
        <w:tc>
          <w:tcPr>
            <w:tcW w:w="113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17.5</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2.6</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15%</w:t>
            </w:r>
          </w:p>
        </w:tc>
        <w:tc>
          <w:tcPr>
            <w:tcW w:w="875" w:type="dxa"/>
            <w:tcBorders>
              <w:top w:val="nil"/>
              <w:left w:val="nil"/>
              <w:bottom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76</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6/25/2015</w:t>
            </w:r>
          </w:p>
        </w:tc>
        <w:tc>
          <w:tcPr>
            <w:tcW w:w="974"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70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2.0</w:t>
            </w:r>
          </w:p>
        </w:tc>
        <w:tc>
          <w:tcPr>
            <w:tcW w:w="1157"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247.9</w:t>
            </w:r>
          </w:p>
        </w:tc>
        <w:tc>
          <w:tcPr>
            <w:tcW w:w="962"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37.8</w:t>
            </w:r>
          </w:p>
        </w:tc>
        <w:tc>
          <w:tcPr>
            <w:tcW w:w="113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17.4</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2.6</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15%</w:t>
            </w:r>
          </w:p>
        </w:tc>
        <w:tc>
          <w:tcPr>
            <w:tcW w:w="875" w:type="dxa"/>
            <w:tcBorders>
              <w:top w:val="nil"/>
              <w:left w:val="nil"/>
              <w:bottom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74</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6/26/2015</w:t>
            </w:r>
          </w:p>
        </w:tc>
        <w:tc>
          <w:tcPr>
            <w:tcW w:w="974"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70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2.0</w:t>
            </w:r>
          </w:p>
        </w:tc>
        <w:tc>
          <w:tcPr>
            <w:tcW w:w="1157"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252.7</w:t>
            </w:r>
          </w:p>
        </w:tc>
        <w:tc>
          <w:tcPr>
            <w:tcW w:w="962"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38.1</w:t>
            </w:r>
          </w:p>
        </w:tc>
        <w:tc>
          <w:tcPr>
            <w:tcW w:w="113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17.7</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2.7</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15%</w:t>
            </w:r>
          </w:p>
        </w:tc>
        <w:tc>
          <w:tcPr>
            <w:tcW w:w="875" w:type="dxa"/>
            <w:tcBorders>
              <w:top w:val="nil"/>
              <w:left w:val="nil"/>
              <w:bottom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74</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6/29/2015</w:t>
            </w:r>
          </w:p>
        </w:tc>
        <w:tc>
          <w:tcPr>
            <w:tcW w:w="974"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70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2.0</w:t>
            </w:r>
          </w:p>
        </w:tc>
        <w:tc>
          <w:tcPr>
            <w:tcW w:w="1157"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249.4</w:t>
            </w:r>
          </w:p>
        </w:tc>
        <w:tc>
          <w:tcPr>
            <w:tcW w:w="962"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37.0</w:t>
            </w:r>
          </w:p>
        </w:tc>
        <w:tc>
          <w:tcPr>
            <w:tcW w:w="113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17.5</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2.6</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15%</w:t>
            </w:r>
          </w:p>
        </w:tc>
        <w:tc>
          <w:tcPr>
            <w:tcW w:w="875" w:type="dxa"/>
            <w:tcBorders>
              <w:top w:val="nil"/>
              <w:left w:val="nil"/>
              <w:bottom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74</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6/30/2015</w:t>
            </w:r>
          </w:p>
        </w:tc>
        <w:tc>
          <w:tcPr>
            <w:tcW w:w="974"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70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2.0</w:t>
            </w:r>
          </w:p>
        </w:tc>
        <w:tc>
          <w:tcPr>
            <w:tcW w:w="1157"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260.3</w:t>
            </w:r>
          </w:p>
        </w:tc>
        <w:tc>
          <w:tcPr>
            <w:tcW w:w="962"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35.3</w:t>
            </w:r>
          </w:p>
        </w:tc>
        <w:tc>
          <w:tcPr>
            <w:tcW w:w="113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18.2</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2.5</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14%</w:t>
            </w:r>
          </w:p>
        </w:tc>
        <w:tc>
          <w:tcPr>
            <w:tcW w:w="875" w:type="dxa"/>
            <w:tcBorders>
              <w:top w:val="nil"/>
              <w:left w:val="nil"/>
              <w:bottom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81</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7/1/2015</w:t>
            </w:r>
          </w:p>
        </w:tc>
        <w:tc>
          <w:tcPr>
            <w:tcW w:w="974"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70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2.0</w:t>
            </w:r>
          </w:p>
        </w:tc>
        <w:tc>
          <w:tcPr>
            <w:tcW w:w="1157"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240.6</w:t>
            </w:r>
          </w:p>
        </w:tc>
        <w:tc>
          <w:tcPr>
            <w:tcW w:w="962"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25.9</w:t>
            </w:r>
          </w:p>
        </w:tc>
        <w:tc>
          <w:tcPr>
            <w:tcW w:w="113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16.8</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1.8</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11%</w:t>
            </w:r>
          </w:p>
        </w:tc>
        <w:tc>
          <w:tcPr>
            <w:tcW w:w="875" w:type="dxa"/>
            <w:tcBorders>
              <w:top w:val="nil"/>
              <w:left w:val="nil"/>
              <w:bottom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76</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7/29/2015</w:t>
            </w:r>
          </w:p>
        </w:tc>
        <w:tc>
          <w:tcPr>
            <w:tcW w:w="974"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70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2.0</w:t>
            </w:r>
          </w:p>
        </w:tc>
        <w:tc>
          <w:tcPr>
            <w:tcW w:w="1157"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246.4</w:t>
            </w:r>
          </w:p>
        </w:tc>
        <w:tc>
          <w:tcPr>
            <w:tcW w:w="962"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35.1</w:t>
            </w:r>
          </w:p>
        </w:tc>
        <w:tc>
          <w:tcPr>
            <w:tcW w:w="113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17.2</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2.5</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14%</w:t>
            </w:r>
          </w:p>
        </w:tc>
        <w:tc>
          <w:tcPr>
            <w:tcW w:w="875" w:type="dxa"/>
            <w:tcBorders>
              <w:top w:val="nil"/>
              <w:left w:val="nil"/>
              <w:bottom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76</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8/5/2015</w:t>
            </w:r>
          </w:p>
        </w:tc>
        <w:tc>
          <w:tcPr>
            <w:tcW w:w="974"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60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1.7</w:t>
            </w:r>
          </w:p>
        </w:tc>
        <w:tc>
          <w:tcPr>
            <w:tcW w:w="1157"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297.9</w:t>
            </w:r>
          </w:p>
        </w:tc>
        <w:tc>
          <w:tcPr>
            <w:tcW w:w="962"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40.5</w:t>
            </w:r>
          </w:p>
        </w:tc>
        <w:tc>
          <w:tcPr>
            <w:tcW w:w="113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17.9</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2.4</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14%</w:t>
            </w:r>
          </w:p>
        </w:tc>
        <w:tc>
          <w:tcPr>
            <w:tcW w:w="875" w:type="dxa"/>
            <w:tcBorders>
              <w:top w:val="nil"/>
              <w:left w:val="nil"/>
              <w:bottom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80</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8/13/2015</w:t>
            </w:r>
          </w:p>
        </w:tc>
        <w:tc>
          <w:tcPr>
            <w:tcW w:w="974"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60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1.7</w:t>
            </w:r>
          </w:p>
        </w:tc>
        <w:tc>
          <w:tcPr>
            <w:tcW w:w="1157"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278.1</w:t>
            </w:r>
          </w:p>
        </w:tc>
        <w:tc>
          <w:tcPr>
            <w:tcW w:w="962"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38.2</w:t>
            </w:r>
          </w:p>
        </w:tc>
        <w:tc>
          <w:tcPr>
            <w:tcW w:w="113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16.7</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2.3</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14%</w:t>
            </w:r>
          </w:p>
        </w:tc>
        <w:tc>
          <w:tcPr>
            <w:tcW w:w="875" w:type="dxa"/>
            <w:tcBorders>
              <w:top w:val="nil"/>
              <w:left w:val="nil"/>
              <w:bottom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82</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8/25/2015</w:t>
            </w:r>
          </w:p>
        </w:tc>
        <w:tc>
          <w:tcPr>
            <w:tcW w:w="974"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60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1.7</w:t>
            </w:r>
          </w:p>
        </w:tc>
        <w:tc>
          <w:tcPr>
            <w:tcW w:w="1157"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276.0</w:t>
            </w:r>
          </w:p>
        </w:tc>
        <w:tc>
          <w:tcPr>
            <w:tcW w:w="962"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40.3</w:t>
            </w:r>
          </w:p>
        </w:tc>
        <w:tc>
          <w:tcPr>
            <w:tcW w:w="113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16.6</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2.4</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15%</w:t>
            </w:r>
          </w:p>
        </w:tc>
        <w:tc>
          <w:tcPr>
            <w:tcW w:w="875" w:type="dxa"/>
            <w:tcBorders>
              <w:top w:val="nil"/>
              <w:left w:val="nil"/>
              <w:bottom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78</w:t>
            </w:r>
          </w:p>
        </w:tc>
      </w:tr>
      <w:tr w:rsidR="00B9660B" w:rsidRPr="00B9660B" w:rsidTr="00336E76">
        <w:trPr>
          <w:trHeight w:val="300"/>
        </w:trPr>
        <w:tc>
          <w:tcPr>
            <w:tcW w:w="1182" w:type="dxa"/>
            <w:shd w:val="clear" w:color="auto" w:fill="auto"/>
            <w:noWrap/>
            <w:vAlign w:val="center"/>
          </w:tcPr>
          <w:p w:rsidR="00B9660B" w:rsidRPr="00B9660B" w:rsidRDefault="00B9660B" w:rsidP="00336E76">
            <w:pPr>
              <w:rPr>
                <w:color w:val="000000"/>
                <w:sz w:val="20"/>
                <w:szCs w:val="20"/>
              </w:rPr>
            </w:pPr>
            <w:r w:rsidRPr="00B9660B">
              <w:rPr>
                <w:sz w:val="20"/>
                <w:szCs w:val="20"/>
              </w:rPr>
              <w:t>8/26/2015</w:t>
            </w:r>
          </w:p>
        </w:tc>
        <w:tc>
          <w:tcPr>
            <w:tcW w:w="974"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sz w:val="20"/>
                <w:szCs w:val="20"/>
              </w:rPr>
              <w:t>60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1.7</w:t>
            </w:r>
          </w:p>
        </w:tc>
        <w:tc>
          <w:tcPr>
            <w:tcW w:w="1157"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276.7</w:t>
            </w:r>
          </w:p>
        </w:tc>
        <w:tc>
          <w:tcPr>
            <w:tcW w:w="962"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36.1</w:t>
            </w:r>
          </w:p>
        </w:tc>
        <w:tc>
          <w:tcPr>
            <w:tcW w:w="1136"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16.6</w:t>
            </w:r>
          </w:p>
        </w:tc>
        <w:tc>
          <w:tcPr>
            <w:tcW w:w="1049"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2.2</w:t>
            </w:r>
          </w:p>
        </w:tc>
        <w:tc>
          <w:tcPr>
            <w:tcW w:w="1049" w:type="dxa"/>
            <w:tcBorders>
              <w:top w:val="nil"/>
              <w:left w:val="nil"/>
              <w:bottom w:val="nil"/>
              <w:right w:val="nil"/>
            </w:tcBorders>
            <w:shd w:val="clear" w:color="auto" w:fill="auto"/>
            <w:noWrap/>
            <w:vAlign w:val="center"/>
          </w:tcPr>
          <w:p w:rsidR="00B9660B" w:rsidRPr="00B9660B" w:rsidRDefault="00B9660B" w:rsidP="00336E76">
            <w:pPr>
              <w:ind w:right="13"/>
              <w:jc w:val="right"/>
              <w:rPr>
                <w:color w:val="000000"/>
                <w:sz w:val="20"/>
                <w:szCs w:val="20"/>
              </w:rPr>
            </w:pPr>
            <w:r w:rsidRPr="00B9660B">
              <w:rPr>
                <w:color w:val="000000"/>
                <w:sz w:val="20"/>
                <w:szCs w:val="20"/>
              </w:rPr>
              <w:t>13%</w:t>
            </w:r>
          </w:p>
        </w:tc>
        <w:tc>
          <w:tcPr>
            <w:tcW w:w="875" w:type="dxa"/>
            <w:tcBorders>
              <w:top w:val="nil"/>
              <w:left w:val="nil"/>
              <w:bottom w:val="nil"/>
              <w:right w:val="nil"/>
            </w:tcBorders>
            <w:shd w:val="clear" w:color="auto" w:fill="auto"/>
            <w:noWrap/>
            <w:vAlign w:val="center"/>
          </w:tcPr>
          <w:p w:rsidR="00B9660B" w:rsidRPr="00B9660B" w:rsidRDefault="00B9660B" w:rsidP="00336E76">
            <w:pPr>
              <w:jc w:val="right"/>
              <w:rPr>
                <w:color w:val="000000"/>
                <w:sz w:val="20"/>
                <w:szCs w:val="20"/>
              </w:rPr>
            </w:pPr>
            <w:r w:rsidRPr="00B9660B">
              <w:rPr>
                <w:sz w:val="20"/>
                <w:szCs w:val="20"/>
              </w:rPr>
              <w:t>84</w:t>
            </w:r>
          </w:p>
        </w:tc>
      </w:tr>
      <w:tr w:rsidR="00B9660B" w:rsidRPr="00B9660B" w:rsidTr="00336E76">
        <w:trPr>
          <w:trHeight w:val="300"/>
        </w:trPr>
        <w:tc>
          <w:tcPr>
            <w:tcW w:w="1182" w:type="dxa"/>
            <w:shd w:val="clear" w:color="auto" w:fill="auto"/>
            <w:noWrap/>
            <w:vAlign w:val="center"/>
          </w:tcPr>
          <w:p w:rsidR="00B9660B" w:rsidRPr="00B9660B" w:rsidRDefault="00B9660B" w:rsidP="00336E76">
            <w:pPr>
              <w:rPr>
                <w:color w:val="000000"/>
                <w:sz w:val="20"/>
                <w:szCs w:val="20"/>
              </w:rPr>
            </w:pPr>
            <w:r w:rsidRPr="00B9660B">
              <w:rPr>
                <w:sz w:val="20"/>
                <w:szCs w:val="20"/>
              </w:rPr>
              <w:t>8/27/2015</w:t>
            </w:r>
          </w:p>
        </w:tc>
        <w:tc>
          <w:tcPr>
            <w:tcW w:w="974"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sz w:val="20"/>
                <w:szCs w:val="20"/>
              </w:rPr>
              <w:t>60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1.7</w:t>
            </w:r>
          </w:p>
        </w:tc>
        <w:tc>
          <w:tcPr>
            <w:tcW w:w="1157"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274.9</w:t>
            </w:r>
          </w:p>
        </w:tc>
        <w:tc>
          <w:tcPr>
            <w:tcW w:w="962"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34.7</w:t>
            </w:r>
          </w:p>
        </w:tc>
        <w:tc>
          <w:tcPr>
            <w:tcW w:w="1136"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16.5</w:t>
            </w:r>
          </w:p>
        </w:tc>
        <w:tc>
          <w:tcPr>
            <w:tcW w:w="1049"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2.1</w:t>
            </w:r>
          </w:p>
        </w:tc>
        <w:tc>
          <w:tcPr>
            <w:tcW w:w="1049" w:type="dxa"/>
            <w:tcBorders>
              <w:top w:val="nil"/>
              <w:left w:val="nil"/>
              <w:bottom w:val="nil"/>
              <w:right w:val="nil"/>
            </w:tcBorders>
            <w:shd w:val="clear" w:color="auto" w:fill="auto"/>
            <w:noWrap/>
            <w:vAlign w:val="center"/>
          </w:tcPr>
          <w:p w:rsidR="00B9660B" w:rsidRPr="00B9660B" w:rsidRDefault="00B9660B" w:rsidP="00336E76">
            <w:pPr>
              <w:ind w:right="13"/>
              <w:jc w:val="right"/>
              <w:rPr>
                <w:color w:val="000000"/>
                <w:sz w:val="20"/>
                <w:szCs w:val="20"/>
              </w:rPr>
            </w:pPr>
            <w:r w:rsidRPr="00B9660B">
              <w:rPr>
                <w:color w:val="000000"/>
                <w:sz w:val="20"/>
                <w:szCs w:val="20"/>
              </w:rPr>
              <w:t>13%</w:t>
            </w:r>
          </w:p>
        </w:tc>
        <w:tc>
          <w:tcPr>
            <w:tcW w:w="875" w:type="dxa"/>
            <w:tcBorders>
              <w:top w:val="nil"/>
              <w:left w:val="nil"/>
              <w:bottom w:val="nil"/>
              <w:right w:val="nil"/>
            </w:tcBorders>
            <w:shd w:val="clear" w:color="auto" w:fill="auto"/>
            <w:noWrap/>
            <w:vAlign w:val="center"/>
          </w:tcPr>
          <w:p w:rsidR="00B9660B" w:rsidRPr="00B9660B" w:rsidRDefault="00B9660B" w:rsidP="00336E76">
            <w:pPr>
              <w:jc w:val="right"/>
              <w:rPr>
                <w:color w:val="000000"/>
                <w:sz w:val="20"/>
                <w:szCs w:val="20"/>
              </w:rPr>
            </w:pPr>
            <w:r w:rsidRPr="00B9660B">
              <w:rPr>
                <w:sz w:val="20"/>
                <w:szCs w:val="20"/>
              </w:rPr>
              <w:t>88</w:t>
            </w:r>
          </w:p>
        </w:tc>
      </w:tr>
      <w:tr w:rsidR="00B9660B" w:rsidRPr="00B9660B" w:rsidTr="00336E76">
        <w:trPr>
          <w:trHeight w:val="300"/>
        </w:trPr>
        <w:tc>
          <w:tcPr>
            <w:tcW w:w="1182" w:type="dxa"/>
            <w:shd w:val="clear" w:color="auto" w:fill="auto"/>
            <w:noWrap/>
            <w:vAlign w:val="center"/>
          </w:tcPr>
          <w:p w:rsidR="00B9660B" w:rsidRPr="00B9660B" w:rsidRDefault="00B9660B" w:rsidP="00336E76">
            <w:pPr>
              <w:rPr>
                <w:color w:val="000000"/>
                <w:sz w:val="20"/>
                <w:szCs w:val="20"/>
              </w:rPr>
            </w:pPr>
            <w:r w:rsidRPr="00B9660B">
              <w:rPr>
                <w:sz w:val="20"/>
                <w:szCs w:val="20"/>
              </w:rPr>
              <w:t>8/28/2015</w:t>
            </w:r>
          </w:p>
        </w:tc>
        <w:tc>
          <w:tcPr>
            <w:tcW w:w="974"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sz w:val="20"/>
                <w:szCs w:val="20"/>
              </w:rPr>
              <w:t>60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1.7</w:t>
            </w:r>
          </w:p>
        </w:tc>
        <w:tc>
          <w:tcPr>
            <w:tcW w:w="1157"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281.7</w:t>
            </w:r>
          </w:p>
        </w:tc>
        <w:tc>
          <w:tcPr>
            <w:tcW w:w="962"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33.7</w:t>
            </w:r>
          </w:p>
        </w:tc>
        <w:tc>
          <w:tcPr>
            <w:tcW w:w="1136"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16.9</w:t>
            </w:r>
          </w:p>
        </w:tc>
        <w:tc>
          <w:tcPr>
            <w:tcW w:w="1049"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2.0</w:t>
            </w:r>
          </w:p>
        </w:tc>
        <w:tc>
          <w:tcPr>
            <w:tcW w:w="1049" w:type="dxa"/>
            <w:tcBorders>
              <w:top w:val="nil"/>
              <w:left w:val="nil"/>
              <w:bottom w:val="nil"/>
              <w:right w:val="nil"/>
            </w:tcBorders>
            <w:shd w:val="clear" w:color="auto" w:fill="auto"/>
            <w:noWrap/>
            <w:vAlign w:val="center"/>
          </w:tcPr>
          <w:p w:rsidR="00B9660B" w:rsidRPr="00B9660B" w:rsidRDefault="00B9660B" w:rsidP="00336E76">
            <w:pPr>
              <w:ind w:right="13"/>
              <w:jc w:val="right"/>
              <w:rPr>
                <w:color w:val="000000"/>
                <w:sz w:val="20"/>
                <w:szCs w:val="20"/>
              </w:rPr>
            </w:pPr>
            <w:r w:rsidRPr="00B9660B">
              <w:rPr>
                <w:color w:val="000000"/>
                <w:sz w:val="20"/>
                <w:szCs w:val="20"/>
              </w:rPr>
              <w:t>12%</w:t>
            </w:r>
          </w:p>
        </w:tc>
        <w:tc>
          <w:tcPr>
            <w:tcW w:w="875" w:type="dxa"/>
            <w:tcBorders>
              <w:top w:val="nil"/>
              <w:left w:val="nil"/>
              <w:bottom w:val="nil"/>
              <w:right w:val="nil"/>
            </w:tcBorders>
            <w:shd w:val="clear" w:color="auto" w:fill="auto"/>
            <w:noWrap/>
            <w:vAlign w:val="center"/>
          </w:tcPr>
          <w:p w:rsidR="00B9660B" w:rsidRPr="00B9660B" w:rsidRDefault="00B9660B" w:rsidP="00336E76">
            <w:pPr>
              <w:jc w:val="right"/>
              <w:rPr>
                <w:color w:val="000000"/>
                <w:sz w:val="20"/>
                <w:szCs w:val="20"/>
              </w:rPr>
            </w:pPr>
            <w:r w:rsidRPr="00B9660B">
              <w:rPr>
                <w:sz w:val="20"/>
                <w:szCs w:val="20"/>
              </w:rPr>
              <w:t>90</w:t>
            </w:r>
          </w:p>
        </w:tc>
      </w:tr>
      <w:tr w:rsidR="00B9660B" w:rsidRPr="00B9660B" w:rsidTr="00336E76">
        <w:trPr>
          <w:trHeight w:val="300"/>
        </w:trPr>
        <w:tc>
          <w:tcPr>
            <w:tcW w:w="1182" w:type="dxa"/>
            <w:shd w:val="clear" w:color="auto" w:fill="auto"/>
            <w:noWrap/>
            <w:vAlign w:val="center"/>
          </w:tcPr>
          <w:p w:rsidR="00B9660B" w:rsidRPr="00B9660B" w:rsidRDefault="00B9660B" w:rsidP="00336E76">
            <w:pPr>
              <w:rPr>
                <w:color w:val="000000"/>
                <w:sz w:val="20"/>
                <w:szCs w:val="20"/>
              </w:rPr>
            </w:pPr>
            <w:r w:rsidRPr="00B9660B">
              <w:rPr>
                <w:sz w:val="20"/>
                <w:szCs w:val="20"/>
              </w:rPr>
              <w:t>9/8/2015</w:t>
            </w:r>
          </w:p>
        </w:tc>
        <w:tc>
          <w:tcPr>
            <w:tcW w:w="974"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sz w:val="20"/>
                <w:szCs w:val="20"/>
              </w:rPr>
              <w:t>60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1.7</w:t>
            </w:r>
          </w:p>
        </w:tc>
        <w:tc>
          <w:tcPr>
            <w:tcW w:w="1157"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283.5</w:t>
            </w:r>
          </w:p>
        </w:tc>
        <w:tc>
          <w:tcPr>
            <w:tcW w:w="962"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33.0</w:t>
            </w:r>
          </w:p>
        </w:tc>
        <w:tc>
          <w:tcPr>
            <w:tcW w:w="1136"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17.0</w:t>
            </w:r>
          </w:p>
        </w:tc>
        <w:tc>
          <w:tcPr>
            <w:tcW w:w="1049"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2.0</w:t>
            </w:r>
          </w:p>
        </w:tc>
        <w:tc>
          <w:tcPr>
            <w:tcW w:w="1049" w:type="dxa"/>
            <w:tcBorders>
              <w:top w:val="nil"/>
              <w:left w:val="nil"/>
              <w:bottom w:val="nil"/>
              <w:right w:val="nil"/>
            </w:tcBorders>
            <w:shd w:val="clear" w:color="auto" w:fill="auto"/>
            <w:noWrap/>
            <w:vAlign w:val="center"/>
          </w:tcPr>
          <w:p w:rsidR="00B9660B" w:rsidRPr="00B9660B" w:rsidRDefault="00B9660B" w:rsidP="00336E76">
            <w:pPr>
              <w:ind w:right="13"/>
              <w:jc w:val="right"/>
              <w:rPr>
                <w:color w:val="000000"/>
                <w:sz w:val="20"/>
                <w:szCs w:val="20"/>
              </w:rPr>
            </w:pPr>
            <w:r w:rsidRPr="00B9660B">
              <w:rPr>
                <w:color w:val="000000"/>
                <w:sz w:val="20"/>
                <w:szCs w:val="20"/>
              </w:rPr>
              <w:t>12%</w:t>
            </w:r>
          </w:p>
        </w:tc>
        <w:tc>
          <w:tcPr>
            <w:tcW w:w="875" w:type="dxa"/>
            <w:tcBorders>
              <w:top w:val="nil"/>
              <w:left w:val="nil"/>
              <w:bottom w:val="nil"/>
              <w:right w:val="nil"/>
            </w:tcBorders>
            <w:shd w:val="clear" w:color="auto" w:fill="auto"/>
            <w:noWrap/>
            <w:vAlign w:val="center"/>
          </w:tcPr>
          <w:p w:rsidR="00B9660B" w:rsidRPr="00B9660B" w:rsidRDefault="00B9660B" w:rsidP="00336E76">
            <w:pPr>
              <w:jc w:val="right"/>
              <w:rPr>
                <w:color w:val="000000"/>
                <w:sz w:val="20"/>
                <w:szCs w:val="20"/>
              </w:rPr>
            </w:pPr>
            <w:r w:rsidRPr="00B9660B">
              <w:rPr>
                <w:sz w:val="20"/>
                <w:szCs w:val="20"/>
              </w:rPr>
              <w:t>88</w:t>
            </w:r>
          </w:p>
        </w:tc>
      </w:tr>
      <w:tr w:rsidR="00B9660B" w:rsidRPr="00B9660B" w:rsidTr="00336E76">
        <w:trPr>
          <w:trHeight w:val="300"/>
        </w:trPr>
        <w:tc>
          <w:tcPr>
            <w:tcW w:w="1182" w:type="dxa"/>
            <w:shd w:val="clear" w:color="auto" w:fill="auto"/>
            <w:noWrap/>
            <w:vAlign w:val="center"/>
          </w:tcPr>
          <w:p w:rsidR="00B9660B" w:rsidRPr="00B9660B" w:rsidRDefault="00B9660B" w:rsidP="00336E76">
            <w:pPr>
              <w:rPr>
                <w:color w:val="000000"/>
                <w:sz w:val="20"/>
                <w:szCs w:val="20"/>
              </w:rPr>
            </w:pPr>
            <w:r w:rsidRPr="00B9660B">
              <w:rPr>
                <w:sz w:val="20"/>
                <w:szCs w:val="20"/>
              </w:rPr>
              <w:t>9/9/2015</w:t>
            </w:r>
          </w:p>
        </w:tc>
        <w:tc>
          <w:tcPr>
            <w:tcW w:w="974"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sz w:val="20"/>
                <w:szCs w:val="20"/>
              </w:rPr>
              <w:t>60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1.7</w:t>
            </w:r>
          </w:p>
        </w:tc>
        <w:tc>
          <w:tcPr>
            <w:tcW w:w="1157"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279.8</w:t>
            </w:r>
          </w:p>
        </w:tc>
        <w:tc>
          <w:tcPr>
            <w:tcW w:w="962"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31.3</w:t>
            </w:r>
          </w:p>
        </w:tc>
        <w:tc>
          <w:tcPr>
            <w:tcW w:w="1136"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16.8</w:t>
            </w:r>
          </w:p>
        </w:tc>
        <w:tc>
          <w:tcPr>
            <w:tcW w:w="1049"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1.9</w:t>
            </w:r>
          </w:p>
        </w:tc>
        <w:tc>
          <w:tcPr>
            <w:tcW w:w="1049" w:type="dxa"/>
            <w:tcBorders>
              <w:top w:val="nil"/>
              <w:left w:val="nil"/>
              <w:bottom w:val="nil"/>
              <w:right w:val="nil"/>
            </w:tcBorders>
            <w:shd w:val="clear" w:color="auto" w:fill="auto"/>
            <w:noWrap/>
            <w:vAlign w:val="center"/>
          </w:tcPr>
          <w:p w:rsidR="00B9660B" w:rsidRPr="00B9660B" w:rsidRDefault="00B9660B" w:rsidP="00336E76">
            <w:pPr>
              <w:ind w:right="13"/>
              <w:jc w:val="right"/>
              <w:rPr>
                <w:color w:val="000000"/>
                <w:sz w:val="20"/>
                <w:szCs w:val="20"/>
              </w:rPr>
            </w:pPr>
            <w:r w:rsidRPr="00B9660B">
              <w:rPr>
                <w:color w:val="000000"/>
                <w:sz w:val="20"/>
                <w:szCs w:val="20"/>
              </w:rPr>
              <w:t>11%</w:t>
            </w:r>
          </w:p>
        </w:tc>
        <w:tc>
          <w:tcPr>
            <w:tcW w:w="875" w:type="dxa"/>
            <w:tcBorders>
              <w:top w:val="nil"/>
              <w:left w:val="nil"/>
              <w:bottom w:val="nil"/>
              <w:right w:val="nil"/>
            </w:tcBorders>
            <w:shd w:val="clear" w:color="auto" w:fill="auto"/>
            <w:noWrap/>
            <w:vAlign w:val="center"/>
          </w:tcPr>
          <w:p w:rsidR="00B9660B" w:rsidRPr="00B9660B" w:rsidRDefault="00B9660B" w:rsidP="00336E76">
            <w:pPr>
              <w:jc w:val="right"/>
              <w:rPr>
                <w:color w:val="000000"/>
                <w:sz w:val="20"/>
                <w:szCs w:val="20"/>
              </w:rPr>
            </w:pPr>
            <w:r w:rsidRPr="00B9660B">
              <w:rPr>
                <w:sz w:val="20"/>
                <w:szCs w:val="20"/>
              </w:rPr>
              <w:t>94</w:t>
            </w:r>
          </w:p>
        </w:tc>
      </w:tr>
      <w:tr w:rsidR="00B9660B" w:rsidRPr="00B9660B" w:rsidTr="00336E76">
        <w:trPr>
          <w:trHeight w:val="300"/>
        </w:trPr>
        <w:tc>
          <w:tcPr>
            <w:tcW w:w="1182" w:type="dxa"/>
            <w:shd w:val="clear" w:color="auto" w:fill="auto"/>
            <w:noWrap/>
            <w:vAlign w:val="center"/>
          </w:tcPr>
          <w:p w:rsidR="00B9660B" w:rsidRPr="00B9660B" w:rsidRDefault="00B9660B" w:rsidP="00336E76">
            <w:pPr>
              <w:rPr>
                <w:color w:val="000000"/>
                <w:sz w:val="20"/>
                <w:szCs w:val="20"/>
              </w:rPr>
            </w:pPr>
            <w:r w:rsidRPr="00B9660B">
              <w:rPr>
                <w:sz w:val="20"/>
                <w:szCs w:val="20"/>
              </w:rPr>
              <w:t>9/10/2015</w:t>
            </w:r>
          </w:p>
        </w:tc>
        <w:tc>
          <w:tcPr>
            <w:tcW w:w="974"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sz w:val="20"/>
                <w:szCs w:val="20"/>
              </w:rPr>
              <w:t>60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1.7</w:t>
            </w:r>
          </w:p>
        </w:tc>
        <w:tc>
          <w:tcPr>
            <w:tcW w:w="1157"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296.9</w:t>
            </w:r>
          </w:p>
        </w:tc>
        <w:tc>
          <w:tcPr>
            <w:tcW w:w="962"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31.8</w:t>
            </w:r>
          </w:p>
        </w:tc>
        <w:tc>
          <w:tcPr>
            <w:tcW w:w="1136"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17.8</w:t>
            </w:r>
          </w:p>
        </w:tc>
        <w:tc>
          <w:tcPr>
            <w:tcW w:w="1049" w:type="dxa"/>
            <w:tcBorders>
              <w:top w:val="nil"/>
              <w:left w:val="nil"/>
              <w:bottom w:val="nil"/>
              <w:right w:val="nil"/>
            </w:tcBorders>
            <w:shd w:val="clear" w:color="auto" w:fill="auto"/>
            <w:noWrap/>
            <w:vAlign w:val="center"/>
          </w:tcPr>
          <w:p w:rsidR="00B9660B" w:rsidRPr="00B9660B" w:rsidRDefault="00B9660B" w:rsidP="00336E76">
            <w:pPr>
              <w:jc w:val="center"/>
              <w:rPr>
                <w:color w:val="000000"/>
                <w:sz w:val="20"/>
                <w:szCs w:val="20"/>
              </w:rPr>
            </w:pPr>
            <w:r w:rsidRPr="00B9660B">
              <w:rPr>
                <w:color w:val="000000"/>
                <w:sz w:val="20"/>
                <w:szCs w:val="20"/>
              </w:rPr>
              <w:t>1.9</w:t>
            </w:r>
          </w:p>
        </w:tc>
        <w:tc>
          <w:tcPr>
            <w:tcW w:w="1049" w:type="dxa"/>
            <w:tcBorders>
              <w:top w:val="nil"/>
              <w:left w:val="nil"/>
              <w:bottom w:val="nil"/>
              <w:right w:val="nil"/>
            </w:tcBorders>
            <w:shd w:val="clear" w:color="auto" w:fill="auto"/>
            <w:noWrap/>
            <w:vAlign w:val="center"/>
          </w:tcPr>
          <w:p w:rsidR="00B9660B" w:rsidRPr="00B9660B" w:rsidRDefault="00B9660B" w:rsidP="00336E76">
            <w:pPr>
              <w:ind w:right="13"/>
              <w:jc w:val="right"/>
              <w:rPr>
                <w:color w:val="000000"/>
                <w:sz w:val="20"/>
                <w:szCs w:val="20"/>
              </w:rPr>
            </w:pPr>
            <w:r w:rsidRPr="00B9660B">
              <w:rPr>
                <w:color w:val="000000"/>
                <w:sz w:val="20"/>
                <w:szCs w:val="20"/>
              </w:rPr>
              <w:t>11%</w:t>
            </w:r>
          </w:p>
        </w:tc>
        <w:tc>
          <w:tcPr>
            <w:tcW w:w="875" w:type="dxa"/>
            <w:tcBorders>
              <w:top w:val="nil"/>
              <w:left w:val="nil"/>
              <w:bottom w:val="nil"/>
              <w:right w:val="nil"/>
            </w:tcBorders>
            <w:shd w:val="clear" w:color="auto" w:fill="auto"/>
            <w:noWrap/>
            <w:vAlign w:val="center"/>
          </w:tcPr>
          <w:p w:rsidR="00B9660B" w:rsidRPr="00B9660B" w:rsidRDefault="00B9660B" w:rsidP="00336E76">
            <w:pPr>
              <w:jc w:val="right"/>
              <w:rPr>
                <w:color w:val="000000"/>
                <w:sz w:val="20"/>
                <w:szCs w:val="20"/>
              </w:rPr>
            </w:pPr>
            <w:r w:rsidRPr="00B9660B">
              <w:rPr>
                <w:sz w:val="20"/>
                <w:szCs w:val="20"/>
              </w:rPr>
              <w:t>90</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9/11/2015</w:t>
            </w:r>
          </w:p>
        </w:tc>
        <w:tc>
          <w:tcPr>
            <w:tcW w:w="974"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60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1.7</w:t>
            </w:r>
          </w:p>
        </w:tc>
        <w:tc>
          <w:tcPr>
            <w:tcW w:w="1157"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289.2</w:t>
            </w:r>
          </w:p>
        </w:tc>
        <w:tc>
          <w:tcPr>
            <w:tcW w:w="962"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32.9</w:t>
            </w:r>
          </w:p>
        </w:tc>
        <w:tc>
          <w:tcPr>
            <w:tcW w:w="113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17.4</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2.0</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11%</w:t>
            </w:r>
          </w:p>
        </w:tc>
        <w:tc>
          <w:tcPr>
            <w:tcW w:w="875" w:type="dxa"/>
            <w:tcBorders>
              <w:top w:val="nil"/>
              <w:left w:val="nil"/>
              <w:bottom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84</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9/21/2015</w:t>
            </w:r>
          </w:p>
        </w:tc>
        <w:tc>
          <w:tcPr>
            <w:tcW w:w="974"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60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1.7</w:t>
            </w:r>
          </w:p>
        </w:tc>
        <w:tc>
          <w:tcPr>
            <w:tcW w:w="1157"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288.9</w:t>
            </w:r>
          </w:p>
        </w:tc>
        <w:tc>
          <w:tcPr>
            <w:tcW w:w="962"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39.6</w:t>
            </w:r>
          </w:p>
        </w:tc>
        <w:tc>
          <w:tcPr>
            <w:tcW w:w="113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17.3</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2.4</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14%</w:t>
            </w:r>
          </w:p>
        </w:tc>
        <w:tc>
          <w:tcPr>
            <w:tcW w:w="875" w:type="dxa"/>
            <w:tcBorders>
              <w:top w:val="nil"/>
              <w:left w:val="nil"/>
              <w:bottom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78</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10/9/2015</w:t>
            </w:r>
          </w:p>
        </w:tc>
        <w:tc>
          <w:tcPr>
            <w:tcW w:w="974"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60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1.7</w:t>
            </w:r>
          </w:p>
        </w:tc>
        <w:tc>
          <w:tcPr>
            <w:tcW w:w="1157"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306.8</w:t>
            </w:r>
          </w:p>
        </w:tc>
        <w:tc>
          <w:tcPr>
            <w:tcW w:w="962"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33.6</w:t>
            </w:r>
          </w:p>
        </w:tc>
        <w:tc>
          <w:tcPr>
            <w:tcW w:w="113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18.4</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2.0</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11%</w:t>
            </w:r>
          </w:p>
        </w:tc>
        <w:tc>
          <w:tcPr>
            <w:tcW w:w="875" w:type="dxa"/>
            <w:tcBorders>
              <w:top w:val="nil"/>
              <w:left w:val="nil"/>
              <w:bottom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95</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10/12/2015</w:t>
            </w:r>
          </w:p>
        </w:tc>
        <w:tc>
          <w:tcPr>
            <w:tcW w:w="974"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60</w:t>
            </w:r>
          </w:p>
        </w:tc>
        <w:tc>
          <w:tcPr>
            <w:tcW w:w="1192" w:type="dxa"/>
            <w:tcBorders>
              <w:top w:val="nil"/>
              <w:left w:val="nil"/>
              <w:bottom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1.7</w:t>
            </w:r>
          </w:p>
        </w:tc>
        <w:tc>
          <w:tcPr>
            <w:tcW w:w="1157"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302.8</w:t>
            </w:r>
          </w:p>
        </w:tc>
        <w:tc>
          <w:tcPr>
            <w:tcW w:w="962"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34.9</w:t>
            </w:r>
          </w:p>
        </w:tc>
        <w:tc>
          <w:tcPr>
            <w:tcW w:w="113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18.2</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2.1</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12%</w:t>
            </w:r>
          </w:p>
        </w:tc>
        <w:tc>
          <w:tcPr>
            <w:tcW w:w="875" w:type="dxa"/>
            <w:tcBorders>
              <w:top w:val="nil"/>
              <w:left w:val="nil"/>
              <w:bottom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88</w:t>
            </w:r>
          </w:p>
        </w:tc>
      </w:tr>
      <w:tr w:rsidR="00B9660B" w:rsidRPr="00B9660B" w:rsidTr="00336E76">
        <w:trPr>
          <w:trHeight w:val="300"/>
        </w:trPr>
        <w:tc>
          <w:tcPr>
            <w:tcW w:w="1182" w:type="dxa"/>
            <w:shd w:val="clear" w:color="auto" w:fill="auto"/>
            <w:noWrap/>
            <w:vAlign w:val="center"/>
            <w:hideMark/>
          </w:tcPr>
          <w:p w:rsidR="00B9660B" w:rsidRPr="00B9660B" w:rsidRDefault="00B9660B" w:rsidP="00336E76">
            <w:pPr>
              <w:rPr>
                <w:color w:val="000000"/>
                <w:sz w:val="20"/>
                <w:szCs w:val="20"/>
              </w:rPr>
            </w:pPr>
            <w:r w:rsidRPr="00B9660B">
              <w:rPr>
                <w:sz w:val="20"/>
                <w:szCs w:val="20"/>
              </w:rPr>
              <w:t>10/13/2015</w:t>
            </w:r>
          </w:p>
        </w:tc>
        <w:tc>
          <w:tcPr>
            <w:tcW w:w="974" w:type="dxa"/>
            <w:tcBorders>
              <w:top w:val="nil"/>
              <w:left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60</w:t>
            </w:r>
          </w:p>
        </w:tc>
        <w:tc>
          <w:tcPr>
            <w:tcW w:w="1192" w:type="dxa"/>
            <w:tcBorders>
              <w:top w:val="nil"/>
              <w:left w:val="nil"/>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1.7</w:t>
            </w:r>
          </w:p>
        </w:tc>
        <w:tc>
          <w:tcPr>
            <w:tcW w:w="1157"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311.9</w:t>
            </w:r>
          </w:p>
        </w:tc>
        <w:tc>
          <w:tcPr>
            <w:tcW w:w="962"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36.0</w:t>
            </w:r>
          </w:p>
        </w:tc>
        <w:tc>
          <w:tcPr>
            <w:tcW w:w="1136"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18.7</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2.2</w:t>
            </w:r>
          </w:p>
        </w:tc>
        <w:tc>
          <w:tcPr>
            <w:tcW w:w="1049" w:type="dxa"/>
            <w:tcBorders>
              <w:top w:val="nil"/>
              <w:left w:val="nil"/>
              <w:bottom w:val="nil"/>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12%</w:t>
            </w:r>
          </w:p>
        </w:tc>
        <w:tc>
          <w:tcPr>
            <w:tcW w:w="875" w:type="dxa"/>
            <w:tcBorders>
              <w:top w:val="nil"/>
              <w:left w:val="nil"/>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82</w:t>
            </w:r>
          </w:p>
        </w:tc>
      </w:tr>
      <w:tr w:rsidR="00B9660B" w:rsidRPr="00B9660B" w:rsidTr="00336E76">
        <w:trPr>
          <w:trHeight w:val="300"/>
        </w:trPr>
        <w:tc>
          <w:tcPr>
            <w:tcW w:w="1182" w:type="dxa"/>
            <w:tcBorders>
              <w:bottom w:val="single" w:sz="4" w:space="0" w:color="7F7F7F" w:themeColor="text1" w:themeTint="80"/>
            </w:tcBorders>
            <w:shd w:val="clear" w:color="auto" w:fill="auto"/>
            <w:noWrap/>
            <w:vAlign w:val="center"/>
            <w:hideMark/>
          </w:tcPr>
          <w:p w:rsidR="00B9660B" w:rsidRPr="00B9660B" w:rsidRDefault="00B9660B" w:rsidP="00336E76">
            <w:pPr>
              <w:rPr>
                <w:color w:val="000000"/>
                <w:sz w:val="20"/>
                <w:szCs w:val="20"/>
              </w:rPr>
            </w:pPr>
            <w:r w:rsidRPr="00B9660B">
              <w:rPr>
                <w:sz w:val="20"/>
                <w:szCs w:val="20"/>
              </w:rPr>
              <w:t>10/14/2015</w:t>
            </w:r>
          </w:p>
        </w:tc>
        <w:tc>
          <w:tcPr>
            <w:tcW w:w="974"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sz w:val="20"/>
                <w:szCs w:val="20"/>
              </w:rPr>
              <w:t>60</w:t>
            </w:r>
          </w:p>
        </w:tc>
        <w:tc>
          <w:tcPr>
            <w:tcW w:w="1192" w:type="dxa"/>
            <w:tcBorders>
              <w:top w:val="nil"/>
              <w:left w:val="nil"/>
              <w:bottom w:val="single" w:sz="4" w:space="0" w:color="7F7F7F" w:themeColor="text1" w:themeTint="80"/>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1.7</w:t>
            </w:r>
          </w:p>
        </w:tc>
        <w:tc>
          <w:tcPr>
            <w:tcW w:w="1157"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308.1</w:t>
            </w:r>
          </w:p>
        </w:tc>
        <w:tc>
          <w:tcPr>
            <w:tcW w:w="962"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35.2</w:t>
            </w:r>
          </w:p>
        </w:tc>
        <w:tc>
          <w:tcPr>
            <w:tcW w:w="1136"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18.5</w:t>
            </w:r>
          </w:p>
        </w:tc>
        <w:tc>
          <w:tcPr>
            <w:tcW w:w="1049"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center"/>
              <w:rPr>
                <w:color w:val="000000"/>
                <w:sz w:val="20"/>
                <w:szCs w:val="20"/>
              </w:rPr>
            </w:pPr>
            <w:r w:rsidRPr="00B9660B">
              <w:rPr>
                <w:color w:val="000000"/>
                <w:sz w:val="20"/>
                <w:szCs w:val="20"/>
              </w:rPr>
              <w:t>2.1</w:t>
            </w:r>
          </w:p>
        </w:tc>
        <w:tc>
          <w:tcPr>
            <w:tcW w:w="1049"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ind w:right="13"/>
              <w:jc w:val="right"/>
              <w:rPr>
                <w:color w:val="000000"/>
                <w:sz w:val="20"/>
                <w:szCs w:val="20"/>
              </w:rPr>
            </w:pPr>
            <w:r w:rsidRPr="00B9660B">
              <w:rPr>
                <w:color w:val="000000"/>
                <w:sz w:val="20"/>
                <w:szCs w:val="20"/>
              </w:rPr>
              <w:t>11%</w:t>
            </w:r>
          </w:p>
        </w:tc>
        <w:tc>
          <w:tcPr>
            <w:tcW w:w="875"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sz w:val="20"/>
                <w:szCs w:val="20"/>
              </w:rPr>
              <w:t>80</w:t>
            </w:r>
          </w:p>
        </w:tc>
      </w:tr>
    </w:tbl>
    <w:p w:rsidR="00B9660B" w:rsidRPr="008227A8" w:rsidRDefault="00A7376E" w:rsidP="00A7376E">
      <w:pPr>
        <w:pStyle w:val="BodyText"/>
        <w:spacing w:after="0" w:line="276" w:lineRule="auto"/>
        <w:ind w:firstLine="720"/>
        <w:rPr>
          <w:color w:val="000000" w:themeColor="text1"/>
        </w:rPr>
      </w:pPr>
      <w:r w:rsidRPr="00A7376E">
        <w:rPr>
          <w:color w:val="000000" w:themeColor="text1"/>
          <w:sz w:val="22"/>
          <w:szCs w:val="22"/>
        </w:rPr>
        <w:lastRenderedPageBreak/>
        <w:t>Table 2-</w:t>
      </w:r>
      <w:r w:rsidR="00D84FC4">
        <w:rPr>
          <w:color w:val="000000" w:themeColor="text1"/>
          <w:sz w:val="22"/>
          <w:szCs w:val="22"/>
        </w:rPr>
        <w:t>5</w:t>
      </w:r>
      <w:r w:rsidR="00B9660B" w:rsidRPr="008227A8">
        <w:rPr>
          <w:color w:val="000000" w:themeColor="text1"/>
        </w:rPr>
        <w:t xml:space="preserve"> presents the average event-hour impacts for the CBP DA 1-4 hour participants.</w:t>
      </w:r>
      <w:r w:rsidR="00B9660B" w:rsidRPr="008227A8">
        <w:rPr>
          <w:rStyle w:val="FootnoteReference"/>
          <w:color w:val="000000" w:themeColor="text1"/>
        </w:rPr>
        <w:footnoteReference w:id="2"/>
      </w:r>
      <w:r w:rsidR="00B9660B" w:rsidRPr="008227A8">
        <w:rPr>
          <w:color w:val="000000" w:themeColor="text1"/>
        </w:rPr>
        <w:t xml:space="preserve"> The highest per-customer impacts and aggregate impacts occurred in August, with a maximum per-customer impact of 148.7 kW and 9.1 MW on August 12, 2015 representing 61 service accounts and an average 55% reduction over the reference load. The lowest impacts occurred on October 30, 2015. On that day 58 service accounts provided a total of 0.3 MW of load reduction. </w:t>
      </w:r>
    </w:p>
    <w:p w:rsidR="00B9660B" w:rsidRPr="00B9660B" w:rsidRDefault="00B9660B" w:rsidP="00B9660B">
      <w:pPr>
        <w:pStyle w:val="TableCaption"/>
        <w:rPr>
          <w:sz w:val="22"/>
          <w:szCs w:val="22"/>
        </w:rPr>
      </w:pPr>
      <w:bookmarkStart w:id="52" w:name="_Ref443062246"/>
      <w:bookmarkStart w:id="53" w:name="_Toc445825297"/>
      <w:r w:rsidRPr="00B9660B">
        <w:rPr>
          <w:sz w:val="22"/>
          <w:szCs w:val="22"/>
        </w:rPr>
        <w:lastRenderedPageBreak/>
        <w:t xml:space="preserve">Table </w:t>
      </w:r>
      <w:r>
        <w:rPr>
          <w:sz w:val="22"/>
          <w:szCs w:val="22"/>
        </w:rPr>
        <w:t>2</w:t>
      </w:r>
      <w:r w:rsidRPr="00B9660B">
        <w:rPr>
          <w:sz w:val="22"/>
          <w:szCs w:val="22"/>
        </w:rPr>
        <w:noBreakHyphen/>
      </w:r>
      <w:bookmarkEnd w:id="52"/>
      <w:r w:rsidR="0024252A">
        <w:rPr>
          <w:sz w:val="22"/>
          <w:szCs w:val="22"/>
        </w:rPr>
        <w:t>5</w:t>
      </w:r>
      <w:r w:rsidR="004A3AE7">
        <w:rPr>
          <w:sz w:val="22"/>
          <w:szCs w:val="22"/>
        </w:rPr>
        <w:t xml:space="preserve">: </w:t>
      </w:r>
      <w:r w:rsidRPr="00B9660B">
        <w:rPr>
          <w:sz w:val="22"/>
          <w:szCs w:val="22"/>
        </w:rPr>
        <w:t>SDG&amp;E CBP Day-Ahead 1-4 Hour: Impacts by Event</w:t>
      </w:r>
      <w:bookmarkEnd w:id="53"/>
    </w:p>
    <w:tbl>
      <w:tblPr>
        <w:tblW w:w="5000" w:type="pct"/>
        <w:tblLook w:val="04A0" w:firstRow="1" w:lastRow="0" w:firstColumn="1" w:lastColumn="0" w:noHBand="0" w:noVBand="1"/>
      </w:tblPr>
      <w:tblGrid>
        <w:gridCol w:w="1278"/>
        <w:gridCol w:w="1137"/>
        <w:gridCol w:w="1128"/>
        <w:gridCol w:w="1124"/>
        <w:gridCol w:w="1124"/>
        <w:gridCol w:w="1071"/>
        <w:gridCol w:w="956"/>
        <w:gridCol w:w="956"/>
        <w:gridCol w:w="802"/>
      </w:tblGrid>
      <w:tr w:rsidR="00B9660B" w:rsidRPr="00B9660B" w:rsidTr="00336E76">
        <w:trPr>
          <w:trHeight w:val="259"/>
          <w:tblHeader/>
        </w:trPr>
        <w:tc>
          <w:tcPr>
            <w:tcW w:w="1278" w:type="dxa"/>
            <w:shd w:val="clear" w:color="auto" w:fill="1A1D5D"/>
            <w:noWrap/>
            <w:vAlign w:val="center"/>
            <w:hideMark/>
          </w:tcPr>
          <w:p w:rsidR="00B9660B" w:rsidRPr="00B9660B" w:rsidRDefault="00B9660B" w:rsidP="00336E76">
            <w:pPr>
              <w:keepNext/>
              <w:jc w:val="center"/>
              <w:rPr>
                <w:b/>
                <w:color w:val="FFFFFF" w:themeColor="background1"/>
                <w:sz w:val="20"/>
                <w:szCs w:val="20"/>
              </w:rPr>
            </w:pPr>
          </w:p>
        </w:tc>
        <w:tc>
          <w:tcPr>
            <w:tcW w:w="1137" w:type="dxa"/>
            <w:vMerge w:val="restart"/>
            <w:shd w:val="clear" w:color="auto" w:fill="1A1D5D"/>
            <w:noWrap/>
            <w:vAlign w:val="bottom"/>
            <w:hideMark/>
          </w:tcPr>
          <w:p w:rsidR="00B9660B" w:rsidRPr="00B9660B" w:rsidRDefault="00B9660B" w:rsidP="00336E76">
            <w:pPr>
              <w:keepNext/>
              <w:jc w:val="center"/>
              <w:rPr>
                <w:b/>
                <w:color w:val="FFFFFF" w:themeColor="background1"/>
                <w:sz w:val="20"/>
                <w:szCs w:val="20"/>
              </w:rPr>
            </w:pPr>
            <w:r w:rsidRPr="00B9660B">
              <w:rPr>
                <w:b/>
                <w:color w:val="FFFFFF" w:themeColor="background1"/>
                <w:sz w:val="20"/>
                <w:szCs w:val="20"/>
              </w:rPr>
              <w:t># of</w:t>
            </w:r>
          </w:p>
          <w:p w:rsidR="00B9660B" w:rsidRPr="00B9660B" w:rsidRDefault="00B9660B" w:rsidP="00336E76">
            <w:pPr>
              <w:keepNext/>
              <w:jc w:val="center"/>
              <w:rPr>
                <w:b/>
                <w:color w:val="FFFFFF" w:themeColor="background1"/>
                <w:sz w:val="20"/>
                <w:szCs w:val="20"/>
              </w:rPr>
            </w:pPr>
            <w:r w:rsidRPr="00B9660B">
              <w:rPr>
                <w:b/>
                <w:color w:val="FFFFFF" w:themeColor="background1"/>
                <w:sz w:val="20"/>
                <w:szCs w:val="20"/>
              </w:rPr>
              <w:t>Accts</w:t>
            </w:r>
          </w:p>
        </w:tc>
        <w:tc>
          <w:tcPr>
            <w:tcW w:w="1146" w:type="dxa"/>
            <w:vMerge w:val="restart"/>
            <w:shd w:val="clear" w:color="auto" w:fill="1A1D5D"/>
            <w:vAlign w:val="bottom"/>
          </w:tcPr>
          <w:p w:rsidR="00B9660B" w:rsidRPr="00B9660B" w:rsidRDefault="00B9660B" w:rsidP="00336E76">
            <w:pPr>
              <w:keepNext/>
              <w:ind w:left="-90" w:right="-56"/>
              <w:jc w:val="center"/>
              <w:rPr>
                <w:b/>
                <w:color w:val="FFFFFF" w:themeColor="background1"/>
                <w:sz w:val="20"/>
                <w:szCs w:val="20"/>
              </w:rPr>
            </w:pPr>
            <w:r w:rsidRPr="00B9660B">
              <w:rPr>
                <w:b/>
                <w:color w:val="FFFFFF" w:themeColor="background1"/>
                <w:sz w:val="20"/>
                <w:szCs w:val="20"/>
              </w:rPr>
              <w:t>Nominated Capacity (MW)</w:t>
            </w:r>
          </w:p>
        </w:tc>
        <w:tc>
          <w:tcPr>
            <w:tcW w:w="2248" w:type="dxa"/>
            <w:gridSpan w:val="2"/>
            <w:shd w:val="clear" w:color="auto" w:fill="1A1D5D"/>
            <w:noWrap/>
            <w:vAlign w:val="center"/>
            <w:hideMark/>
          </w:tcPr>
          <w:p w:rsidR="00B9660B" w:rsidRPr="00B9660B" w:rsidRDefault="00B9660B" w:rsidP="00336E76">
            <w:pPr>
              <w:keepNext/>
              <w:jc w:val="center"/>
              <w:rPr>
                <w:b/>
                <w:color w:val="FFFFFF" w:themeColor="background1"/>
                <w:sz w:val="20"/>
                <w:szCs w:val="20"/>
              </w:rPr>
            </w:pPr>
            <w:r w:rsidRPr="00B9660B">
              <w:rPr>
                <w:b/>
                <w:color w:val="FFFFFF" w:themeColor="background1"/>
                <w:sz w:val="20"/>
                <w:szCs w:val="20"/>
              </w:rPr>
              <w:t>Per Customer Impact (kW)</w:t>
            </w:r>
          </w:p>
        </w:tc>
        <w:tc>
          <w:tcPr>
            <w:tcW w:w="2009" w:type="dxa"/>
            <w:gridSpan w:val="2"/>
            <w:shd w:val="clear" w:color="auto" w:fill="1A1D5D"/>
            <w:noWrap/>
            <w:vAlign w:val="center"/>
            <w:hideMark/>
          </w:tcPr>
          <w:p w:rsidR="00B9660B" w:rsidRPr="00B9660B" w:rsidRDefault="00B9660B" w:rsidP="00336E76">
            <w:pPr>
              <w:keepNext/>
              <w:jc w:val="center"/>
              <w:rPr>
                <w:b/>
                <w:color w:val="FFFFFF" w:themeColor="background1"/>
                <w:sz w:val="20"/>
                <w:szCs w:val="20"/>
              </w:rPr>
            </w:pPr>
            <w:r w:rsidRPr="00B9660B">
              <w:rPr>
                <w:b/>
                <w:color w:val="FFFFFF" w:themeColor="background1"/>
                <w:sz w:val="20"/>
                <w:szCs w:val="20"/>
              </w:rPr>
              <w:t xml:space="preserve">Aggregate Impact </w:t>
            </w:r>
          </w:p>
          <w:p w:rsidR="00B9660B" w:rsidRPr="00B9660B" w:rsidRDefault="00B9660B" w:rsidP="00336E76">
            <w:pPr>
              <w:keepNext/>
              <w:jc w:val="center"/>
              <w:rPr>
                <w:b/>
                <w:color w:val="FFFFFF" w:themeColor="background1"/>
                <w:sz w:val="20"/>
                <w:szCs w:val="20"/>
              </w:rPr>
            </w:pPr>
            <w:r w:rsidRPr="00B9660B">
              <w:rPr>
                <w:b/>
                <w:color w:val="FFFFFF" w:themeColor="background1"/>
                <w:sz w:val="20"/>
                <w:szCs w:val="20"/>
              </w:rPr>
              <w:t>(MW)</w:t>
            </w:r>
          </w:p>
        </w:tc>
        <w:tc>
          <w:tcPr>
            <w:tcW w:w="956" w:type="dxa"/>
            <w:shd w:val="clear" w:color="auto" w:fill="1A1D5D"/>
            <w:noWrap/>
            <w:vAlign w:val="center"/>
            <w:hideMark/>
          </w:tcPr>
          <w:p w:rsidR="00B9660B" w:rsidRPr="00B9660B" w:rsidRDefault="00B9660B" w:rsidP="00336E76">
            <w:pPr>
              <w:keepNext/>
              <w:jc w:val="center"/>
              <w:rPr>
                <w:b/>
                <w:color w:val="FFFFFF" w:themeColor="background1"/>
                <w:sz w:val="20"/>
                <w:szCs w:val="20"/>
              </w:rPr>
            </w:pPr>
          </w:p>
        </w:tc>
        <w:tc>
          <w:tcPr>
            <w:tcW w:w="802" w:type="dxa"/>
            <w:shd w:val="clear" w:color="auto" w:fill="1A1D5D"/>
            <w:noWrap/>
            <w:vAlign w:val="center"/>
            <w:hideMark/>
          </w:tcPr>
          <w:p w:rsidR="00B9660B" w:rsidRPr="00B9660B" w:rsidRDefault="00B9660B" w:rsidP="00336E76">
            <w:pPr>
              <w:keepNext/>
              <w:jc w:val="center"/>
              <w:rPr>
                <w:b/>
                <w:color w:val="FFFFFF" w:themeColor="background1"/>
                <w:sz w:val="20"/>
                <w:szCs w:val="20"/>
              </w:rPr>
            </w:pPr>
          </w:p>
        </w:tc>
      </w:tr>
      <w:tr w:rsidR="00B9660B" w:rsidRPr="00B9660B" w:rsidTr="00336E76">
        <w:trPr>
          <w:trHeight w:val="259"/>
          <w:tblHeader/>
        </w:trPr>
        <w:tc>
          <w:tcPr>
            <w:tcW w:w="1278" w:type="dxa"/>
            <w:shd w:val="clear" w:color="auto" w:fill="1A1D5D"/>
            <w:noWrap/>
            <w:vAlign w:val="bottom"/>
            <w:hideMark/>
          </w:tcPr>
          <w:p w:rsidR="00B9660B" w:rsidRPr="00B9660B" w:rsidRDefault="00B9660B" w:rsidP="00336E76">
            <w:pPr>
              <w:keepNext/>
              <w:rPr>
                <w:b/>
                <w:color w:val="FFFFFF" w:themeColor="background1"/>
                <w:sz w:val="20"/>
                <w:szCs w:val="20"/>
              </w:rPr>
            </w:pPr>
            <w:r w:rsidRPr="00B9660B">
              <w:rPr>
                <w:b/>
                <w:color w:val="FFFFFF" w:themeColor="background1"/>
                <w:sz w:val="20"/>
                <w:szCs w:val="20"/>
              </w:rPr>
              <w:t>Event</w:t>
            </w:r>
          </w:p>
        </w:tc>
        <w:tc>
          <w:tcPr>
            <w:tcW w:w="1137" w:type="dxa"/>
            <w:vMerge/>
            <w:shd w:val="clear" w:color="auto" w:fill="1A1D5D"/>
            <w:noWrap/>
            <w:vAlign w:val="bottom"/>
            <w:hideMark/>
          </w:tcPr>
          <w:p w:rsidR="00B9660B" w:rsidRPr="00B9660B" w:rsidRDefault="00B9660B" w:rsidP="00336E76">
            <w:pPr>
              <w:keepNext/>
              <w:jc w:val="center"/>
              <w:rPr>
                <w:b/>
                <w:color w:val="FFFFFF" w:themeColor="background1"/>
                <w:sz w:val="20"/>
                <w:szCs w:val="20"/>
              </w:rPr>
            </w:pPr>
          </w:p>
        </w:tc>
        <w:tc>
          <w:tcPr>
            <w:tcW w:w="1146" w:type="dxa"/>
            <w:vMerge/>
            <w:shd w:val="clear" w:color="auto" w:fill="1A1D5D"/>
          </w:tcPr>
          <w:p w:rsidR="00B9660B" w:rsidRPr="00B9660B" w:rsidRDefault="00B9660B" w:rsidP="00336E76">
            <w:pPr>
              <w:keepNext/>
              <w:jc w:val="right"/>
              <w:rPr>
                <w:b/>
                <w:color w:val="FFFFFF" w:themeColor="background1"/>
                <w:sz w:val="20"/>
                <w:szCs w:val="20"/>
              </w:rPr>
            </w:pPr>
          </w:p>
        </w:tc>
        <w:tc>
          <w:tcPr>
            <w:tcW w:w="1124" w:type="dxa"/>
            <w:shd w:val="clear" w:color="auto" w:fill="1A1D5D"/>
            <w:noWrap/>
            <w:vAlign w:val="bottom"/>
            <w:hideMark/>
          </w:tcPr>
          <w:p w:rsidR="00B9660B" w:rsidRPr="00B9660B" w:rsidRDefault="00B9660B" w:rsidP="00336E76">
            <w:pPr>
              <w:keepNext/>
              <w:jc w:val="right"/>
              <w:rPr>
                <w:b/>
                <w:color w:val="FFFFFF" w:themeColor="background1"/>
                <w:sz w:val="20"/>
                <w:szCs w:val="20"/>
              </w:rPr>
            </w:pPr>
            <w:r w:rsidRPr="00B9660B">
              <w:rPr>
                <w:b/>
                <w:color w:val="FFFFFF" w:themeColor="background1"/>
                <w:sz w:val="20"/>
                <w:szCs w:val="20"/>
              </w:rPr>
              <w:t>Reference Load</w:t>
            </w:r>
          </w:p>
        </w:tc>
        <w:tc>
          <w:tcPr>
            <w:tcW w:w="1124" w:type="dxa"/>
            <w:shd w:val="clear" w:color="auto" w:fill="1A1D5D"/>
            <w:noWrap/>
            <w:vAlign w:val="bottom"/>
            <w:hideMark/>
          </w:tcPr>
          <w:p w:rsidR="00B9660B" w:rsidRPr="00B9660B" w:rsidRDefault="00B9660B" w:rsidP="00336E76">
            <w:pPr>
              <w:keepNext/>
              <w:jc w:val="right"/>
              <w:rPr>
                <w:b/>
                <w:color w:val="FFFFFF" w:themeColor="background1"/>
                <w:sz w:val="20"/>
                <w:szCs w:val="20"/>
              </w:rPr>
            </w:pPr>
            <w:r w:rsidRPr="00B9660B">
              <w:rPr>
                <w:b/>
                <w:color w:val="FFFFFF" w:themeColor="background1"/>
                <w:sz w:val="20"/>
                <w:szCs w:val="20"/>
              </w:rPr>
              <w:t>Impact</w:t>
            </w:r>
          </w:p>
        </w:tc>
        <w:tc>
          <w:tcPr>
            <w:tcW w:w="1053" w:type="dxa"/>
            <w:shd w:val="clear" w:color="auto" w:fill="1A1D5D"/>
            <w:noWrap/>
            <w:vAlign w:val="bottom"/>
            <w:hideMark/>
          </w:tcPr>
          <w:p w:rsidR="00B9660B" w:rsidRPr="00B9660B" w:rsidRDefault="00B9660B" w:rsidP="00336E76">
            <w:pPr>
              <w:keepNext/>
              <w:jc w:val="right"/>
              <w:rPr>
                <w:b/>
                <w:color w:val="FFFFFF" w:themeColor="background1"/>
                <w:sz w:val="20"/>
                <w:szCs w:val="20"/>
              </w:rPr>
            </w:pPr>
            <w:r w:rsidRPr="00B9660B">
              <w:rPr>
                <w:b/>
                <w:color w:val="FFFFFF" w:themeColor="background1"/>
                <w:sz w:val="20"/>
                <w:szCs w:val="20"/>
              </w:rPr>
              <w:t>Reference Load</w:t>
            </w:r>
          </w:p>
        </w:tc>
        <w:tc>
          <w:tcPr>
            <w:tcW w:w="956" w:type="dxa"/>
            <w:shd w:val="clear" w:color="auto" w:fill="1A1D5D"/>
            <w:noWrap/>
            <w:vAlign w:val="bottom"/>
            <w:hideMark/>
          </w:tcPr>
          <w:p w:rsidR="00B9660B" w:rsidRPr="00B9660B" w:rsidRDefault="00B9660B" w:rsidP="00336E76">
            <w:pPr>
              <w:keepNext/>
              <w:jc w:val="right"/>
              <w:rPr>
                <w:b/>
                <w:color w:val="FFFFFF" w:themeColor="background1"/>
                <w:sz w:val="20"/>
                <w:szCs w:val="20"/>
              </w:rPr>
            </w:pPr>
            <w:r w:rsidRPr="00B9660B">
              <w:rPr>
                <w:b/>
                <w:color w:val="FFFFFF" w:themeColor="background1"/>
                <w:sz w:val="20"/>
                <w:szCs w:val="20"/>
              </w:rPr>
              <w:t>Impact</w:t>
            </w:r>
          </w:p>
        </w:tc>
        <w:tc>
          <w:tcPr>
            <w:tcW w:w="956" w:type="dxa"/>
            <w:shd w:val="clear" w:color="auto" w:fill="1A1D5D"/>
            <w:noWrap/>
            <w:vAlign w:val="bottom"/>
            <w:hideMark/>
          </w:tcPr>
          <w:p w:rsidR="00B9660B" w:rsidRPr="00B9660B" w:rsidRDefault="00B9660B" w:rsidP="00336E76">
            <w:pPr>
              <w:keepNext/>
              <w:jc w:val="right"/>
              <w:rPr>
                <w:b/>
                <w:color w:val="FFFFFF" w:themeColor="background1"/>
                <w:sz w:val="20"/>
                <w:szCs w:val="20"/>
              </w:rPr>
            </w:pPr>
            <w:r w:rsidRPr="00B9660B">
              <w:rPr>
                <w:b/>
                <w:color w:val="FFFFFF" w:themeColor="background1"/>
                <w:sz w:val="20"/>
                <w:szCs w:val="20"/>
              </w:rPr>
              <w:t>% Impact</w:t>
            </w:r>
          </w:p>
        </w:tc>
        <w:tc>
          <w:tcPr>
            <w:tcW w:w="802" w:type="dxa"/>
            <w:shd w:val="clear" w:color="auto" w:fill="1A1D5D"/>
            <w:noWrap/>
            <w:vAlign w:val="bottom"/>
            <w:hideMark/>
          </w:tcPr>
          <w:p w:rsidR="00B9660B" w:rsidRPr="00B9660B" w:rsidRDefault="00B9660B" w:rsidP="00336E76">
            <w:pPr>
              <w:keepNext/>
              <w:jc w:val="right"/>
              <w:rPr>
                <w:b/>
                <w:color w:val="FFFFFF" w:themeColor="background1"/>
                <w:sz w:val="20"/>
                <w:szCs w:val="20"/>
              </w:rPr>
            </w:pPr>
            <w:r w:rsidRPr="00B9660B">
              <w:rPr>
                <w:b/>
                <w:color w:val="FFFFFF" w:themeColor="background1"/>
                <w:sz w:val="20"/>
                <w:szCs w:val="20"/>
              </w:rPr>
              <w:t>Temp (˚F)</w:t>
            </w:r>
          </w:p>
        </w:tc>
      </w:tr>
      <w:tr w:rsidR="00B9660B" w:rsidRPr="00B9660B" w:rsidTr="00336E76">
        <w:trPr>
          <w:trHeight w:val="259"/>
          <w:tblHeader/>
        </w:trPr>
        <w:tc>
          <w:tcPr>
            <w:tcW w:w="1278" w:type="dxa"/>
            <w:shd w:val="clear" w:color="auto" w:fill="auto"/>
            <w:noWrap/>
            <w:vAlign w:val="center"/>
          </w:tcPr>
          <w:p w:rsidR="00B9660B" w:rsidRPr="00B9660B" w:rsidRDefault="00B9660B" w:rsidP="00336E76">
            <w:pPr>
              <w:keepNext/>
              <w:rPr>
                <w:sz w:val="20"/>
                <w:szCs w:val="20"/>
              </w:rPr>
            </w:pPr>
            <w:r w:rsidRPr="00B9660B">
              <w:rPr>
                <w:sz w:val="20"/>
                <w:szCs w:val="20"/>
              </w:rPr>
              <w:t>Avg. Event</w:t>
            </w:r>
          </w:p>
        </w:tc>
        <w:tc>
          <w:tcPr>
            <w:tcW w:w="1137" w:type="dxa"/>
            <w:shd w:val="clear" w:color="auto" w:fill="auto"/>
            <w:noWrap/>
            <w:vAlign w:val="center"/>
          </w:tcPr>
          <w:p w:rsidR="00B9660B" w:rsidRPr="00B9660B" w:rsidRDefault="00B9660B" w:rsidP="00336E76">
            <w:pPr>
              <w:keepNext/>
              <w:ind w:right="190"/>
              <w:jc w:val="right"/>
              <w:rPr>
                <w:sz w:val="20"/>
                <w:szCs w:val="20"/>
              </w:rPr>
            </w:pPr>
            <w:r w:rsidRPr="00B9660B">
              <w:rPr>
                <w:color w:val="000000"/>
                <w:sz w:val="20"/>
                <w:szCs w:val="20"/>
              </w:rPr>
              <w:t>122</w:t>
            </w:r>
          </w:p>
        </w:tc>
        <w:tc>
          <w:tcPr>
            <w:tcW w:w="1146" w:type="dxa"/>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shd w:val="clear" w:color="auto" w:fill="auto"/>
            <w:noWrap/>
            <w:vAlign w:val="center"/>
          </w:tcPr>
          <w:p w:rsidR="00B9660B" w:rsidRPr="00B9660B" w:rsidRDefault="00B9660B" w:rsidP="00336E76">
            <w:pPr>
              <w:keepNext/>
              <w:jc w:val="right"/>
              <w:rPr>
                <w:sz w:val="20"/>
                <w:szCs w:val="20"/>
              </w:rPr>
            </w:pPr>
            <w:r w:rsidRPr="00B9660B">
              <w:rPr>
                <w:color w:val="000000"/>
                <w:sz w:val="20"/>
                <w:szCs w:val="20"/>
              </w:rPr>
              <w:t>148.0</w:t>
            </w:r>
          </w:p>
        </w:tc>
        <w:tc>
          <w:tcPr>
            <w:tcW w:w="1124" w:type="dxa"/>
            <w:shd w:val="clear" w:color="auto" w:fill="auto"/>
            <w:noWrap/>
            <w:vAlign w:val="center"/>
          </w:tcPr>
          <w:p w:rsidR="00B9660B" w:rsidRPr="00B9660B" w:rsidRDefault="00B9660B" w:rsidP="00336E76">
            <w:pPr>
              <w:keepNext/>
              <w:jc w:val="right"/>
              <w:rPr>
                <w:sz w:val="20"/>
                <w:szCs w:val="20"/>
              </w:rPr>
            </w:pPr>
            <w:r w:rsidRPr="00B9660B">
              <w:rPr>
                <w:color w:val="000000"/>
                <w:sz w:val="20"/>
                <w:szCs w:val="20"/>
              </w:rPr>
              <w:t>64.1</w:t>
            </w:r>
          </w:p>
        </w:tc>
        <w:tc>
          <w:tcPr>
            <w:tcW w:w="1053" w:type="dxa"/>
            <w:shd w:val="clear" w:color="auto" w:fill="auto"/>
            <w:noWrap/>
            <w:vAlign w:val="center"/>
          </w:tcPr>
          <w:p w:rsidR="00B9660B" w:rsidRPr="00B9660B" w:rsidRDefault="00B9660B" w:rsidP="00336E76">
            <w:pPr>
              <w:keepNext/>
              <w:jc w:val="right"/>
              <w:rPr>
                <w:sz w:val="20"/>
                <w:szCs w:val="20"/>
              </w:rPr>
            </w:pPr>
            <w:r w:rsidRPr="00B9660B">
              <w:rPr>
                <w:color w:val="000000"/>
                <w:sz w:val="20"/>
                <w:szCs w:val="20"/>
              </w:rPr>
              <w:t>18.1</w:t>
            </w:r>
          </w:p>
        </w:tc>
        <w:tc>
          <w:tcPr>
            <w:tcW w:w="956" w:type="dxa"/>
            <w:shd w:val="clear" w:color="auto" w:fill="auto"/>
            <w:noWrap/>
            <w:vAlign w:val="center"/>
          </w:tcPr>
          <w:p w:rsidR="00B9660B" w:rsidRPr="00B9660B" w:rsidRDefault="00B9660B" w:rsidP="00336E76">
            <w:pPr>
              <w:keepNext/>
              <w:jc w:val="right"/>
              <w:rPr>
                <w:sz w:val="20"/>
                <w:szCs w:val="20"/>
              </w:rPr>
            </w:pPr>
            <w:r w:rsidRPr="00B9660B">
              <w:rPr>
                <w:color w:val="000000"/>
                <w:sz w:val="20"/>
                <w:szCs w:val="20"/>
              </w:rPr>
              <w:t>7.8</w:t>
            </w:r>
          </w:p>
        </w:tc>
        <w:tc>
          <w:tcPr>
            <w:tcW w:w="956" w:type="dxa"/>
            <w:shd w:val="clear" w:color="auto" w:fill="auto"/>
            <w:noWrap/>
            <w:vAlign w:val="center"/>
          </w:tcPr>
          <w:p w:rsidR="00B9660B" w:rsidRPr="00B9660B" w:rsidRDefault="00B9660B" w:rsidP="00336E76">
            <w:pPr>
              <w:keepNext/>
              <w:jc w:val="right"/>
              <w:rPr>
                <w:sz w:val="20"/>
                <w:szCs w:val="20"/>
              </w:rPr>
            </w:pPr>
            <w:r w:rsidRPr="00B9660B">
              <w:rPr>
                <w:color w:val="000000"/>
                <w:sz w:val="20"/>
                <w:szCs w:val="20"/>
              </w:rPr>
              <w:t>43%</w:t>
            </w:r>
          </w:p>
        </w:tc>
        <w:tc>
          <w:tcPr>
            <w:tcW w:w="802" w:type="dxa"/>
            <w:shd w:val="clear" w:color="auto" w:fill="auto"/>
            <w:noWrap/>
            <w:vAlign w:val="center"/>
          </w:tcPr>
          <w:p w:rsidR="00B9660B" w:rsidRPr="00B9660B" w:rsidRDefault="00B9660B" w:rsidP="00336E76">
            <w:pPr>
              <w:keepNext/>
              <w:jc w:val="right"/>
              <w:rPr>
                <w:sz w:val="20"/>
                <w:szCs w:val="20"/>
              </w:rPr>
            </w:pPr>
            <w:r w:rsidRPr="00B9660B">
              <w:rPr>
                <w:color w:val="000000"/>
                <w:sz w:val="20"/>
                <w:szCs w:val="20"/>
              </w:rPr>
              <w:t>80</w:t>
            </w:r>
          </w:p>
        </w:tc>
      </w:tr>
      <w:tr w:rsidR="00B9660B" w:rsidRPr="00B9660B" w:rsidTr="00336E76">
        <w:trPr>
          <w:trHeight w:val="259"/>
        </w:trPr>
        <w:tc>
          <w:tcPr>
            <w:tcW w:w="1278" w:type="dxa"/>
            <w:tcBorders>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5/1/2015</w:t>
            </w:r>
          </w:p>
        </w:tc>
        <w:tc>
          <w:tcPr>
            <w:tcW w:w="1137" w:type="dxa"/>
            <w:tcBorders>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123</w:t>
            </w:r>
          </w:p>
        </w:tc>
        <w:tc>
          <w:tcPr>
            <w:tcW w:w="1146" w:type="dxa"/>
            <w:tcBorders>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8.0</w:t>
            </w:r>
          </w:p>
        </w:tc>
        <w:tc>
          <w:tcPr>
            <w:tcW w:w="1124" w:type="dxa"/>
            <w:tcBorders>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202.2</w:t>
            </w:r>
          </w:p>
        </w:tc>
        <w:tc>
          <w:tcPr>
            <w:tcW w:w="1124" w:type="dxa"/>
            <w:tcBorders>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68.7</w:t>
            </w:r>
          </w:p>
        </w:tc>
        <w:tc>
          <w:tcPr>
            <w:tcW w:w="1053" w:type="dxa"/>
            <w:tcBorders>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24.9</w:t>
            </w:r>
          </w:p>
        </w:tc>
        <w:tc>
          <w:tcPr>
            <w:tcW w:w="956" w:type="dxa"/>
            <w:tcBorders>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8.5</w:t>
            </w:r>
          </w:p>
        </w:tc>
        <w:tc>
          <w:tcPr>
            <w:tcW w:w="956" w:type="dxa"/>
            <w:tcBorders>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34%</w:t>
            </w:r>
          </w:p>
        </w:tc>
        <w:tc>
          <w:tcPr>
            <w:tcW w:w="802" w:type="dxa"/>
            <w:tcBorders>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76</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6/9/2015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131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7.8</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195.5</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64.7</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25.6</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8.5</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33%</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70</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6/16/2015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131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7.8</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199.4</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69.5</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26.1</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9.1</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35%</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70</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6/17/2015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131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7.8</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200.6</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68.7</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26.3</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9.0</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34%</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73</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6/22/2015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131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7.8</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203.6</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66.1</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26.7</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8.7</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32%</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76</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6/24/2015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131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7.8</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204.4</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65.1</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26.8</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8.5</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32%</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75</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6/25/2015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131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7.8</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188.2</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64.2</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24.7</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8.4</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34%</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74</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6/26/2015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131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7.8</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187.0</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64.1</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24.5</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8.4</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34%</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73</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6/30/2015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131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7.8</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205.7</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65.1</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27.0</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8.5</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32%</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81</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7/1/2015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130</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7.9</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189.2</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62.8</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24.6</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8.2</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33%</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75</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7/16/2015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130</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7.9</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185.8</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65.5</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24.1</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8.5</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35%</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74</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7/28/2015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130</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7.9</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193.4</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64.7</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25.1</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8.4</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33%</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75</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7/30/2015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130</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7.9</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194.5</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61.9</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25.3</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8.0</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32%</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76</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7/31/2015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130</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7.9</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195.4</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62.7</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25.4</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8.1</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32%</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76</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8/6/2015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61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249.0</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130.6</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15.2</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8.0</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52%</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77</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8/11/2015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61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242.9</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137.0</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14.8</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8.4</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56%</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74</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8/12/2015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61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270.1</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148.7</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16.5</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9.1</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55%</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81</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8/13/2015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61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242.8</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129.1</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14.8</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7.9</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53%</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83</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8/21/2015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61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263.1</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137.2</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16.0</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8.4</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52%</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77</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8/25/2015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61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247.4</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130.8</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15.1</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8.0</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53%</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79</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8/26/2015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61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264.5</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127.7</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16.1</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7.8</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48%</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85</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8/27/2015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61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244.7</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125.3</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14.9</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7.6</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51%</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89</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8/28/2015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61</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260.8</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123.1</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15.9</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7.5</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47%</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91</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9/9/2015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59</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245.1</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124.2</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14.5</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7.3</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51%</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95</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9/10/2015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59</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231.9</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118.4</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13.7</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7.0</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51%</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91</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9/11/2015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59</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230.9</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121.1</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13.6</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7.1</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52%</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86</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9/23/2015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59</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236.1</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132.1</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13.9</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7.8</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56%</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79</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9/24/2015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59</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245.6</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131.5</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14.5</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7.8</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54%</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83</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9/25/2015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59</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238.9</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128.4</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14.1</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7.6</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54%</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84</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9/29/2015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59</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231.9</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132.1</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13.7</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7.8</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57%</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79</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9/30/2015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59</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7.3</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242.1</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134.1</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14.3</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7.9</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55%</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81</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sz w:val="20"/>
                <w:szCs w:val="20"/>
              </w:rPr>
            </w:pPr>
            <w:r w:rsidRPr="00B9660B">
              <w:rPr>
                <w:sz w:val="20"/>
                <w:szCs w:val="20"/>
              </w:rPr>
              <w:t>10/8/2015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sz w:val="20"/>
                <w:szCs w:val="20"/>
              </w:rPr>
            </w:pPr>
            <w:r w:rsidRPr="00B9660B">
              <w:rPr>
                <w:color w:val="000000"/>
                <w:sz w:val="20"/>
                <w:szCs w:val="20"/>
              </w:rPr>
              <w:t>58</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7.1</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234.2</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137.3</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13.6</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8.0</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59%</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sz w:val="20"/>
                <w:szCs w:val="20"/>
              </w:rPr>
            </w:pPr>
            <w:r w:rsidRPr="00B9660B">
              <w:rPr>
                <w:color w:val="000000"/>
                <w:sz w:val="20"/>
                <w:szCs w:val="20"/>
              </w:rPr>
              <w:t>81</w:t>
            </w:r>
          </w:p>
        </w:tc>
      </w:tr>
      <w:tr w:rsidR="00B9660B" w:rsidRPr="00B9660B" w:rsidTr="00336E76">
        <w:trPr>
          <w:trHeight w:val="259"/>
        </w:trPr>
        <w:tc>
          <w:tcPr>
            <w:tcW w:w="1278" w:type="dxa"/>
            <w:tcBorders>
              <w:top w:val="nil"/>
              <w:left w:val="nil"/>
              <w:bottom w:val="nil"/>
              <w:right w:val="nil"/>
            </w:tcBorders>
            <w:shd w:val="clear" w:color="auto" w:fill="auto"/>
            <w:noWrap/>
            <w:vAlign w:val="center"/>
          </w:tcPr>
          <w:p w:rsidR="00B9660B" w:rsidRPr="00B9660B" w:rsidRDefault="00B9660B" w:rsidP="00336E76">
            <w:pPr>
              <w:keepNext/>
              <w:rPr>
                <w:color w:val="000000"/>
                <w:sz w:val="20"/>
                <w:szCs w:val="20"/>
              </w:rPr>
            </w:pPr>
            <w:r w:rsidRPr="00B9660B">
              <w:rPr>
                <w:sz w:val="20"/>
                <w:szCs w:val="20"/>
              </w:rPr>
              <w:t>10/9/2015</w:t>
            </w:r>
          </w:p>
        </w:tc>
        <w:tc>
          <w:tcPr>
            <w:tcW w:w="1137" w:type="dxa"/>
            <w:tcBorders>
              <w:top w:val="nil"/>
              <w:left w:val="nil"/>
              <w:bottom w:val="nil"/>
              <w:right w:val="nil"/>
            </w:tcBorders>
            <w:shd w:val="clear" w:color="auto" w:fill="auto"/>
            <w:noWrap/>
            <w:vAlign w:val="center"/>
          </w:tcPr>
          <w:p w:rsidR="00B9660B" w:rsidRPr="00B9660B" w:rsidRDefault="00B9660B" w:rsidP="00336E76">
            <w:pPr>
              <w:keepNext/>
              <w:ind w:right="190"/>
              <w:jc w:val="right"/>
              <w:rPr>
                <w:color w:val="000000"/>
                <w:sz w:val="20"/>
                <w:szCs w:val="20"/>
              </w:rPr>
            </w:pPr>
            <w:r w:rsidRPr="00B9660B">
              <w:rPr>
                <w:color w:val="000000"/>
                <w:sz w:val="20"/>
                <w:szCs w:val="20"/>
              </w:rPr>
              <w:t>58</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7.1</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228.9</w:t>
            </w:r>
          </w:p>
        </w:tc>
        <w:tc>
          <w:tcPr>
            <w:tcW w:w="1124"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134.9</w:t>
            </w:r>
          </w:p>
        </w:tc>
        <w:tc>
          <w:tcPr>
            <w:tcW w:w="1053"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13.3</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7.8</w:t>
            </w:r>
          </w:p>
        </w:tc>
        <w:tc>
          <w:tcPr>
            <w:tcW w:w="956"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59%</w:t>
            </w:r>
          </w:p>
        </w:tc>
        <w:tc>
          <w:tcPr>
            <w:tcW w:w="802" w:type="dxa"/>
            <w:tcBorders>
              <w:top w:val="nil"/>
              <w:left w:val="nil"/>
              <w:bottom w:val="nil"/>
              <w:right w:val="nil"/>
            </w:tcBorders>
            <w:shd w:val="clear" w:color="auto" w:fill="auto"/>
            <w:noWrap/>
            <w:vAlign w:val="center"/>
          </w:tcPr>
          <w:p w:rsidR="00B9660B" w:rsidRPr="00B9660B" w:rsidRDefault="00B9660B" w:rsidP="00336E76">
            <w:pPr>
              <w:keepNext/>
              <w:jc w:val="right"/>
              <w:rPr>
                <w:color w:val="000000"/>
                <w:sz w:val="20"/>
                <w:szCs w:val="20"/>
              </w:rPr>
            </w:pPr>
            <w:r w:rsidRPr="00B9660B">
              <w:rPr>
                <w:color w:val="000000"/>
                <w:sz w:val="20"/>
                <w:szCs w:val="20"/>
              </w:rPr>
              <w:t>96</w:t>
            </w:r>
          </w:p>
        </w:tc>
      </w:tr>
      <w:tr w:rsidR="00B9660B" w:rsidRPr="00B9660B" w:rsidTr="00336E76">
        <w:trPr>
          <w:trHeight w:val="259"/>
        </w:trPr>
        <w:tc>
          <w:tcPr>
            <w:tcW w:w="1278" w:type="dxa"/>
            <w:tcBorders>
              <w:top w:val="nil"/>
              <w:left w:val="nil"/>
              <w:bottom w:val="nil"/>
              <w:right w:val="nil"/>
            </w:tcBorders>
            <w:shd w:val="clear" w:color="auto" w:fill="auto"/>
            <w:noWrap/>
            <w:vAlign w:val="center"/>
            <w:hideMark/>
          </w:tcPr>
          <w:p w:rsidR="00B9660B" w:rsidRPr="00B9660B" w:rsidRDefault="00B9660B" w:rsidP="00336E76">
            <w:pPr>
              <w:keepNext/>
              <w:rPr>
                <w:color w:val="000000"/>
                <w:sz w:val="20"/>
                <w:szCs w:val="20"/>
              </w:rPr>
            </w:pPr>
            <w:r w:rsidRPr="00B9660B">
              <w:rPr>
                <w:sz w:val="20"/>
                <w:szCs w:val="20"/>
              </w:rPr>
              <w:t>10/12/2015</w:t>
            </w:r>
          </w:p>
        </w:tc>
        <w:tc>
          <w:tcPr>
            <w:tcW w:w="1137" w:type="dxa"/>
            <w:tcBorders>
              <w:top w:val="nil"/>
              <w:left w:val="nil"/>
              <w:bottom w:val="nil"/>
              <w:right w:val="nil"/>
            </w:tcBorders>
            <w:shd w:val="clear" w:color="auto" w:fill="auto"/>
            <w:noWrap/>
            <w:vAlign w:val="center"/>
            <w:hideMark/>
          </w:tcPr>
          <w:p w:rsidR="00B9660B" w:rsidRPr="00B9660B" w:rsidRDefault="00B9660B" w:rsidP="00336E76">
            <w:pPr>
              <w:keepNext/>
              <w:ind w:right="190"/>
              <w:jc w:val="right"/>
              <w:rPr>
                <w:color w:val="000000"/>
                <w:sz w:val="20"/>
                <w:szCs w:val="20"/>
              </w:rPr>
            </w:pPr>
            <w:r w:rsidRPr="00B9660B">
              <w:rPr>
                <w:color w:val="000000"/>
                <w:sz w:val="20"/>
                <w:szCs w:val="20"/>
              </w:rPr>
              <w:t>58</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7.1</w:t>
            </w:r>
          </w:p>
        </w:tc>
        <w:tc>
          <w:tcPr>
            <w:tcW w:w="1124"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253.9</w:t>
            </w:r>
          </w:p>
        </w:tc>
        <w:tc>
          <w:tcPr>
            <w:tcW w:w="1124"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123.7</w:t>
            </w:r>
          </w:p>
        </w:tc>
        <w:tc>
          <w:tcPr>
            <w:tcW w:w="1053"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14.7</w:t>
            </w:r>
          </w:p>
        </w:tc>
        <w:tc>
          <w:tcPr>
            <w:tcW w:w="956"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7.2</w:t>
            </w:r>
          </w:p>
        </w:tc>
        <w:tc>
          <w:tcPr>
            <w:tcW w:w="956"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49%</w:t>
            </w:r>
          </w:p>
        </w:tc>
        <w:tc>
          <w:tcPr>
            <w:tcW w:w="802"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89</w:t>
            </w:r>
          </w:p>
        </w:tc>
      </w:tr>
      <w:tr w:rsidR="00B9660B" w:rsidRPr="00B9660B" w:rsidTr="00336E76">
        <w:trPr>
          <w:trHeight w:val="259"/>
        </w:trPr>
        <w:tc>
          <w:tcPr>
            <w:tcW w:w="1278" w:type="dxa"/>
            <w:tcBorders>
              <w:top w:val="nil"/>
              <w:left w:val="nil"/>
              <w:bottom w:val="nil"/>
              <w:right w:val="nil"/>
            </w:tcBorders>
            <w:shd w:val="clear" w:color="auto" w:fill="auto"/>
            <w:noWrap/>
            <w:vAlign w:val="center"/>
            <w:hideMark/>
          </w:tcPr>
          <w:p w:rsidR="00B9660B" w:rsidRPr="00B9660B" w:rsidRDefault="00B9660B" w:rsidP="00336E76">
            <w:pPr>
              <w:keepNext/>
              <w:rPr>
                <w:color w:val="000000"/>
                <w:sz w:val="20"/>
                <w:szCs w:val="20"/>
              </w:rPr>
            </w:pPr>
            <w:r w:rsidRPr="00B9660B">
              <w:rPr>
                <w:sz w:val="20"/>
                <w:szCs w:val="20"/>
              </w:rPr>
              <w:t>10/13/2015</w:t>
            </w:r>
          </w:p>
        </w:tc>
        <w:tc>
          <w:tcPr>
            <w:tcW w:w="1137" w:type="dxa"/>
            <w:tcBorders>
              <w:top w:val="nil"/>
              <w:left w:val="nil"/>
              <w:bottom w:val="nil"/>
              <w:right w:val="nil"/>
            </w:tcBorders>
            <w:shd w:val="clear" w:color="auto" w:fill="auto"/>
            <w:noWrap/>
            <w:vAlign w:val="center"/>
            <w:hideMark/>
          </w:tcPr>
          <w:p w:rsidR="00B9660B" w:rsidRPr="00B9660B" w:rsidRDefault="00B9660B" w:rsidP="00336E76">
            <w:pPr>
              <w:keepNext/>
              <w:ind w:right="190"/>
              <w:jc w:val="right"/>
              <w:rPr>
                <w:color w:val="000000"/>
                <w:sz w:val="20"/>
                <w:szCs w:val="20"/>
              </w:rPr>
            </w:pPr>
            <w:r w:rsidRPr="00B9660B">
              <w:rPr>
                <w:color w:val="000000"/>
                <w:sz w:val="20"/>
                <w:szCs w:val="20"/>
              </w:rPr>
              <w:t>58</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7.1</w:t>
            </w:r>
          </w:p>
        </w:tc>
        <w:tc>
          <w:tcPr>
            <w:tcW w:w="1124"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248.3</w:t>
            </w:r>
          </w:p>
        </w:tc>
        <w:tc>
          <w:tcPr>
            <w:tcW w:w="1124"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125.8</w:t>
            </w:r>
          </w:p>
        </w:tc>
        <w:tc>
          <w:tcPr>
            <w:tcW w:w="1053"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14.4</w:t>
            </w:r>
          </w:p>
        </w:tc>
        <w:tc>
          <w:tcPr>
            <w:tcW w:w="956"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7.3</w:t>
            </w:r>
          </w:p>
        </w:tc>
        <w:tc>
          <w:tcPr>
            <w:tcW w:w="956"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51%</w:t>
            </w:r>
          </w:p>
        </w:tc>
        <w:tc>
          <w:tcPr>
            <w:tcW w:w="802"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83</w:t>
            </w:r>
          </w:p>
        </w:tc>
      </w:tr>
      <w:tr w:rsidR="00B9660B" w:rsidRPr="00B9660B" w:rsidTr="00336E76">
        <w:trPr>
          <w:trHeight w:val="259"/>
        </w:trPr>
        <w:tc>
          <w:tcPr>
            <w:tcW w:w="1278" w:type="dxa"/>
            <w:tcBorders>
              <w:top w:val="nil"/>
              <w:left w:val="nil"/>
              <w:bottom w:val="nil"/>
              <w:right w:val="nil"/>
            </w:tcBorders>
            <w:shd w:val="clear" w:color="auto" w:fill="auto"/>
            <w:noWrap/>
            <w:vAlign w:val="center"/>
            <w:hideMark/>
          </w:tcPr>
          <w:p w:rsidR="00B9660B" w:rsidRPr="00B9660B" w:rsidRDefault="00B9660B" w:rsidP="00336E76">
            <w:pPr>
              <w:keepNext/>
              <w:rPr>
                <w:color w:val="000000"/>
                <w:sz w:val="20"/>
                <w:szCs w:val="20"/>
              </w:rPr>
            </w:pPr>
            <w:r w:rsidRPr="00B9660B">
              <w:rPr>
                <w:sz w:val="20"/>
                <w:szCs w:val="20"/>
              </w:rPr>
              <w:t>10/14/2015</w:t>
            </w:r>
          </w:p>
        </w:tc>
        <w:tc>
          <w:tcPr>
            <w:tcW w:w="1137" w:type="dxa"/>
            <w:tcBorders>
              <w:top w:val="nil"/>
              <w:left w:val="nil"/>
              <w:bottom w:val="nil"/>
              <w:right w:val="nil"/>
            </w:tcBorders>
            <w:shd w:val="clear" w:color="auto" w:fill="auto"/>
            <w:noWrap/>
            <w:vAlign w:val="center"/>
            <w:hideMark/>
          </w:tcPr>
          <w:p w:rsidR="00B9660B" w:rsidRPr="00B9660B" w:rsidRDefault="00B9660B" w:rsidP="00336E76">
            <w:pPr>
              <w:keepNext/>
              <w:ind w:right="190"/>
              <w:jc w:val="right"/>
              <w:rPr>
                <w:color w:val="000000"/>
                <w:sz w:val="20"/>
                <w:szCs w:val="20"/>
              </w:rPr>
            </w:pPr>
            <w:r w:rsidRPr="00B9660B">
              <w:rPr>
                <w:color w:val="000000"/>
                <w:sz w:val="20"/>
                <w:szCs w:val="20"/>
              </w:rPr>
              <w:t>58</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7.1</w:t>
            </w:r>
          </w:p>
        </w:tc>
        <w:tc>
          <w:tcPr>
            <w:tcW w:w="1124"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298.3</w:t>
            </w:r>
          </w:p>
        </w:tc>
        <w:tc>
          <w:tcPr>
            <w:tcW w:w="1124"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129.7</w:t>
            </w:r>
          </w:p>
        </w:tc>
        <w:tc>
          <w:tcPr>
            <w:tcW w:w="1053"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17.3</w:t>
            </w:r>
          </w:p>
        </w:tc>
        <w:tc>
          <w:tcPr>
            <w:tcW w:w="956"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7.5</w:t>
            </w:r>
          </w:p>
        </w:tc>
        <w:tc>
          <w:tcPr>
            <w:tcW w:w="956"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43%</w:t>
            </w:r>
          </w:p>
        </w:tc>
        <w:tc>
          <w:tcPr>
            <w:tcW w:w="802"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81</w:t>
            </w:r>
          </w:p>
        </w:tc>
      </w:tr>
      <w:tr w:rsidR="00B9660B" w:rsidRPr="00B9660B" w:rsidTr="00336E76">
        <w:trPr>
          <w:trHeight w:val="259"/>
        </w:trPr>
        <w:tc>
          <w:tcPr>
            <w:tcW w:w="1278" w:type="dxa"/>
            <w:tcBorders>
              <w:top w:val="nil"/>
              <w:left w:val="nil"/>
              <w:bottom w:val="nil"/>
              <w:right w:val="nil"/>
            </w:tcBorders>
            <w:shd w:val="clear" w:color="auto" w:fill="auto"/>
            <w:noWrap/>
            <w:vAlign w:val="center"/>
            <w:hideMark/>
          </w:tcPr>
          <w:p w:rsidR="00B9660B" w:rsidRPr="00B9660B" w:rsidRDefault="00B9660B" w:rsidP="00336E76">
            <w:pPr>
              <w:keepNext/>
              <w:rPr>
                <w:color w:val="000000"/>
                <w:sz w:val="20"/>
                <w:szCs w:val="20"/>
              </w:rPr>
            </w:pPr>
            <w:r w:rsidRPr="00B9660B">
              <w:rPr>
                <w:sz w:val="20"/>
                <w:szCs w:val="20"/>
              </w:rPr>
              <w:t>10/21/2015</w:t>
            </w:r>
          </w:p>
        </w:tc>
        <w:tc>
          <w:tcPr>
            <w:tcW w:w="1137" w:type="dxa"/>
            <w:tcBorders>
              <w:top w:val="nil"/>
              <w:left w:val="nil"/>
              <w:bottom w:val="nil"/>
              <w:right w:val="nil"/>
            </w:tcBorders>
            <w:shd w:val="clear" w:color="auto" w:fill="auto"/>
            <w:noWrap/>
            <w:vAlign w:val="center"/>
            <w:hideMark/>
          </w:tcPr>
          <w:p w:rsidR="00B9660B" w:rsidRPr="00B9660B" w:rsidRDefault="00B9660B" w:rsidP="00336E76">
            <w:pPr>
              <w:keepNext/>
              <w:ind w:right="190"/>
              <w:jc w:val="right"/>
              <w:rPr>
                <w:color w:val="000000"/>
                <w:sz w:val="20"/>
                <w:szCs w:val="20"/>
              </w:rPr>
            </w:pPr>
            <w:r w:rsidRPr="00B9660B">
              <w:rPr>
                <w:color w:val="000000"/>
                <w:sz w:val="20"/>
                <w:szCs w:val="20"/>
              </w:rPr>
              <w:t>58</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7.1</w:t>
            </w:r>
          </w:p>
        </w:tc>
        <w:tc>
          <w:tcPr>
            <w:tcW w:w="1124"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239.9</w:t>
            </w:r>
          </w:p>
        </w:tc>
        <w:tc>
          <w:tcPr>
            <w:tcW w:w="1124"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139.3</w:t>
            </w:r>
          </w:p>
        </w:tc>
        <w:tc>
          <w:tcPr>
            <w:tcW w:w="1053"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13.9</w:t>
            </w:r>
          </w:p>
        </w:tc>
        <w:tc>
          <w:tcPr>
            <w:tcW w:w="956"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8.1</w:t>
            </w:r>
          </w:p>
        </w:tc>
        <w:tc>
          <w:tcPr>
            <w:tcW w:w="956"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58%</w:t>
            </w:r>
          </w:p>
        </w:tc>
        <w:tc>
          <w:tcPr>
            <w:tcW w:w="802"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74</w:t>
            </w:r>
          </w:p>
        </w:tc>
      </w:tr>
      <w:tr w:rsidR="00B9660B" w:rsidRPr="00B9660B" w:rsidTr="00336E76">
        <w:trPr>
          <w:trHeight w:val="259"/>
        </w:trPr>
        <w:tc>
          <w:tcPr>
            <w:tcW w:w="1278" w:type="dxa"/>
            <w:tcBorders>
              <w:top w:val="nil"/>
              <w:left w:val="nil"/>
              <w:bottom w:val="nil"/>
              <w:right w:val="nil"/>
            </w:tcBorders>
            <w:shd w:val="clear" w:color="auto" w:fill="auto"/>
            <w:noWrap/>
            <w:vAlign w:val="center"/>
            <w:hideMark/>
          </w:tcPr>
          <w:p w:rsidR="00B9660B" w:rsidRPr="00B9660B" w:rsidRDefault="00B9660B" w:rsidP="00336E76">
            <w:pPr>
              <w:keepNext/>
              <w:rPr>
                <w:color w:val="000000"/>
                <w:sz w:val="20"/>
                <w:szCs w:val="20"/>
              </w:rPr>
            </w:pPr>
            <w:r w:rsidRPr="00B9660B">
              <w:rPr>
                <w:sz w:val="20"/>
                <w:szCs w:val="20"/>
              </w:rPr>
              <w:t>10/22/2015</w:t>
            </w:r>
          </w:p>
        </w:tc>
        <w:tc>
          <w:tcPr>
            <w:tcW w:w="1137" w:type="dxa"/>
            <w:tcBorders>
              <w:top w:val="nil"/>
              <w:left w:val="nil"/>
              <w:bottom w:val="nil"/>
              <w:right w:val="nil"/>
            </w:tcBorders>
            <w:shd w:val="clear" w:color="auto" w:fill="auto"/>
            <w:noWrap/>
            <w:vAlign w:val="center"/>
            <w:hideMark/>
          </w:tcPr>
          <w:p w:rsidR="00B9660B" w:rsidRPr="00B9660B" w:rsidRDefault="00B9660B" w:rsidP="00336E76">
            <w:pPr>
              <w:keepNext/>
              <w:ind w:right="190"/>
              <w:jc w:val="right"/>
              <w:rPr>
                <w:color w:val="000000"/>
                <w:sz w:val="20"/>
                <w:szCs w:val="20"/>
              </w:rPr>
            </w:pPr>
            <w:r w:rsidRPr="00B9660B">
              <w:rPr>
                <w:color w:val="000000"/>
                <w:sz w:val="20"/>
                <w:szCs w:val="20"/>
              </w:rPr>
              <w:t>58</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7.1</w:t>
            </w:r>
          </w:p>
        </w:tc>
        <w:tc>
          <w:tcPr>
            <w:tcW w:w="1124"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234.8</w:t>
            </w:r>
          </w:p>
        </w:tc>
        <w:tc>
          <w:tcPr>
            <w:tcW w:w="1124"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139.0</w:t>
            </w:r>
          </w:p>
        </w:tc>
        <w:tc>
          <w:tcPr>
            <w:tcW w:w="1053"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13.6</w:t>
            </w:r>
          </w:p>
        </w:tc>
        <w:tc>
          <w:tcPr>
            <w:tcW w:w="956"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8.1</w:t>
            </w:r>
          </w:p>
        </w:tc>
        <w:tc>
          <w:tcPr>
            <w:tcW w:w="956"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59%</w:t>
            </w:r>
          </w:p>
        </w:tc>
        <w:tc>
          <w:tcPr>
            <w:tcW w:w="802"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74</w:t>
            </w:r>
          </w:p>
        </w:tc>
      </w:tr>
      <w:tr w:rsidR="00B9660B" w:rsidRPr="00B9660B" w:rsidTr="00336E76">
        <w:trPr>
          <w:trHeight w:val="259"/>
        </w:trPr>
        <w:tc>
          <w:tcPr>
            <w:tcW w:w="1278" w:type="dxa"/>
            <w:tcBorders>
              <w:top w:val="nil"/>
              <w:left w:val="nil"/>
              <w:bottom w:val="nil"/>
              <w:right w:val="nil"/>
            </w:tcBorders>
            <w:shd w:val="clear" w:color="auto" w:fill="auto"/>
            <w:noWrap/>
            <w:vAlign w:val="center"/>
            <w:hideMark/>
          </w:tcPr>
          <w:p w:rsidR="00B9660B" w:rsidRPr="00B9660B" w:rsidRDefault="00B9660B" w:rsidP="00336E76">
            <w:pPr>
              <w:keepNext/>
              <w:rPr>
                <w:color w:val="000000"/>
                <w:sz w:val="20"/>
                <w:szCs w:val="20"/>
              </w:rPr>
            </w:pPr>
            <w:r w:rsidRPr="00B9660B">
              <w:rPr>
                <w:sz w:val="20"/>
                <w:szCs w:val="20"/>
              </w:rPr>
              <w:t>10/23/2015</w:t>
            </w:r>
          </w:p>
        </w:tc>
        <w:tc>
          <w:tcPr>
            <w:tcW w:w="1137" w:type="dxa"/>
            <w:tcBorders>
              <w:top w:val="nil"/>
              <w:left w:val="nil"/>
              <w:bottom w:val="nil"/>
              <w:right w:val="nil"/>
            </w:tcBorders>
            <w:shd w:val="clear" w:color="auto" w:fill="auto"/>
            <w:noWrap/>
            <w:vAlign w:val="center"/>
            <w:hideMark/>
          </w:tcPr>
          <w:p w:rsidR="00B9660B" w:rsidRPr="00B9660B" w:rsidRDefault="00B9660B" w:rsidP="00336E76">
            <w:pPr>
              <w:keepNext/>
              <w:ind w:right="190"/>
              <w:jc w:val="right"/>
              <w:rPr>
                <w:color w:val="000000"/>
                <w:sz w:val="20"/>
                <w:szCs w:val="20"/>
              </w:rPr>
            </w:pPr>
            <w:r w:rsidRPr="00B9660B">
              <w:rPr>
                <w:color w:val="000000"/>
                <w:sz w:val="20"/>
                <w:szCs w:val="20"/>
              </w:rPr>
              <w:t>58</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7.1</w:t>
            </w:r>
          </w:p>
        </w:tc>
        <w:tc>
          <w:tcPr>
            <w:tcW w:w="1124"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230.6</w:t>
            </w:r>
          </w:p>
        </w:tc>
        <w:tc>
          <w:tcPr>
            <w:tcW w:w="1124"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140.5</w:t>
            </w:r>
          </w:p>
        </w:tc>
        <w:tc>
          <w:tcPr>
            <w:tcW w:w="1053"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13.4</w:t>
            </w:r>
          </w:p>
        </w:tc>
        <w:tc>
          <w:tcPr>
            <w:tcW w:w="956"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8.2</w:t>
            </w:r>
          </w:p>
        </w:tc>
        <w:tc>
          <w:tcPr>
            <w:tcW w:w="956"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61%</w:t>
            </w:r>
          </w:p>
        </w:tc>
        <w:tc>
          <w:tcPr>
            <w:tcW w:w="802"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75</w:t>
            </w:r>
          </w:p>
        </w:tc>
      </w:tr>
      <w:tr w:rsidR="00B9660B" w:rsidRPr="00B9660B" w:rsidTr="00336E76">
        <w:trPr>
          <w:trHeight w:val="259"/>
        </w:trPr>
        <w:tc>
          <w:tcPr>
            <w:tcW w:w="1278" w:type="dxa"/>
            <w:tcBorders>
              <w:top w:val="nil"/>
              <w:left w:val="nil"/>
              <w:bottom w:val="nil"/>
              <w:right w:val="nil"/>
            </w:tcBorders>
            <w:shd w:val="clear" w:color="auto" w:fill="auto"/>
            <w:noWrap/>
            <w:vAlign w:val="center"/>
            <w:hideMark/>
          </w:tcPr>
          <w:p w:rsidR="00B9660B" w:rsidRPr="00B9660B" w:rsidRDefault="00B9660B" w:rsidP="00336E76">
            <w:pPr>
              <w:keepNext/>
              <w:rPr>
                <w:color w:val="000000"/>
                <w:sz w:val="20"/>
                <w:szCs w:val="20"/>
              </w:rPr>
            </w:pPr>
            <w:r w:rsidRPr="00B9660B">
              <w:rPr>
                <w:sz w:val="20"/>
                <w:szCs w:val="20"/>
              </w:rPr>
              <w:t>10/27/2015</w:t>
            </w:r>
          </w:p>
        </w:tc>
        <w:tc>
          <w:tcPr>
            <w:tcW w:w="1137" w:type="dxa"/>
            <w:tcBorders>
              <w:top w:val="nil"/>
              <w:left w:val="nil"/>
              <w:bottom w:val="nil"/>
              <w:right w:val="nil"/>
            </w:tcBorders>
            <w:shd w:val="clear" w:color="auto" w:fill="auto"/>
            <w:noWrap/>
            <w:vAlign w:val="center"/>
            <w:hideMark/>
          </w:tcPr>
          <w:p w:rsidR="00B9660B" w:rsidRPr="00B9660B" w:rsidRDefault="00B9660B" w:rsidP="00336E76">
            <w:pPr>
              <w:keepNext/>
              <w:ind w:right="190"/>
              <w:jc w:val="right"/>
              <w:rPr>
                <w:color w:val="000000"/>
                <w:sz w:val="20"/>
                <w:szCs w:val="20"/>
              </w:rPr>
            </w:pPr>
            <w:r w:rsidRPr="00B9660B">
              <w:rPr>
                <w:color w:val="000000"/>
                <w:sz w:val="20"/>
                <w:szCs w:val="20"/>
              </w:rPr>
              <w:t>58</w:t>
            </w:r>
          </w:p>
        </w:tc>
        <w:tc>
          <w:tcPr>
            <w:tcW w:w="1146" w:type="dxa"/>
            <w:tcBorders>
              <w:top w:val="nil"/>
              <w:left w:val="nil"/>
              <w:bottom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7.1</w:t>
            </w:r>
          </w:p>
        </w:tc>
        <w:tc>
          <w:tcPr>
            <w:tcW w:w="1124"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227.8</w:t>
            </w:r>
          </w:p>
        </w:tc>
        <w:tc>
          <w:tcPr>
            <w:tcW w:w="1124"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138.5</w:t>
            </w:r>
          </w:p>
        </w:tc>
        <w:tc>
          <w:tcPr>
            <w:tcW w:w="1053"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13.2</w:t>
            </w:r>
          </w:p>
        </w:tc>
        <w:tc>
          <w:tcPr>
            <w:tcW w:w="956"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8.0</w:t>
            </w:r>
          </w:p>
        </w:tc>
        <w:tc>
          <w:tcPr>
            <w:tcW w:w="956"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61%</w:t>
            </w:r>
          </w:p>
        </w:tc>
        <w:tc>
          <w:tcPr>
            <w:tcW w:w="802"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78</w:t>
            </w:r>
          </w:p>
        </w:tc>
      </w:tr>
      <w:tr w:rsidR="00B9660B" w:rsidRPr="00B9660B" w:rsidTr="00336E76">
        <w:trPr>
          <w:trHeight w:val="259"/>
        </w:trPr>
        <w:tc>
          <w:tcPr>
            <w:tcW w:w="1278" w:type="dxa"/>
            <w:tcBorders>
              <w:top w:val="nil"/>
              <w:left w:val="nil"/>
              <w:right w:val="nil"/>
            </w:tcBorders>
            <w:shd w:val="clear" w:color="auto" w:fill="auto"/>
            <w:noWrap/>
            <w:vAlign w:val="center"/>
            <w:hideMark/>
          </w:tcPr>
          <w:p w:rsidR="00B9660B" w:rsidRPr="00B9660B" w:rsidRDefault="00B9660B" w:rsidP="00336E76">
            <w:pPr>
              <w:keepNext/>
              <w:rPr>
                <w:color w:val="000000"/>
                <w:sz w:val="20"/>
                <w:szCs w:val="20"/>
              </w:rPr>
            </w:pPr>
            <w:r w:rsidRPr="00B9660B">
              <w:rPr>
                <w:sz w:val="20"/>
                <w:szCs w:val="20"/>
              </w:rPr>
              <w:t>10/28/2015</w:t>
            </w:r>
          </w:p>
        </w:tc>
        <w:tc>
          <w:tcPr>
            <w:tcW w:w="1137" w:type="dxa"/>
            <w:tcBorders>
              <w:top w:val="nil"/>
              <w:left w:val="nil"/>
              <w:right w:val="nil"/>
            </w:tcBorders>
            <w:shd w:val="clear" w:color="auto" w:fill="auto"/>
            <w:noWrap/>
            <w:vAlign w:val="center"/>
            <w:hideMark/>
          </w:tcPr>
          <w:p w:rsidR="00B9660B" w:rsidRPr="00B9660B" w:rsidRDefault="00B9660B" w:rsidP="00336E76">
            <w:pPr>
              <w:keepNext/>
              <w:ind w:right="190"/>
              <w:jc w:val="right"/>
              <w:rPr>
                <w:color w:val="000000"/>
                <w:sz w:val="20"/>
                <w:szCs w:val="20"/>
              </w:rPr>
            </w:pPr>
            <w:r w:rsidRPr="00B9660B">
              <w:rPr>
                <w:color w:val="000000"/>
                <w:sz w:val="20"/>
                <w:szCs w:val="20"/>
              </w:rPr>
              <w:t>58</w:t>
            </w:r>
          </w:p>
        </w:tc>
        <w:tc>
          <w:tcPr>
            <w:tcW w:w="1146" w:type="dxa"/>
            <w:tcBorders>
              <w:top w:val="nil"/>
              <w:left w:val="nil"/>
              <w:right w:val="nil"/>
            </w:tcBorders>
            <w:shd w:val="clear" w:color="auto" w:fill="auto"/>
            <w:vAlign w:val="center"/>
          </w:tcPr>
          <w:p w:rsidR="00B9660B" w:rsidRPr="00B9660B" w:rsidRDefault="00B9660B" w:rsidP="00336E76">
            <w:pPr>
              <w:keepNext/>
              <w:jc w:val="center"/>
              <w:rPr>
                <w:color w:val="000000"/>
                <w:sz w:val="20"/>
                <w:szCs w:val="20"/>
              </w:rPr>
            </w:pPr>
            <w:r w:rsidRPr="00B9660B">
              <w:rPr>
                <w:color w:val="000000"/>
                <w:sz w:val="20"/>
                <w:szCs w:val="20"/>
              </w:rPr>
              <w:t>7.1</w:t>
            </w:r>
          </w:p>
        </w:tc>
        <w:tc>
          <w:tcPr>
            <w:tcW w:w="1124"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229.6</w:t>
            </w:r>
          </w:p>
        </w:tc>
        <w:tc>
          <w:tcPr>
            <w:tcW w:w="1124"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141.4</w:t>
            </w:r>
          </w:p>
        </w:tc>
        <w:tc>
          <w:tcPr>
            <w:tcW w:w="1053"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13.3</w:t>
            </w:r>
          </w:p>
        </w:tc>
        <w:tc>
          <w:tcPr>
            <w:tcW w:w="956"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8.2</w:t>
            </w:r>
          </w:p>
        </w:tc>
        <w:tc>
          <w:tcPr>
            <w:tcW w:w="956" w:type="dxa"/>
            <w:tcBorders>
              <w:top w:val="nil"/>
              <w:left w:val="nil"/>
              <w:bottom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62%</w:t>
            </w:r>
          </w:p>
        </w:tc>
        <w:tc>
          <w:tcPr>
            <w:tcW w:w="802" w:type="dxa"/>
            <w:tcBorders>
              <w:top w:val="nil"/>
              <w:left w:val="nil"/>
              <w:right w:val="nil"/>
            </w:tcBorders>
            <w:shd w:val="clear" w:color="auto" w:fill="auto"/>
            <w:noWrap/>
            <w:vAlign w:val="center"/>
            <w:hideMark/>
          </w:tcPr>
          <w:p w:rsidR="00B9660B" w:rsidRPr="00B9660B" w:rsidRDefault="00B9660B" w:rsidP="00336E76">
            <w:pPr>
              <w:keepNext/>
              <w:jc w:val="right"/>
              <w:rPr>
                <w:color w:val="000000"/>
                <w:sz w:val="20"/>
                <w:szCs w:val="20"/>
              </w:rPr>
            </w:pPr>
            <w:r w:rsidRPr="00B9660B">
              <w:rPr>
                <w:color w:val="000000"/>
                <w:sz w:val="20"/>
                <w:szCs w:val="20"/>
              </w:rPr>
              <w:t>76</w:t>
            </w:r>
          </w:p>
        </w:tc>
      </w:tr>
      <w:tr w:rsidR="00B9660B" w:rsidRPr="00B9660B" w:rsidTr="00336E76">
        <w:trPr>
          <w:trHeight w:val="259"/>
        </w:trPr>
        <w:tc>
          <w:tcPr>
            <w:tcW w:w="1278"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rPr>
                <w:color w:val="000000"/>
                <w:sz w:val="20"/>
                <w:szCs w:val="20"/>
              </w:rPr>
            </w:pPr>
            <w:r w:rsidRPr="00B9660B">
              <w:rPr>
                <w:sz w:val="20"/>
                <w:szCs w:val="20"/>
              </w:rPr>
              <w:t>10/30/2015</w:t>
            </w:r>
          </w:p>
        </w:tc>
        <w:tc>
          <w:tcPr>
            <w:tcW w:w="1137"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ind w:right="190"/>
              <w:jc w:val="right"/>
              <w:rPr>
                <w:color w:val="000000"/>
                <w:sz w:val="20"/>
                <w:szCs w:val="20"/>
              </w:rPr>
            </w:pPr>
            <w:r w:rsidRPr="00B9660B">
              <w:rPr>
                <w:color w:val="000000"/>
                <w:sz w:val="20"/>
                <w:szCs w:val="20"/>
              </w:rPr>
              <w:t>58</w:t>
            </w:r>
          </w:p>
        </w:tc>
        <w:tc>
          <w:tcPr>
            <w:tcW w:w="1146" w:type="dxa"/>
            <w:tcBorders>
              <w:top w:val="nil"/>
              <w:left w:val="nil"/>
              <w:bottom w:val="single" w:sz="4" w:space="0" w:color="7F7F7F" w:themeColor="text1" w:themeTint="80"/>
              <w:right w:val="nil"/>
            </w:tcBorders>
            <w:shd w:val="clear" w:color="auto" w:fill="auto"/>
            <w:vAlign w:val="center"/>
          </w:tcPr>
          <w:p w:rsidR="00B9660B" w:rsidRPr="00B9660B" w:rsidRDefault="00B9660B" w:rsidP="00336E76">
            <w:pPr>
              <w:jc w:val="center"/>
              <w:rPr>
                <w:color w:val="000000"/>
                <w:sz w:val="20"/>
                <w:szCs w:val="20"/>
              </w:rPr>
            </w:pPr>
            <w:r w:rsidRPr="00B9660B">
              <w:rPr>
                <w:color w:val="000000"/>
                <w:sz w:val="20"/>
                <w:szCs w:val="20"/>
              </w:rPr>
              <w:t>7.1</w:t>
            </w:r>
          </w:p>
        </w:tc>
        <w:tc>
          <w:tcPr>
            <w:tcW w:w="1124"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color w:val="000000"/>
                <w:sz w:val="20"/>
                <w:szCs w:val="20"/>
              </w:rPr>
              <w:t>92.1</w:t>
            </w:r>
          </w:p>
        </w:tc>
        <w:tc>
          <w:tcPr>
            <w:tcW w:w="1124"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color w:val="000000"/>
                <w:sz w:val="20"/>
                <w:szCs w:val="20"/>
              </w:rPr>
              <w:t>4.7</w:t>
            </w:r>
          </w:p>
        </w:tc>
        <w:tc>
          <w:tcPr>
            <w:tcW w:w="1053"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color w:val="000000"/>
                <w:sz w:val="20"/>
                <w:szCs w:val="20"/>
              </w:rPr>
              <w:t>5.3</w:t>
            </w:r>
          </w:p>
        </w:tc>
        <w:tc>
          <w:tcPr>
            <w:tcW w:w="956"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color w:val="000000"/>
                <w:sz w:val="20"/>
                <w:szCs w:val="20"/>
              </w:rPr>
              <w:t>0.3</w:t>
            </w:r>
          </w:p>
        </w:tc>
        <w:tc>
          <w:tcPr>
            <w:tcW w:w="956"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color w:val="000000"/>
                <w:sz w:val="20"/>
                <w:szCs w:val="20"/>
              </w:rPr>
              <w:t>5%</w:t>
            </w:r>
          </w:p>
        </w:tc>
        <w:tc>
          <w:tcPr>
            <w:tcW w:w="802" w:type="dxa"/>
            <w:tcBorders>
              <w:top w:val="nil"/>
              <w:left w:val="nil"/>
              <w:bottom w:val="single" w:sz="4" w:space="0" w:color="7F7F7F" w:themeColor="text1" w:themeTint="80"/>
              <w:right w:val="nil"/>
            </w:tcBorders>
            <w:shd w:val="clear" w:color="auto" w:fill="auto"/>
            <w:noWrap/>
            <w:vAlign w:val="center"/>
            <w:hideMark/>
          </w:tcPr>
          <w:p w:rsidR="00B9660B" w:rsidRPr="00B9660B" w:rsidRDefault="00B9660B" w:rsidP="00336E76">
            <w:pPr>
              <w:jc w:val="right"/>
              <w:rPr>
                <w:color w:val="000000"/>
                <w:sz w:val="20"/>
                <w:szCs w:val="20"/>
              </w:rPr>
            </w:pPr>
            <w:r w:rsidRPr="00B9660B">
              <w:rPr>
                <w:color w:val="000000"/>
                <w:sz w:val="20"/>
                <w:szCs w:val="20"/>
              </w:rPr>
              <w:t>78</w:t>
            </w:r>
          </w:p>
        </w:tc>
      </w:tr>
    </w:tbl>
    <w:p w:rsidR="00B9660B" w:rsidRPr="00B9660B" w:rsidRDefault="00B9660B" w:rsidP="00B9660B">
      <w:pPr>
        <w:pStyle w:val="BodyText"/>
        <w:rPr>
          <w:sz w:val="20"/>
          <w:szCs w:val="20"/>
        </w:rPr>
      </w:pPr>
    </w:p>
    <w:p w:rsidR="00ED7741" w:rsidRPr="00252370" w:rsidRDefault="00ED7741" w:rsidP="00922C3B">
      <w:pPr>
        <w:pStyle w:val="Heading2"/>
        <w:spacing w:after="0" w:line="276" w:lineRule="auto"/>
        <w:rPr>
          <w:rFonts w:ascii="Times New Roman" w:hAnsi="Times New Roman" w:cs="Times New Roman"/>
          <w:color w:val="000000" w:themeColor="text1"/>
          <w:szCs w:val="24"/>
        </w:rPr>
      </w:pPr>
      <w:bookmarkStart w:id="54" w:name="_Toc447179768"/>
      <w:r w:rsidRPr="00252370">
        <w:rPr>
          <w:rFonts w:ascii="Times New Roman" w:hAnsi="Times New Roman" w:cs="Times New Roman"/>
          <w:color w:val="000000" w:themeColor="text1"/>
          <w:szCs w:val="24"/>
        </w:rPr>
        <w:lastRenderedPageBreak/>
        <w:t xml:space="preserve">CBP Ex-Ante </w:t>
      </w:r>
      <w:bookmarkEnd w:id="43"/>
      <w:bookmarkEnd w:id="44"/>
      <w:bookmarkEnd w:id="45"/>
      <w:bookmarkEnd w:id="46"/>
      <w:bookmarkEnd w:id="47"/>
      <w:r w:rsidR="0091679A" w:rsidRPr="00252370">
        <w:rPr>
          <w:rFonts w:ascii="Times New Roman" w:hAnsi="Times New Roman" w:cs="Times New Roman"/>
          <w:color w:val="000000" w:themeColor="text1"/>
          <w:szCs w:val="24"/>
        </w:rPr>
        <w:t>Evaluation Methodology</w:t>
      </w:r>
      <w:bookmarkEnd w:id="54"/>
    </w:p>
    <w:p w:rsidR="00ED7741" w:rsidRPr="00252370" w:rsidRDefault="00ED7741" w:rsidP="00922C3B">
      <w:pPr>
        <w:spacing w:line="276" w:lineRule="auto"/>
        <w:rPr>
          <w:color w:val="000000" w:themeColor="text1"/>
        </w:rPr>
      </w:pPr>
    </w:p>
    <w:p w:rsidR="00E61574" w:rsidRPr="008227A8" w:rsidRDefault="00E61574" w:rsidP="00B073DC">
      <w:pPr>
        <w:pStyle w:val="BodyText"/>
        <w:spacing w:after="0" w:line="276" w:lineRule="auto"/>
        <w:ind w:firstLine="360"/>
        <w:rPr>
          <w:color w:val="000000" w:themeColor="text1"/>
        </w:rPr>
      </w:pPr>
      <w:r w:rsidRPr="008227A8">
        <w:rPr>
          <w:color w:val="000000" w:themeColor="text1"/>
        </w:rPr>
        <w:t xml:space="preserve">The main goal of the ex-ante analysis is to produce an annual ten-year forecast of the load impacts expected from CBP programs. </w:t>
      </w:r>
    </w:p>
    <w:p w:rsidR="00E61574" w:rsidRPr="008227A8" w:rsidRDefault="00E61574" w:rsidP="00B073DC">
      <w:pPr>
        <w:pStyle w:val="BodyText"/>
        <w:spacing w:after="0" w:line="276" w:lineRule="auto"/>
        <w:ind w:firstLine="360"/>
        <w:rPr>
          <w:color w:val="000000" w:themeColor="text1"/>
        </w:rPr>
      </w:pPr>
      <w:r w:rsidRPr="008227A8">
        <w:rPr>
          <w:color w:val="000000" w:themeColor="text1"/>
        </w:rPr>
        <w:t>AEG developed the ex-ante forecasts using the following steps:</w:t>
      </w:r>
    </w:p>
    <w:p w:rsidR="00E61574" w:rsidRPr="008227A8" w:rsidRDefault="00E61574" w:rsidP="003562F8">
      <w:pPr>
        <w:pStyle w:val="BulletedList0"/>
        <w:numPr>
          <w:ilvl w:val="0"/>
          <w:numId w:val="19"/>
        </w:numPr>
        <w:tabs>
          <w:tab w:val="clear" w:pos="360"/>
          <w:tab w:val="num" w:pos="540"/>
        </w:tabs>
        <w:spacing w:after="0" w:line="276" w:lineRule="auto"/>
        <w:ind w:left="0" w:firstLine="360"/>
        <w:contextualSpacing w:val="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AEG first provided the IOUs with the appropriate weather-adjusted, per-customer impacts for each year of the forecast and each subgroup.</w:t>
      </w:r>
    </w:p>
    <w:p w:rsidR="00E61574" w:rsidRPr="008227A8" w:rsidRDefault="00E61574" w:rsidP="003562F8">
      <w:pPr>
        <w:pStyle w:val="BulletedList0"/>
        <w:numPr>
          <w:ilvl w:val="0"/>
          <w:numId w:val="19"/>
        </w:numPr>
        <w:tabs>
          <w:tab w:val="clear" w:pos="360"/>
          <w:tab w:val="num" w:pos="540"/>
        </w:tabs>
        <w:spacing w:after="0" w:line="276" w:lineRule="auto"/>
        <w:ind w:left="0" w:firstLine="360"/>
        <w:contextualSpacing w:val="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 xml:space="preserve">The IOUs used the per-customer impacts, along with contractual MW agreements and adjustments based on actual load reduction performance, to determine the enrollment forecasts. </w:t>
      </w:r>
    </w:p>
    <w:p w:rsidR="00E61574" w:rsidRPr="008227A8" w:rsidRDefault="00E61574" w:rsidP="003562F8">
      <w:pPr>
        <w:pStyle w:val="BulletedList0"/>
        <w:numPr>
          <w:ilvl w:val="0"/>
          <w:numId w:val="19"/>
        </w:numPr>
        <w:tabs>
          <w:tab w:val="clear" w:pos="360"/>
          <w:tab w:val="num" w:pos="540"/>
        </w:tabs>
        <w:spacing w:after="0" w:line="276" w:lineRule="auto"/>
        <w:ind w:left="0" w:firstLine="360"/>
        <w:contextualSpacing w:val="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AEG then used the enrollment forecasts and the per-customer ex-ante impacts to develop the 10-year annual load impact forecasts for the participant populations and subgroups.</w:t>
      </w:r>
    </w:p>
    <w:p w:rsidR="003A0841" w:rsidRPr="008227A8" w:rsidRDefault="003A0841" w:rsidP="00B073DC">
      <w:pPr>
        <w:pStyle w:val="BodyText"/>
        <w:spacing w:after="0" w:line="276" w:lineRule="auto"/>
        <w:ind w:firstLine="360"/>
        <w:rPr>
          <w:color w:val="000000" w:themeColor="text1"/>
        </w:rPr>
      </w:pPr>
    </w:p>
    <w:p w:rsidR="00E61574" w:rsidRPr="00493A8A" w:rsidRDefault="00A7376E" w:rsidP="00B073DC">
      <w:pPr>
        <w:pStyle w:val="BodyText"/>
        <w:spacing w:after="0" w:line="276" w:lineRule="auto"/>
        <w:ind w:firstLine="360"/>
        <w:rPr>
          <w:color w:val="000000" w:themeColor="text1"/>
        </w:rPr>
      </w:pPr>
      <w:r w:rsidRPr="00A7376E">
        <w:rPr>
          <w:color w:val="000000" w:themeColor="text1"/>
          <w:sz w:val="22"/>
          <w:szCs w:val="22"/>
        </w:rPr>
        <w:t>Figure 2-2</w:t>
      </w:r>
      <w:r w:rsidR="00E61574" w:rsidRPr="00A7376E">
        <w:rPr>
          <w:color w:val="000000" w:themeColor="text1"/>
          <w:sz w:val="22"/>
          <w:szCs w:val="22"/>
        </w:rPr>
        <w:fldChar w:fldCharType="begin"/>
      </w:r>
      <w:r w:rsidR="00E61574" w:rsidRPr="00A7376E">
        <w:rPr>
          <w:color w:val="000000" w:themeColor="text1"/>
          <w:sz w:val="22"/>
          <w:szCs w:val="22"/>
        </w:rPr>
        <w:instrText xml:space="preserve"> REF _Ref443122668  \* MERGEFORMAT </w:instrText>
      </w:r>
      <w:r w:rsidR="00E61574" w:rsidRPr="00A7376E">
        <w:rPr>
          <w:color w:val="000000" w:themeColor="text1"/>
          <w:sz w:val="22"/>
          <w:szCs w:val="22"/>
        </w:rPr>
        <w:fldChar w:fldCharType="end"/>
      </w:r>
      <w:r w:rsidR="00E61574" w:rsidRPr="008227A8">
        <w:rPr>
          <w:color w:val="000000" w:themeColor="text1"/>
        </w:rPr>
        <w:t xml:space="preserve"> provides an overview of the ex-ante analysis approach which includes four basic steps after assembling the required data: 1) prediction of weather-adjusted impacts for each customer; 2) generation of per-customer average impacts by subgroup; 3) creation of annual load impact forecasts over the next 10 years; and 4) an assessment of uncertainty and the development of confidence intervals.</w:t>
      </w:r>
    </w:p>
    <w:p w:rsidR="00E61574" w:rsidRPr="00D8760E" w:rsidRDefault="00E61574" w:rsidP="00E61574">
      <w:pPr>
        <w:pStyle w:val="FigureCaption"/>
        <w:rPr>
          <w:sz w:val="22"/>
          <w:szCs w:val="22"/>
        </w:rPr>
      </w:pPr>
      <w:bookmarkStart w:id="55" w:name="_Ref443122668"/>
      <w:bookmarkStart w:id="56" w:name="_Toc445127039"/>
      <w:r w:rsidRPr="00D8760E">
        <w:rPr>
          <w:sz w:val="22"/>
          <w:szCs w:val="22"/>
        </w:rPr>
        <w:t>Figure 2</w:t>
      </w:r>
      <w:r w:rsidRPr="00D8760E">
        <w:rPr>
          <w:sz w:val="22"/>
          <w:szCs w:val="22"/>
        </w:rPr>
        <w:noBreakHyphen/>
      </w:r>
      <w:r w:rsidRPr="00D8760E">
        <w:rPr>
          <w:sz w:val="22"/>
          <w:szCs w:val="22"/>
        </w:rPr>
        <w:fldChar w:fldCharType="begin"/>
      </w:r>
      <w:r w:rsidRPr="00D8760E">
        <w:rPr>
          <w:sz w:val="22"/>
          <w:szCs w:val="22"/>
        </w:rPr>
        <w:instrText xml:space="preserve"> SEQ Figure \* ARABIC \s 1 </w:instrText>
      </w:r>
      <w:r w:rsidRPr="00D8760E">
        <w:rPr>
          <w:sz w:val="22"/>
          <w:szCs w:val="22"/>
        </w:rPr>
        <w:fldChar w:fldCharType="separate"/>
      </w:r>
      <w:r w:rsidR="008A6A2B">
        <w:rPr>
          <w:noProof/>
          <w:sz w:val="22"/>
          <w:szCs w:val="22"/>
        </w:rPr>
        <w:t>2</w:t>
      </w:r>
      <w:r w:rsidRPr="00D8760E">
        <w:rPr>
          <w:noProof/>
          <w:sz w:val="22"/>
          <w:szCs w:val="22"/>
        </w:rPr>
        <w:fldChar w:fldCharType="end"/>
      </w:r>
      <w:bookmarkEnd w:id="55"/>
      <w:r w:rsidRPr="00D8760E">
        <w:rPr>
          <w:sz w:val="22"/>
          <w:szCs w:val="22"/>
        </w:rPr>
        <w:tab/>
        <w:t>Ex-Ante Analysis Approach</w:t>
      </w:r>
      <w:bookmarkEnd w:id="56"/>
    </w:p>
    <w:p w:rsidR="00E61574" w:rsidRDefault="00E61574" w:rsidP="00742190">
      <w:pPr>
        <w:pStyle w:val="BodyText"/>
        <w:spacing w:after="0" w:line="720" w:lineRule="auto"/>
        <w:jc w:val="center"/>
      </w:pPr>
      <w:r>
        <w:rPr>
          <w:noProof/>
        </w:rPr>
        <w:drawing>
          <wp:inline distT="0" distB="0" distL="0" distR="0" wp14:anchorId="7599D382" wp14:editId="295408A8">
            <wp:extent cx="3517900" cy="2707005"/>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17900" cy="2707005"/>
                    </a:xfrm>
                    <a:prstGeom prst="rect">
                      <a:avLst/>
                    </a:prstGeom>
                    <a:noFill/>
                  </pic:spPr>
                </pic:pic>
              </a:graphicData>
            </a:graphic>
          </wp:inline>
        </w:drawing>
      </w:r>
    </w:p>
    <w:p w:rsidR="00B9660B" w:rsidRPr="00791D15" w:rsidRDefault="00B9660B" w:rsidP="00742190">
      <w:pPr>
        <w:pStyle w:val="BodyText"/>
        <w:spacing w:after="0" w:line="720" w:lineRule="auto"/>
        <w:jc w:val="center"/>
      </w:pPr>
    </w:p>
    <w:p w:rsidR="00E61574" w:rsidRPr="00742190" w:rsidRDefault="00742190" w:rsidP="00AF666B">
      <w:pPr>
        <w:pStyle w:val="Heading3"/>
        <w:numPr>
          <w:ilvl w:val="0"/>
          <w:numId w:val="0"/>
        </w:numPr>
        <w:rPr>
          <w:rFonts w:ascii="Times New Roman" w:hAnsi="Times New Roman" w:cs="Times New Roman"/>
        </w:rPr>
      </w:pPr>
      <w:bookmarkStart w:id="57" w:name="_Toc447179769"/>
      <w:r w:rsidRPr="00742190">
        <w:rPr>
          <w:rFonts w:ascii="Times New Roman" w:hAnsi="Times New Roman" w:cs="Times New Roman"/>
        </w:rPr>
        <w:lastRenderedPageBreak/>
        <w:t xml:space="preserve">2.4.1 </w:t>
      </w:r>
      <w:r w:rsidR="00E61574" w:rsidRPr="00742190">
        <w:rPr>
          <w:rFonts w:ascii="Times New Roman" w:hAnsi="Times New Roman" w:cs="Times New Roman"/>
        </w:rPr>
        <w:t>Weather-Adjusted Impacts for Each Customer</w:t>
      </w:r>
      <w:bookmarkEnd w:id="57"/>
    </w:p>
    <w:p w:rsidR="00E61574" w:rsidRDefault="00E61574" w:rsidP="00742190">
      <w:pPr>
        <w:pStyle w:val="BodyText"/>
        <w:spacing w:after="0" w:line="276" w:lineRule="auto"/>
      </w:pPr>
    </w:p>
    <w:p w:rsidR="00E61574" w:rsidRPr="008227A8" w:rsidRDefault="00E61574" w:rsidP="00B073DC">
      <w:pPr>
        <w:pStyle w:val="BodyText"/>
        <w:spacing w:after="0" w:line="276" w:lineRule="auto"/>
        <w:ind w:firstLine="360"/>
        <w:rPr>
          <w:color w:val="000000" w:themeColor="text1"/>
        </w:rPr>
      </w:pPr>
      <w:r w:rsidRPr="008227A8">
        <w:rPr>
          <w:color w:val="000000" w:themeColor="text1"/>
        </w:rPr>
        <w:t>The first step in the ex-ante analysis is to use the customer-specific regression models to predict weather-adjusted per-customer average impacts for each IOU and for each of the appropriate subgroups (LCA, size, and industry segment). This produces a set of impacts under each of the different monthly weather conditions: 1-in-2 CAISO peak; 1-in-10 CAISO peak; 1-in-2 IOU peak; and 1-in-10 IOU peak. To do this, we completed the following steps:</w:t>
      </w:r>
    </w:p>
    <w:p w:rsidR="00E61574" w:rsidRPr="008227A8" w:rsidRDefault="00E61574" w:rsidP="00D84FC4">
      <w:pPr>
        <w:pStyle w:val="BulletedList0"/>
        <w:numPr>
          <w:ilvl w:val="0"/>
          <w:numId w:val="0"/>
        </w:numPr>
        <w:spacing w:after="0" w:line="276" w:lineRule="auto"/>
        <w:ind w:firstLine="36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 xml:space="preserve">After creating the weather adjusted per-customer impacts </w:t>
      </w:r>
      <w:r w:rsidR="00AA3984">
        <w:rPr>
          <w:rFonts w:ascii="Times New Roman" w:hAnsi="Times New Roman" w:cs="Times New Roman"/>
          <w:color w:val="000000" w:themeColor="text1"/>
          <w:sz w:val="24"/>
          <w:szCs w:val="24"/>
        </w:rPr>
        <w:t>a</w:t>
      </w:r>
      <w:r w:rsidR="00AA3984" w:rsidRPr="008227A8">
        <w:rPr>
          <w:rFonts w:ascii="Times New Roman" w:hAnsi="Times New Roman" w:cs="Times New Roman"/>
          <w:color w:val="000000" w:themeColor="text1"/>
          <w:sz w:val="24"/>
          <w:szCs w:val="24"/>
        </w:rPr>
        <w:t xml:space="preserve"> counter-intuitive result </w:t>
      </w:r>
      <w:r w:rsidR="00AA3984">
        <w:rPr>
          <w:rFonts w:ascii="Times New Roman" w:hAnsi="Times New Roman" w:cs="Times New Roman"/>
          <w:color w:val="000000" w:themeColor="text1"/>
          <w:sz w:val="24"/>
          <w:szCs w:val="24"/>
        </w:rPr>
        <w:t xml:space="preserve">was </w:t>
      </w:r>
      <w:r w:rsidRPr="008227A8">
        <w:rPr>
          <w:rFonts w:ascii="Times New Roman" w:hAnsi="Times New Roman" w:cs="Times New Roman"/>
          <w:color w:val="000000" w:themeColor="text1"/>
          <w:sz w:val="24"/>
          <w:szCs w:val="24"/>
        </w:rPr>
        <w:t>discovered in several of the subgroups: the predicted impacts under 1-in-10 conditions were actually lower than the predicted impacts under 1-in-2 conditions. Upon further investigation,</w:t>
      </w:r>
      <w:r w:rsidR="00A7376E">
        <w:rPr>
          <w:rFonts w:ascii="Times New Roman" w:hAnsi="Times New Roman" w:cs="Times New Roman"/>
          <w:color w:val="000000" w:themeColor="text1"/>
          <w:sz w:val="24"/>
          <w:szCs w:val="24"/>
        </w:rPr>
        <w:t xml:space="preserve"> </w:t>
      </w:r>
      <w:r w:rsidRPr="008227A8">
        <w:rPr>
          <w:rFonts w:ascii="Times New Roman" w:hAnsi="Times New Roman" w:cs="Times New Roman"/>
          <w:color w:val="000000" w:themeColor="text1"/>
          <w:sz w:val="24"/>
          <w:szCs w:val="24"/>
        </w:rPr>
        <w:t>the weather interaction term that was added to the impact portion of the model was in some cases identifying an inverse relationship between weather and impacts. While this result is not typical, it is not uncommon in commercial customers. Unfortunately there was not enough time during the evaluation to thoroughly investigate this finding</w:t>
      </w:r>
      <w:r w:rsidR="00F363A8">
        <w:rPr>
          <w:rFonts w:ascii="Times New Roman" w:hAnsi="Times New Roman" w:cs="Times New Roman"/>
          <w:color w:val="000000" w:themeColor="text1"/>
          <w:sz w:val="24"/>
          <w:szCs w:val="24"/>
        </w:rPr>
        <w:t>,</w:t>
      </w:r>
      <w:r w:rsidR="00A7376E">
        <w:rPr>
          <w:rFonts w:ascii="Times New Roman" w:hAnsi="Times New Roman" w:cs="Times New Roman"/>
          <w:color w:val="000000" w:themeColor="text1"/>
          <w:sz w:val="24"/>
          <w:szCs w:val="24"/>
        </w:rPr>
        <w:t xml:space="preserve"> </w:t>
      </w:r>
      <w:r w:rsidR="00F363A8">
        <w:rPr>
          <w:rFonts w:ascii="Times New Roman" w:hAnsi="Times New Roman" w:cs="Times New Roman"/>
          <w:color w:val="000000" w:themeColor="text1"/>
          <w:sz w:val="24"/>
          <w:szCs w:val="24"/>
        </w:rPr>
        <w:t xml:space="preserve">and AEG was </w:t>
      </w:r>
      <w:r w:rsidRPr="008227A8">
        <w:rPr>
          <w:rFonts w:ascii="Times New Roman" w:hAnsi="Times New Roman" w:cs="Times New Roman"/>
          <w:color w:val="000000" w:themeColor="text1"/>
          <w:sz w:val="24"/>
          <w:szCs w:val="24"/>
        </w:rPr>
        <w:t xml:space="preserve">unable to confirm that it was truly a significant weather response rather than customer fatigue, an artifact of the model, or customer behavior. As a result, </w:t>
      </w:r>
      <w:r w:rsidR="00F363A8">
        <w:rPr>
          <w:rFonts w:ascii="Times New Roman" w:hAnsi="Times New Roman" w:cs="Times New Roman"/>
          <w:color w:val="000000" w:themeColor="text1"/>
          <w:sz w:val="24"/>
          <w:szCs w:val="24"/>
        </w:rPr>
        <w:t>it was</w:t>
      </w:r>
      <w:r w:rsidR="00F363A8" w:rsidRPr="008227A8">
        <w:rPr>
          <w:rFonts w:ascii="Times New Roman" w:hAnsi="Times New Roman" w:cs="Times New Roman"/>
          <w:color w:val="000000" w:themeColor="text1"/>
          <w:sz w:val="24"/>
          <w:szCs w:val="24"/>
        </w:rPr>
        <w:t xml:space="preserve"> </w:t>
      </w:r>
      <w:r w:rsidRPr="008227A8">
        <w:rPr>
          <w:rFonts w:ascii="Times New Roman" w:hAnsi="Times New Roman" w:cs="Times New Roman"/>
          <w:color w:val="000000" w:themeColor="text1"/>
          <w:sz w:val="24"/>
          <w:szCs w:val="24"/>
        </w:rPr>
        <w:t>decided jointly with the IOUs to 1) set the 1-in-10 impacts equal to the 1-in-2 impacts, and 2) apply the impacts predicted under July 1-in-2 weather conditions to each month so that the impacts would not vary by month in a given forecast year.</w:t>
      </w:r>
    </w:p>
    <w:p w:rsidR="00E61574" w:rsidRPr="008227A8" w:rsidRDefault="00742190" w:rsidP="00AF666B">
      <w:pPr>
        <w:pStyle w:val="Heading3"/>
        <w:numPr>
          <w:ilvl w:val="0"/>
          <w:numId w:val="0"/>
        </w:numPr>
        <w:rPr>
          <w:rFonts w:ascii="Times New Roman" w:hAnsi="Times New Roman" w:cs="Times New Roman"/>
          <w:color w:val="000000" w:themeColor="text1"/>
          <w:szCs w:val="24"/>
        </w:rPr>
      </w:pPr>
      <w:bookmarkStart w:id="58" w:name="_Toc447179770"/>
      <w:r w:rsidRPr="008227A8">
        <w:rPr>
          <w:rFonts w:ascii="Times New Roman" w:hAnsi="Times New Roman" w:cs="Times New Roman"/>
          <w:color w:val="000000" w:themeColor="text1"/>
          <w:szCs w:val="24"/>
        </w:rPr>
        <w:t xml:space="preserve">2.4.2 </w:t>
      </w:r>
      <w:r w:rsidR="00E61574" w:rsidRPr="008227A8">
        <w:rPr>
          <w:rFonts w:ascii="Times New Roman" w:hAnsi="Times New Roman" w:cs="Times New Roman"/>
          <w:color w:val="000000" w:themeColor="text1"/>
          <w:szCs w:val="24"/>
        </w:rPr>
        <w:t>Generation of Per-Customer Average Impacts by Subgroup</w:t>
      </w:r>
      <w:bookmarkEnd w:id="58"/>
      <w:r w:rsidR="00E61574" w:rsidRPr="008227A8">
        <w:rPr>
          <w:rFonts w:ascii="Times New Roman" w:hAnsi="Times New Roman" w:cs="Times New Roman"/>
          <w:color w:val="000000" w:themeColor="text1"/>
          <w:szCs w:val="24"/>
        </w:rPr>
        <w:t xml:space="preserve"> </w:t>
      </w:r>
    </w:p>
    <w:p w:rsidR="00742190" w:rsidRPr="008227A8" w:rsidRDefault="00742190" w:rsidP="00742190">
      <w:pPr>
        <w:pStyle w:val="BodyText"/>
        <w:spacing w:after="0" w:line="276" w:lineRule="auto"/>
        <w:rPr>
          <w:color w:val="000000" w:themeColor="text1"/>
        </w:rPr>
      </w:pPr>
    </w:p>
    <w:p w:rsidR="00E61574" w:rsidRPr="008227A8" w:rsidRDefault="00E61574" w:rsidP="00B073DC">
      <w:pPr>
        <w:pStyle w:val="BodyText"/>
        <w:spacing w:after="0" w:line="276" w:lineRule="auto"/>
        <w:ind w:firstLine="360"/>
        <w:rPr>
          <w:color w:val="000000" w:themeColor="text1"/>
        </w:rPr>
      </w:pPr>
      <w:r w:rsidRPr="008227A8">
        <w:rPr>
          <w:color w:val="000000" w:themeColor="text1"/>
        </w:rPr>
        <w:t xml:space="preserve">Once weather-adjusted impacts have been predicted for each customer, for each of the desired event day types, it becomes a relatively simple exercise to average the individual impacts and generate per-customer average impacts by subgroup. For example, the average impact for a particular LCA </w:t>
      </w:r>
      <w:r w:rsidR="00AF666B" w:rsidRPr="008227A8">
        <w:rPr>
          <w:color w:val="000000" w:themeColor="text1"/>
        </w:rPr>
        <w:t xml:space="preserve">is </w:t>
      </w:r>
      <w:r w:rsidRPr="008227A8">
        <w:rPr>
          <w:color w:val="000000" w:themeColor="text1"/>
        </w:rPr>
        <w:t xml:space="preserve">the average of the impacts predicted for each customer in that LCA. At this stage, we also worked with the IOUs to determine the best way to account for dual participation between programs to ensure that they are not double-counted in the forecast. Since CBP and AMP are capacity-payment programs, the IOUs allocate the full load impacts from the dual participants of CBP/AMP and other energy-payment programs to CBP/AMP. Therefore, the CBP and AMP impacts for dual participants do not require adjustments. </w:t>
      </w:r>
      <w:r w:rsidRPr="008227A8">
        <w:rPr>
          <w:color w:val="000000" w:themeColor="text1"/>
          <w:highlight w:val="yellow"/>
        </w:rPr>
        <w:t xml:space="preserve">  </w:t>
      </w:r>
    </w:p>
    <w:p w:rsidR="00742190" w:rsidRPr="008227A8" w:rsidRDefault="00742190" w:rsidP="00742190">
      <w:pPr>
        <w:pStyle w:val="Heading4"/>
        <w:numPr>
          <w:ilvl w:val="0"/>
          <w:numId w:val="0"/>
        </w:numPr>
        <w:spacing w:before="0" w:after="0" w:line="276" w:lineRule="auto"/>
        <w:ind w:left="864" w:hanging="864"/>
        <w:rPr>
          <w:rFonts w:ascii="Times New Roman" w:hAnsi="Times New Roman"/>
          <w:color w:val="000000" w:themeColor="text1"/>
          <w:sz w:val="24"/>
          <w:szCs w:val="24"/>
        </w:rPr>
      </w:pPr>
    </w:p>
    <w:p w:rsidR="00E61574" w:rsidRPr="008227A8" w:rsidRDefault="00742190" w:rsidP="00AF666B">
      <w:pPr>
        <w:pStyle w:val="Heading3"/>
        <w:numPr>
          <w:ilvl w:val="0"/>
          <w:numId w:val="0"/>
        </w:numPr>
        <w:rPr>
          <w:rFonts w:ascii="Times New Roman" w:hAnsi="Times New Roman" w:cs="Times New Roman"/>
          <w:color w:val="000000" w:themeColor="text1"/>
          <w:szCs w:val="24"/>
        </w:rPr>
      </w:pPr>
      <w:bookmarkStart w:id="59" w:name="_Toc447179771"/>
      <w:r w:rsidRPr="008227A8">
        <w:rPr>
          <w:rFonts w:ascii="Times New Roman" w:hAnsi="Times New Roman" w:cs="Times New Roman"/>
          <w:color w:val="000000" w:themeColor="text1"/>
          <w:szCs w:val="24"/>
        </w:rPr>
        <w:t xml:space="preserve">2.4.3 </w:t>
      </w:r>
      <w:r w:rsidR="00E61574" w:rsidRPr="008227A8">
        <w:rPr>
          <w:rFonts w:ascii="Times New Roman" w:hAnsi="Times New Roman" w:cs="Times New Roman"/>
          <w:color w:val="000000" w:themeColor="text1"/>
          <w:szCs w:val="24"/>
        </w:rPr>
        <w:t>Creation of 10-Year Annual Load Impact Forecasts</w:t>
      </w:r>
      <w:bookmarkEnd w:id="59"/>
    </w:p>
    <w:p w:rsidR="00742190" w:rsidRPr="008227A8" w:rsidRDefault="00742190" w:rsidP="00742190">
      <w:pPr>
        <w:pStyle w:val="BodyText"/>
        <w:spacing w:after="0" w:line="276" w:lineRule="auto"/>
        <w:rPr>
          <w:color w:val="000000" w:themeColor="text1"/>
        </w:rPr>
      </w:pPr>
    </w:p>
    <w:p w:rsidR="00E61574" w:rsidRPr="008227A8" w:rsidRDefault="00E61574" w:rsidP="00B073DC">
      <w:pPr>
        <w:pStyle w:val="BodyText"/>
        <w:spacing w:after="0" w:line="276" w:lineRule="auto"/>
        <w:ind w:firstLine="360"/>
        <w:rPr>
          <w:color w:val="000000" w:themeColor="text1"/>
        </w:rPr>
      </w:pPr>
      <w:r w:rsidRPr="008227A8">
        <w:rPr>
          <w:color w:val="000000" w:themeColor="text1"/>
        </w:rPr>
        <w:t xml:space="preserve">AEG provided the IOUs with the per-customer average ex-ante impacts by year and subgroup. The IOUs used the per-customer impacts—along with contractual MW agreements and adjustments that reflect actual vs. contractual load reduction performance—to determine the enrollment forecasts. AEG used the enrollment forecasts and set of per-customer average ex-ante impacts to create the annual forecast of load impacts over the next 10 years. </w:t>
      </w:r>
    </w:p>
    <w:p w:rsidR="004C11F1" w:rsidRPr="008227A8" w:rsidRDefault="004C11F1" w:rsidP="003578E7">
      <w:pPr>
        <w:spacing w:line="276" w:lineRule="auto"/>
        <w:ind w:firstLine="360"/>
        <w:rPr>
          <w:color w:val="000000" w:themeColor="text1"/>
        </w:rPr>
      </w:pPr>
    </w:p>
    <w:p w:rsidR="008C2300" w:rsidRPr="008227A8" w:rsidRDefault="008C2300" w:rsidP="003C4AD3">
      <w:pPr>
        <w:pStyle w:val="Heading2"/>
        <w:spacing w:after="0" w:line="276" w:lineRule="auto"/>
        <w:rPr>
          <w:rFonts w:ascii="Times New Roman" w:hAnsi="Times New Roman" w:cs="Times New Roman"/>
          <w:color w:val="000000" w:themeColor="text1"/>
        </w:rPr>
      </w:pPr>
      <w:bookmarkStart w:id="60" w:name="_Toc447179772"/>
      <w:r w:rsidRPr="008227A8">
        <w:rPr>
          <w:rFonts w:ascii="Times New Roman" w:hAnsi="Times New Roman" w:cs="Times New Roman"/>
          <w:color w:val="000000" w:themeColor="text1"/>
        </w:rPr>
        <w:lastRenderedPageBreak/>
        <w:t>CBP Ex-Ante Load Impact Estimates</w:t>
      </w:r>
      <w:bookmarkEnd w:id="60"/>
    </w:p>
    <w:p w:rsidR="00571D25" w:rsidRPr="008227A8" w:rsidRDefault="004A3AE7" w:rsidP="003C4AD3">
      <w:pPr>
        <w:spacing w:line="276" w:lineRule="auto"/>
        <w:rPr>
          <w:color w:val="000000" w:themeColor="text1"/>
        </w:rPr>
      </w:pPr>
      <w:r w:rsidRPr="008227A8">
        <w:rPr>
          <w:color w:val="000000" w:themeColor="text1"/>
        </w:rPr>
        <w:t xml:space="preserve"> </w:t>
      </w:r>
    </w:p>
    <w:p w:rsidR="004A3AE7" w:rsidRPr="008227A8" w:rsidRDefault="004A3AE7" w:rsidP="004A3AE7">
      <w:pPr>
        <w:pStyle w:val="BodyText"/>
        <w:spacing w:after="0" w:line="276" w:lineRule="auto"/>
        <w:ind w:firstLine="360"/>
        <w:rPr>
          <w:color w:val="000000" w:themeColor="text1"/>
        </w:rPr>
      </w:pPr>
      <w:r w:rsidRPr="008227A8">
        <w:rPr>
          <w:color w:val="000000" w:themeColor="text1"/>
        </w:rPr>
        <w:t xml:space="preserve">SDG&amp;E forecasts the CBP nominations to stay constant across the 2016-2026 horizon, with an estimated 122 service accounts for the DA product, 160 for the DO 1-4 hour product, and 60 for the DO 2-6 hour product during May through October. These enrollment forecasts are lower than those estimated in PY2014, which were held constant at 159 service accounts for the DA product and increased from 239 to 284 for the DO 1-4 hour and 2-6 hour products combined. </w:t>
      </w:r>
    </w:p>
    <w:p w:rsidR="004A3AE7" w:rsidRPr="008227A8" w:rsidRDefault="004A3AE7" w:rsidP="004A3AE7">
      <w:pPr>
        <w:pStyle w:val="BodyText"/>
        <w:spacing w:after="0" w:line="276" w:lineRule="auto"/>
        <w:ind w:firstLine="360"/>
        <w:rPr>
          <w:color w:val="000000" w:themeColor="text1"/>
        </w:rPr>
      </w:pPr>
    </w:p>
    <w:p w:rsidR="004A3AE7" w:rsidRPr="008227A8" w:rsidRDefault="004A3AE7" w:rsidP="004A3AE7">
      <w:pPr>
        <w:pStyle w:val="BodyText"/>
        <w:spacing w:after="0" w:line="276" w:lineRule="auto"/>
        <w:ind w:firstLine="360"/>
        <w:rPr>
          <w:color w:val="000000" w:themeColor="text1"/>
        </w:rPr>
      </w:pPr>
      <w:r w:rsidRPr="008227A8">
        <w:rPr>
          <w:color w:val="000000" w:themeColor="text1"/>
        </w:rPr>
        <w:t>The ex-ante impact results also forecast constant annual CBP load impacts across the 2016-2026 horizon for the DA and DO products. In addition, the impacts are expected to remain constant during the months of May through October.</w:t>
      </w:r>
    </w:p>
    <w:p w:rsidR="004A3AE7" w:rsidRPr="008227A8" w:rsidRDefault="004A3AE7" w:rsidP="004A3AE7">
      <w:pPr>
        <w:pStyle w:val="BodyText"/>
        <w:spacing w:after="0" w:line="276" w:lineRule="auto"/>
        <w:ind w:firstLine="360"/>
        <w:rPr>
          <w:color w:val="000000" w:themeColor="text1"/>
        </w:rPr>
      </w:pPr>
    </w:p>
    <w:p w:rsidR="004A3AE7" w:rsidRPr="008227A8" w:rsidRDefault="00A7376E" w:rsidP="004A3AE7">
      <w:pPr>
        <w:pStyle w:val="BodyText"/>
        <w:spacing w:after="0" w:line="276" w:lineRule="auto"/>
        <w:ind w:firstLine="360"/>
        <w:rPr>
          <w:color w:val="000000" w:themeColor="text1"/>
        </w:rPr>
      </w:pPr>
      <w:r w:rsidRPr="00A7376E">
        <w:rPr>
          <w:color w:val="000000" w:themeColor="text1"/>
          <w:sz w:val="22"/>
          <w:szCs w:val="22"/>
        </w:rPr>
        <w:t>Table 2-</w:t>
      </w:r>
      <w:r w:rsidR="0024252A">
        <w:rPr>
          <w:color w:val="000000" w:themeColor="text1"/>
          <w:sz w:val="22"/>
          <w:szCs w:val="22"/>
        </w:rPr>
        <w:t>6</w:t>
      </w:r>
      <w:r>
        <w:rPr>
          <w:color w:val="000000" w:themeColor="text1"/>
        </w:rPr>
        <w:t xml:space="preserve"> </w:t>
      </w:r>
      <w:r w:rsidR="004A3AE7" w:rsidRPr="008227A8">
        <w:rPr>
          <w:color w:val="000000" w:themeColor="text1"/>
        </w:rPr>
        <w:t>summarizes the average event-hour load impact forecasts for the DA and DO products on an August peak day in 2016.</w:t>
      </w:r>
      <w:r w:rsidR="004A3AE7" w:rsidRPr="008227A8">
        <w:rPr>
          <w:rStyle w:val="FootnoteReference"/>
          <w:color w:val="000000" w:themeColor="text1"/>
        </w:rPr>
        <w:footnoteReference w:id="3"/>
      </w:r>
      <w:r w:rsidR="004A3AE7" w:rsidRPr="008227A8">
        <w:rPr>
          <w:color w:val="000000" w:themeColor="text1"/>
        </w:rPr>
        <w:t xml:space="preserve"> The table includes impact forecasts under the 1-in-2 and 1-in-10 weather scenarios and for the utility peak and the CAISO peak. The ex-ante impacts are assumed to be the same under both 1-in-2 and 1-in-10 weather conditions. The assumption is not unreasonable, as the load impacts should be a function of the monthly nomination, which is not weather-dependent within a given month. The table shows that per-customer impacts for CBP DA are 62.87 kW under the utility peak weather conditions and 62.82 kW under the CAISO peak conditions. For CBP DO, the per-customer impacts are 20.69 kW and 20.66 kW for utility peak and CAISO peak weather, respectively. Aggregate impacts for the CBP DA product are 7.67 MW under utility peak weather and 7.66 MW under CAISO peak weather for DA, and are 4.55 MW under utility peak weather and 4.54 MW under CAISO peak</w:t>
      </w:r>
      <w:r w:rsidR="004A3AE7" w:rsidRPr="008227A8" w:rsidDel="00CC0D5B">
        <w:rPr>
          <w:color w:val="000000" w:themeColor="text1"/>
        </w:rPr>
        <w:t xml:space="preserve"> </w:t>
      </w:r>
      <w:r w:rsidR="004A3AE7" w:rsidRPr="008227A8">
        <w:rPr>
          <w:color w:val="000000" w:themeColor="text1"/>
        </w:rPr>
        <w:t>weather for DO.</w:t>
      </w:r>
    </w:p>
    <w:p w:rsidR="004A3AE7" w:rsidRDefault="004A3AE7" w:rsidP="004A3AE7">
      <w:pPr>
        <w:pStyle w:val="TableCaption"/>
      </w:pPr>
      <w:bookmarkStart w:id="61" w:name="_Ref443125307"/>
      <w:bookmarkStart w:id="62" w:name="_Toc445825320"/>
    </w:p>
    <w:p w:rsidR="004A3AE7" w:rsidRPr="004A3AE7" w:rsidRDefault="004A3AE7" w:rsidP="00536C86">
      <w:pPr>
        <w:pStyle w:val="TableCaption"/>
        <w:rPr>
          <w:sz w:val="22"/>
          <w:szCs w:val="22"/>
        </w:rPr>
      </w:pPr>
      <w:r w:rsidRPr="004A3AE7">
        <w:rPr>
          <w:sz w:val="22"/>
          <w:szCs w:val="22"/>
        </w:rPr>
        <w:t xml:space="preserve">Table </w:t>
      </w:r>
      <w:bookmarkEnd w:id="61"/>
      <w:r>
        <w:rPr>
          <w:sz w:val="22"/>
          <w:szCs w:val="22"/>
        </w:rPr>
        <w:t>2-</w:t>
      </w:r>
      <w:r w:rsidR="0024252A">
        <w:rPr>
          <w:sz w:val="22"/>
          <w:szCs w:val="22"/>
        </w:rPr>
        <w:t>6</w:t>
      </w:r>
      <w:r>
        <w:rPr>
          <w:sz w:val="22"/>
          <w:szCs w:val="22"/>
        </w:rPr>
        <w:t>:</w:t>
      </w:r>
      <w:r w:rsidRPr="004A3AE7">
        <w:rPr>
          <w:noProof/>
          <w:sz w:val="22"/>
          <w:szCs w:val="22"/>
        </w:rPr>
        <w:t xml:space="preserve"> </w:t>
      </w:r>
      <w:r w:rsidRPr="004A3AE7">
        <w:rPr>
          <w:sz w:val="22"/>
          <w:szCs w:val="22"/>
        </w:rPr>
        <w:t>SDG&amp;E CBP: Average Event-Hour Ex-Ante Impacts for an August Peak Day, 2016</w:t>
      </w:r>
      <w:bookmarkEnd w:id="62"/>
    </w:p>
    <w:tbl>
      <w:tblPr>
        <w:tblW w:w="9595" w:type="dxa"/>
        <w:tblLayout w:type="fixed"/>
        <w:tblLook w:val="04A0" w:firstRow="1" w:lastRow="0" w:firstColumn="1" w:lastColumn="0" w:noHBand="0" w:noVBand="1"/>
      </w:tblPr>
      <w:tblGrid>
        <w:gridCol w:w="1548"/>
        <w:gridCol w:w="667"/>
        <w:gridCol w:w="951"/>
        <w:gridCol w:w="1019"/>
        <w:gridCol w:w="1019"/>
        <w:gridCol w:w="1019"/>
        <w:gridCol w:w="843"/>
        <w:gridCol w:w="843"/>
        <w:gridCol w:w="843"/>
        <w:gridCol w:w="843"/>
      </w:tblGrid>
      <w:tr w:rsidR="004A3AE7" w:rsidRPr="00DD630D" w:rsidTr="004A3AE7">
        <w:trPr>
          <w:trHeight w:val="288"/>
        </w:trPr>
        <w:tc>
          <w:tcPr>
            <w:tcW w:w="1548" w:type="dxa"/>
            <w:shd w:val="clear" w:color="auto" w:fill="1A1D5D"/>
            <w:noWrap/>
            <w:vAlign w:val="center"/>
            <w:hideMark/>
          </w:tcPr>
          <w:p w:rsidR="004A3AE7" w:rsidRPr="00DD630D" w:rsidRDefault="004A3AE7" w:rsidP="00336E76">
            <w:pPr>
              <w:keepNext/>
              <w:keepLines/>
              <w:jc w:val="center"/>
              <w:rPr>
                <w:rFonts w:ascii="Calibri" w:hAnsi="Calibri" w:cs="Calibri"/>
                <w:b/>
                <w:color w:val="FFFFFF" w:themeColor="background1"/>
                <w:szCs w:val="20"/>
              </w:rPr>
            </w:pPr>
          </w:p>
        </w:tc>
        <w:tc>
          <w:tcPr>
            <w:tcW w:w="667" w:type="dxa"/>
            <w:shd w:val="clear" w:color="auto" w:fill="1A1D5D"/>
          </w:tcPr>
          <w:p w:rsidR="004A3AE7" w:rsidRDefault="004A3AE7" w:rsidP="00336E76">
            <w:pPr>
              <w:keepNext/>
              <w:keepLines/>
              <w:jc w:val="center"/>
              <w:rPr>
                <w:rFonts w:ascii="Calibri" w:hAnsi="Calibri" w:cs="Calibri"/>
                <w:b/>
                <w:color w:val="FFFFFF" w:themeColor="background1"/>
                <w:szCs w:val="20"/>
              </w:rPr>
            </w:pPr>
          </w:p>
        </w:tc>
        <w:tc>
          <w:tcPr>
            <w:tcW w:w="4008" w:type="dxa"/>
            <w:gridSpan w:val="4"/>
            <w:shd w:val="clear" w:color="auto" w:fill="1A1D5D"/>
            <w:vAlign w:val="center"/>
          </w:tcPr>
          <w:p w:rsidR="004A3AE7" w:rsidRPr="004A3AE7" w:rsidRDefault="004A3AE7" w:rsidP="00336E76">
            <w:pPr>
              <w:keepNext/>
              <w:keepLines/>
              <w:jc w:val="center"/>
              <w:rPr>
                <w:b/>
                <w:color w:val="FFFFFF" w:themeColor="background1"/>
                <w:sz w:val="20"/>
                <w:szCs w:val="20"/>
              </w:rPr>
            </w:pPr>
            <w:r w:rsidRPr="004A3AE7">
              <w:rPr>
                <w:b/>
                <w:color w:val="FFFFFF" w:themeColor="background1"/>
                <w:sz w:val="20"/>
                <w:szCs w:val="20"/>
              </w:rPr>
              <w:t>Per Customer Impact (kW)</w:t>
            </w:r>
          </w:p>
        </w:tc>
        <w:tc>
          <w:tcPr>
            <w:tcW w:w="3372" w:type="dxa"/>
            <w:gridSpan w:val="4"/>
            <w:shd w:val="clear" w:color="auto" w:fill="1A1D5D"/>
            <w:vAlign w:val="center"/>
          </w:tcPr>
          <w:p w:rsidR="004A3AE7" w:rsidRPr="004A3AE7" w:rsidRDefault="004A3AE7" w:rsidP="00336E76">
            <w:pPr>
              <w:keepNext/>
              <w:keepLines/>
              <w:jc w:val="center"/>
              <w:rPr>
                <w:b/>
                <w:color w:val="FFFFFF" w:themeColor="background1"/>
                <w:sz w:val="20"/>
                <w:szCs w:val="20"/>
              </w:rPr>
            </w:pPr>
            <w:r w:rsidRPr="004A3AE7">
              <w:rPr>
                <w:b/>
                <w:color w:val="FFFFFF" w:themeColor="background1"/>
                <w:sz w:val="20"/>
                <w:szCs w:val="20"/>
              </w:rPr>
              <w:t>Aggregate Impact (MW)</w:t>
            </w:r>
          </w:p>
        </w:tc>
      </w:tr>
      <w:tr w:rsidR="004A3AE7" w:rsidRPr="00DD630D" w:rsidTr="004A3AE7">
        <w:trPr>
          <w:trHeight w:val="288"/>
        </w:trPr>
        <w:tc>
          <w:tcPr>
            <w:tcW w:w="1548" w:type="dxa"/>
            <w:shd w:val="clear" w:color="auto" w:fill="1A1D5D"/>
            <w:noWrap/>
            <w:vAlign w:val="center"/>
          </w:tcPr>
          <w:p w:rsidR="004A3AE7" w:rsidRPr="004A3AE7" w:rsidRDefault="004A3AE7" w:rsidP="00336E76">
            <w:pPr>
              <w:keepNext/>
              <w:keepLines/>
              <w:jc w:val="center"/>
              <w:rPr>
                <w:b/>
                <w:color w:val="FFFFFF" w:themeColor="background1"/>
                <w:sz w:val="20"/>
                <w:szCs w:val="20"/>
              </w:rPr>
            </w:pPr>
          </w:p>
        </w:tc>
        <w:tc>
          <w:tcPr>
            <w:tcW w:w="667" w:type="dxa"/>
            <w:shd w:val="clear" w:color="auto" w:fill="1A1D5D"/>
          </w:tcPr>
          <w:p w:rsidR="004A3AE7" w:rsidRPr="004A3AE7" w:rsidRDefault="004A3AE7" w:rsidP="00336E76">
            <w:pPr>
              <w:keepNext/>
              <w:keepLines/>
              <w:jc w:val="center"/>
              <w:rPr>
                <w:b/>
                <w:color w:val="FFFFFF" w:themeColor="background1"/>
                <w:sz w:val="20"/>
                <w:szCs w:val="20"/>
              </w:rPr>
            </w:pPr>
          </w:p>
        </w:tc>
        <w:tc>
          <w:tcPr>
            <w:tcW w:w="1970" w:type="dxa"/>
            <w:gridSpan w:val="2"/>
            <w:shd w:val="clear" w:color="auto" w:fill="1A1D5D"/>
            <w:vAlign w:val="center"/>
          </w:tcPr>
          <w:p w:rsidR="004A3AE7" w:rsidRPr="004A3AE7" w:rsidRDefault="004A3AE7" w:rsidP="00336E76">
            <w:pPr>
              <w:keepNext/>
              <w:keepLines/>
              <w:jc w:val="center"/>
              <w:rPr>
                <w:b/>
                <w:color w:val="FFFFFF" w:themeColor="background1"/>
                <w:sz w:val="20"/>
                <w:szCs w:val="20"/>
              </w:rPr>
            </w:pPr>
            <w:r w:rsidRPr="004A3AE7">
              <w:rPr>
                <w:b/>
                <w:color w:val="FFFFFF" w:themeColor="background1"/>
                <w:sz w:val="20"/>
                <w:szCs w:val="20"/>
              </w:rPr>
              <w:t>Utility Peak</w:t>
            </w:r>
          </w:p>
        </w:tc>
        <w:tc>
          <w:tcPr>
            <w:tcW w:w="2038" w:type="dxa"/>
            <w:gridSpan w:val="2"/>
            <w:shd w:val="clear" w:color="auto" w:fill="1A1D5D"/>
            <w:vAlign w:val="center"/>
          </w:tcPr>
          <w:p w:rsidR="004A3AE7" w:rsidRPr="004A3AE7" w:rsidRDefault="004A3AE7" w:rsidP="00336E76">
            <w:pPr>
              <w:keepNext/>
              <w:keepLines/>
              <w:jc w:val="center"/>
              <w:rPr>
                <w:b/>
                <w:color w:val="FFFFFF" w:themeColor="background1"/>
                <w:sz w:val="20"/>
                <w:szCs w:val="20"/>
              </w:rPr>
            </w:pPr>
            <w:r w:rsidRPr="004A3AE7">
              <w:rPr>
                <w:b/>
                <w:color w:val="FFFFFF" w:themeColor="background1"/>
                <w:sz w:val="20"/>
                <w:szCs w:val="20"/>
              </w:rPr>
              <w:t>CAISO Peak</w:t>
            </w:r>
          </w:p>
        </w:tc>
        <w:tc>
          <w:tcPr>
            <w:tcW w:w="1686" w:type="dxa"/>
            <w:gridSpan w:val="2"/>
            <w:shd w:val="clear" w:color="auto" w:fill="1A1D5D"/>
            <w:vAlign w:val="center"/>
          </w:tcPr>
          <w:p w:rsidR="004A3AE7" w:rsidRPr="004A3AE7" w:rsidRDefault="004A3AE7" w:rsidP="00336E76">
            <w:pPr>
              <w:keepNext/>
              <w:keepLines/>
              <w:jc w:val="center"/>
              <w:rPr>
                <w:b/>
                <w:color w:val="FFFFFF" w:themeColor="background1"/>
                <w:sz w:val="20"/>
                <w:szCs w:val="20"/>
              </w:rPr>
            </w:pPr>
            <w:r w:rsidRPr="004A3AE7">
              <w:rPr>
                <w:b/>
                <w:color w:val="FFFFFF" w:themeColor="background1"/>
                <w:sz w:val="20"/>
                <w:szCs w:val="20"/>
              </w:rPr>
              <w:t>Utility Peak</w:t>
            </w:r>
          </w:p>
        </w:tc>
        <w:tc>
          <w:tcPr>
            <w:tcW w:w="1686" w:type="dxa"/>
            <w:gridSpan w:val="2"/>
            <w:shd w:val="clear" w:color="auto" w:fill="1A1D5D"/>
            <w:vAlign w:val="center"/>
          </w:tcPr>
          <w:p w:rsidR="004A3AE7" w:rsidRPr="004A3AE7" w:rsidRDefault="004A3AE7" w:rsidP="00336E76">
            <w:pPr>
              <w:keepNext/>
              <w:keepLines/>
              <w:jc w:val="center"/>
              <w:rPr>
                <w:b/>
                <w:color w:val="FFFFFF" w:themeColor="background1"/>
                <w:sz w:val="20"/>
                <w:szCs w:val="20"/>
              </w:rPr>
            </w:pPr>
            <w:r w:rsidRPr="004A3AE7">
              <w:rPr>
                <w:b/>
                <w:color w:val="FFFFFF" w:themeColor="background1"/>
                <w:sz w:val="20"/>
                <w:szCs w:val="20"/>
              </w:rPr>
              <w:t>CAISO Peak</w:t>
            </w:r>
          </w:p>
        </w:tc>
      </w:tr>
      <w:tr w:rsidR="004A3AE7" w:rsidRPr="00DD630D" w:rsidTr="004A3AE7">
        <w:trPr>
          <w:trHeight w:val="288"/>
        </w:trPr>
        <w:tc>
          <w:tcPr>
            <w:tcW w:w="1548" w:type="dxa"/>
            <w:shd w:val="clear" w:color="auto" w:fill="1A1D5D"/>
            <w:noWrap/>
            <w:vAlign w:val="bottom"/>
            <w:hideMark/>
          </w:tcPr>
          <w:p w:rsidR="004A3AE7" w:rsidRPr="004A3AE7" w:rsidRDefault="004A3AE7" w:rsidP="00336E76">
            <w:pPr>
              <w:keepNext/>
              <w:keepLines/>
              <w:jc w:val="center"/>
              <w:rPr>
                <w:b/>
                <w:color w:val="FFFFFF" w:themeColor="background1"/>
                <w:sz w:val="20"/>
                <w:szCs w:val="20"/>
              </w:rPr>
            </w:pPr>
            <w:r w:rsidRPr="004A3AE7">
              <w:rPr>
                <w:b/>
                <w:color w:val="FFFFFF" w:themeColor="background1"/>
                <w:sz w:val="20"/>
                <w:szCs w:val="20"/>
              </w:rPr>
              <w:t>Notice</w:t>
            </w:r>
          </w:p>
        </w:tc>
        <w:tc>
          <w:tcPr>
            <w:tcW w:w="667" w:type="dxa"/>
            <w:shd w:val="clear" w:color="auto" w:fill="1A1D5D"/>
            <w:vAlign w:val="bottom"/>
          </w:tcPr>
          <w:p w:rsidR="004A3AE7" w:rsidRPr="004A3AE7" w:rsidRDefault="004A3AE7" w:rsidP="00336E76">
            <w:pPr>
              <w:keepNext/>
              <w:keepLines/>
              <w:jc w:val="center"/>
              <w:rPr>
                <w:b/>
                <w:color w:val="FFFFFF" w:themeColor="background1"/>
                <w:sz w:val="20"/>
                <w:szCs w:val="20"/>
              </w:rPr>
            </w:pPr>
            <w:r w:rsidRPr="004A3AE7">
              <w:rPr>
                <w:b/>
                <w:color w:val="FFFFFF" w:themeColor="background1"/>
                <w:sz w:val="20"/>
                <w:szCs w:val="20"/>
              </w:rPr>
              <w:t>Accts</w:t>
            </w:r>
          </w:p>
        </w:tc>
        <w:tc>
          <w:tcPr>
            <w:tcW w:w="951" w:type="dxa"/>
            <w:shd w:val="clear" w:color="auto" w:fill="1A1D5D"/>
            <w:vAlign w:val="bottom"/>
          </w:tcPr>
          <w:p w:rsidR="004A3AE7" w:rsidRPr="004A3AE7" w:rsidRDefault="004A3AE7" w:rsidP="00336E76">
            <w:pPr>
              <w:keepNext/>
              <w:keepLines/>
              <w:jc w:val="center"/>
              <w:rPr>
                <w:b/>
                <w:color w:val="FFFFFF" w:themeColor="background1"/>
                <w:sz w:val="20"/>
                <w:szCs w:val="20"/>
              </w:rPr>
            </w:pPr>
            <w:r w:rsidRPr="004A3AE7">
              <w:rPr>
                <w:b/>
                <w:color w:val="FFFFFF" w:themeColor="background1"/>
                <w:sz w:val="20"/>
                <w:szCs w:val="20"/>
              </w:rPr>
              <w:t>1-in-2</w:t>
            </w:r>
          </w:p>
        </w:tc>
        <w:tc>
          <w:tcPr>
            <w:tcW w:w="1019" w:type="dxa"/>
            <w:shd w:val="clear" w:color="auto" w:fill="1A1D5D"/>
            <w:vAlign w:val="bottom"/>
          </w:tcPr>
          <w:p w:rsidR="004A3AE7" w:rsidRPr="004A3AE7" w:rsidRDefault="004A3AE7" w:rsidP="00336E76">
            <w:pPr>
              <w:keepNext/>
              <w:keepLines/>
              <w:jc w:val="center"/>
              <w:rPr>
                <w:b/>
                <w:color w:val="FFFFFF" w:themeColor="background1"/>
                <w:sz w:val="20"/>
                <w:szCs w:val="20"/>
              </w:rPr>
            </w:pPr>
            <w:r w:rsidRPr="004A3AE7">
              <w:rPr>
                <w:b/>
                <w:color w:val="FFFFFF" w:themeColor="background1"/>
                <w:sz w:val="20"/>
                <w:szCs w:val="20"/>
              </w:rPr>
              <w:t>1-in-10</w:t>
            </w:r>
          </w:p>
        </w:tc>
        <w:tc>
          <w:tcPr>
            <w:tcW w:w="1019" w:type="dxa"/>
            <w:shd w:val="clear" w:color="auto" w:fill="1A1D5D"/>
            <w:vAlign w:val="bottom"/>
          </w:tcPr>
          <w:p w:rsidR="004A3AE7" w:rsidRPr="004A3AE7" w:rsidRDefault="004A3AE7" w:rsidP="00336E76">
            <w:pPr>
              <w:keepNext/>
              <w:keepLines/>
              <w:jc w:val="center"/>
              <w:rPr>
                <w:b/>
                <w:color w:val="FFFFFF" w:themeColor="background1"/>
                <w:sz w:val="20"/>
                <w:szCs w:val="20"/>
              </w:rPr>
            </w:pPr>
            <w:r w:rsidRPr="004A3AE7">
              <w:rPr>
                <w:b/>
                <w:color w:val="FFFFFF" w:themeColor="background1"/>
                <w:sz w:val="20"/>
                <w:szCs w:val="20"/>
              </w:rPr>
              <w:t>1-in-2</w:t>
            </w:r>
          </w:p>
        </w:tc>
        <w:tc>
          <w:tcPr>
            <w:tcW w:w="1019" w:type="dxa"/>
            <w:shd w:val="clear" w:color="auto" w:fill="1A1D5D"/>
            <w:vAlign w:val="bottom"/>
          </w:tcPr>
          <w:p w:rsidR="004A3AE7" w:rsidRPr="004A3AE7" w:rsidRDefault="004A3AE7" w:rsidP="00336E76">
            <w:pPr>
              <w:keepNext/>
              <w:keepLines/>
              <w:jc w:val="center"/>
              <w:rPr>
                <w:b/>
                <w:color w:val="FFFFFF" w:themeColor="background1"/>
                <w:sz w:val="20"/>
                <w:szCs w:val="20"/>
              </w:rPr>
            </w:pPr>
            <w:r w:rsidRPr="004A3AE7">
              <w:rPr>
                <w:b/>
                <w:color w:val="FFFFFF" w:themeColor="background1"/>
                <w:sz w:val="20"/>
                <w:szCs w:val="20"/>
              </w:rPr>
              <w:t>1-in-10</w:t>
            </w:r>
          </w:p>
        </w:tc>
        <w:tc>
          <w:tcPr>
            <w:tcW w:w="843" w:type="dxa"/>
            <w:shd w:val="clear" w:color="auto" w:fill="1A1D5D"/>
            <w:vAlign w:val="bottom"/>
          </w:tcPr>
          <w:p w:rsidR="004A3AE7" w:rsidRPr="004A3AE7" w:rsidRDefault="004A3AE7" w:rsidP="00336E76">
            <w:pPr>
              <w:keepNext/>
              <w:keepLines/>
              <w:jc w:val="center"/>
              <w:rPr>
                <w:b/>
                <w:color w:val="FFFFFF" w:themeColor="background1"/>
                <w:sz w:val="20"/>
                <w:szCs w:val="20"/>
              </w:rPr>
            </w:pPr>
            <w:r w:rsidRPr="004A3AE7">
              <w:rPr>
                <w:b/>
                <w:color w:val="FFFFFF" w:themeColor="background1"/>
                <w:sz w:val="20"/>
                <w:szCs w:val="20"/>
              </w:rPr>
              <w:t>1-in-2</w:t>
            </w:r>
          </w:p>
        </w:tc>
        <w:tc>
          <w:tcPr>
            <w:tcW w:w="843" w:type="dxa"/>
            <w:shd w:val="clear" w:color="auto" w:fill="1A1D5D"/>
            <w:vAlign w:val="bottom"/>
          </w:tcPr>
          <w:p w:rsidR="004A3AE7" w:rsidRPr="004A3AE7" w:rsidRDefault="004A3AE7" w:rsidP="00336E76">
            <w:pPr>
              <w:keepNext/>
              <w:keepLines/>
              <w:jc w:val="center"/>
              <w:rPr>
                <w:b/>
                <w:color w:val="FFFFFF" w:themeColor="background1"/>
                <w:sz w:val="20"/>
                <w:szCs w:val="20"/>
              </w:rPr>
            </w:pPr>
            <w:r w:rsidRPr="004A3AE7">
              <w:rPr>
                <w:b/>
                <w:color w:val="FFFFFF" w:themeColor="background1"/>
                <w:sz w:val="20"/>
                <w:szCs w:val="20"/>
              </w:rPr>
              <w:t>1-in-10</w:t>
            </w:r>
          </w:p>
        </w:tc>
        <w:tc>
          <w:tcPr>
            <w:tcW w:w="843" w:type="dxa"/>
            <w:shd w:val="clear" w:color="auto" w:fill="1A1D5D"/>
            <w:vAlign w:val="bottom"/>
          </w:tcPr>
          <w:p w:rsidR="004A3AE7" w:rsidRPr="004A3AE7" w:rsidRDefault="004A3AE7" w:rsidP="00336E76">
            <w:pPr>
              <w:keepNext/>
              <w:keepLines/>
              <w:jc w:val="center"/>
              <w:rPr>
                <w:b/>
                <w:color w:val="FFFFFF" w:themeColor="background1"/>
                <w:sz w:val="20"/>
                <w:szCs w:val="20"/>
              </w:rPr>
            </w:pPr>
            <w:r w:rsidRPr="004A3AE7">
              <w:rPr>
                <w:b/>
                <w:color w:val="FFFFFF" w:themeColor="background1"/>
                <w:sz w:val="20"/>
                <w:szCs w:val="20"/>
              </w:rPr>
              <w:t>1-in-2</w:t>
            </w:r>
          </w:p>
        </w:tc>
        <w:tc>
          <w:tcPr>
            <w:tcW w:w="843" w:type="dxa"/>
            <w:shd w:val="clear" w:color="auto" w:fill="1A1D5D"/>
            <w:vAlign w:val="bottom"/>
          </w:tcPr>
          <w:p w:rsidR="004A3AE7" w:rsidRPr="004A3AE7" w:rsidRDefault="004A3AE7" w:rsidP="00336E76">
            <w:pPr>
              <w:keepNext/>
              <w:keepLines/>
              <w:jc w:val="center"/>
              <w:rPr>
                <w:b/>
                <w:color w:val="FFFFFF" w:themeColor="background1"/>
                <w:sz w:val="20"/>
                <w:szCs w:val="20"/>
              </w:rPr>
            </w:pPr>
            <w:r w:rsidRPr="004A3AE7">
              <w:rPr>
                <w:b/>
                <w:color w:val="FFFFFF" w:themeColor="background1"/>
                <w:sz w:val="20"/>
                <w:szCs w:val="20"/>
              </w:rPr>
              <w:t>1-in-10</w:t>
            </w:r>
          </w:p>
        </w:tc>
      </w:tr>
      <w:tr w:rsidR="004A3AE7" w:rsidRPr="009E4B45" w:rsidTr="004A3AE7">
        <w:trPr>
          <w:trHeight w:val="288"/>
        </w:trPr>
        <w:tc>
          <w:tcPr>
            <w:tcW w:w="1548" w:type="dxa"/>
            <w:tcBorders>
              <w:bottom w:val="single" w:sz="4" w:space="0" w:color="7F7F7F"/>
            </w:tcBorders>
            <w:shd w:val="clear" w:color="auto" w:fill="auto"/>
            <w:noWrap/>
            <w:vAlign w:val="center"/>
          </w:tcPr>
          <w:p w:rsidR="004A3AE7" w:rsidRPr="004A3AE7" w:rsidRDefault="004A3AE7" w:rsidP="004A3AE7">
            <w:pPr>
              <w:keepNext/>
              <w:keepLines/>
              <w:rPr>
                <w:b/>
                <w:color w:val="000000"/>
                <w:sz w:val="20"/>
                <w:szCs w:val="20"/>
              </w:rPr>
            </w:pPr>
            <w:r w:rsidRPr="004A3AE7">
              <w:rPr>
                <w:b/>
                <w:color w:val="000000"/>
                <w:sz w:val="20"/>
                <w:szCs w:val="20"/>
              </w:rPr>
              <w:t>Total DA</w:t>
            </w:r>
          </w:p>
        </w:tc>
        <w:tc>
          <w:tcPr>
            <w:tcW w:w="667" w:type="dxa"/>
            <w:tcBorders>
              <w:bottom w:val="single" w:sz="4" w:space="0" w:color="7F7F7F"/>
            </w:tcBorders>
            <w:vAlign w:val="center"/>
          </w:tcPr>
          <w:p w:rsidR="004A3AE7" w:rsidRPr="004A3AE7" w:rsidRDefault="004A3AE7" w:rsidP="00336E76">
            <w:pPr>
              <w:jc w:val="right"/>
              <w:rPr>
                <w:b/>
                <w:color w:val="000000"/>
                <w:sz w:val="20"/>
                <w:szCs w:val="20"/>
              </w:rPr>
            </w:pPr>
            <w:r w:rsidRPr="004A3AE7">
              <w:rPr>
                <w:b/>
                <w:color w:val="000000"/>
                <w:sz w:val="20"/>
                <w:szCs w:val="20"/>
              </w:rPr>
              <w:t>122</w:t>
            </w:r>
          </w:p>
        </w:tc>
        <w:tc>
          <w:tcPr>
            <w:tcW w:w="951" w:type="dxa"/>
            <w:tcBorders>
              <w:bottom w:val="single" w:sz="4" w:space="0" w:color="7F7F7F"/>
            </w:tcBorders>
            <w:vAlign w:val="center"/>
          </w:tcPr>
          <w:p w:rsidR="004A3AE7" w:rsidRPr="004A3AE7" w:rsidRDefault="004A3AE7" w:rsidP="00336E76">
            <w:pPr>
              <w:jc w:val="right"/>
              <w:rPr>
                <w:b/>
                <w:color w:val="000000"/>
                <w:sz w:val="20"/>
                <w:szCs w:val="20"/>
                <w:highlight w:val="yellow"/>
              </w:rPr>
            </w:pPr>
            <w:r w:rsidRPr="004A3AE7">
              <w:rPr>
                <w:b/>
                <w:bCs/>
                <w:color w:val="000000"/>
                <w:sz w:val="20"/>
                <w:szCs w:val="20"/>
              </w:rPr>
              <w:t>62.87</w:t>
            </w:r>
          </w:p>
        </w:tc>
        <w:tc>
          <w:tcPr>
            <w:tcW w:w="1019" w:type="dxa"/>
            <w:tcBorders>
              <w:bottom w:val="single" w:sz="4" w:space="0" w:color="7F7F7F"/>
            </w:tcBorders>
            <w:vAlign w:val="center"/>
          </w:tcPr>
          <w:p w:rsidR="004A3AE7" w:rsidRPr="004A3AE7" w:rsidRDefault="004A3AE7" w:rsidP="00336E76">
            <w:pPr>
              <w:jc w:val="right"/>
              <w:rPr>
                <w:b/>
                <w:color w:val="000000"/>
                <w:sz w:val="20"/>
                <w:szCs w:val="20"/>
                <w:highlight w:val="yellow"/>
              </w:rPr>
            </w:pPr>
            <w:r w:rsidRPr="004A3AE7">
              <w:rPr>
                <w:b/>
                <w:bCs/>
                <w:color w:val="000000"/>
                <w:sz w:val="20"/>
                <w:szCs w:val="20"/>
              </w:rPr>
              <w:t>62.87</w:t>
            </w:r>
          </w:p>
        </w:tc>
        <w:tc>
          <w:tcPr>
            <w:tcW w:w="1019" w:type="dxa"/>
            <w:tcBorders>
              <w:bottom w:val="single" w:sz="4" w:space="0" w:color="7F7F7F"/>
            </w:tcBorders>
            <w:vAlign w:val="center"/>
          </w:tcPr>
          <w:p w:rsidR="004A3AE7" w:rsidRPr="004A3AE7" w:rsidRDefault="004A3AE7" w:rsidP="00336E76">
            <w:pPr>
              <w:jc w:val="right"/>
              <w:rPr>
                <w:b/>
                <w:color w:val="000000"/>
                <w:sz w:val="20"/>
                <w:szCs w:val="20"/>
                <w:highlight w:val="yellow"/>
              </w:rPr>
            </w:pPr>
            <w:r w:rsidRPr="004A3AE7">
              <w:rPr>
                <w:b/>
                <w:bCs/>
                <w:color w:val="000000"/>
                <w:sz w:val="20"/>
                <w:szCs w:val="20"/>
              </w:rPr>
              <w:t>62.82</w:t>
            </w:r>
          </w:p>
        </w:tc>
        <w:tc>
          <w:tcPr>
            <w:tcW w:w="1019" w:type="dxa"/>
            <w:tcBorders>
              <w:bottom w:val="single" w:sz="4" w:space="0" w:color="7F7F7F"/>
            </w:tcBorders>
            <w:vAlign w:val="center"/>
          </w:tcPr>
          <w:p w:rsidR="004A3AE7" w:rsidRPr="004A3AE7" w:rsidRDefault="004A3AE7" w:rsidP="00336E76">
            <w:pPr>
              <w:jc w:val="right"/>
              <w:rPr>
                <w:b/>
                <w:color w:val="000000"/>
                <w:sz w:val="20"/>
                <w:szCs w:val="20"/>
                <w:highlight w:val="yellow"/>
              </w:rPr>
            </w:pPr>
            <w:r w:rsidRPr="004A3AE7">
              <w:rPr>
                <w:b/>
                <w:bCs/>
                <w:color w:val="000000"/>
                <w:sz w:val="20"/>
                <w:szCs w:val="20"/>
              </w:rPr>
              <w:t>62.82</w:t>
            </w:r>
          </w:p>
        </w:tc>
        <w:tc>
          <w:tcPr>
            <w:tcW w:w="843" w:type="dxa"/>
            <w:tcBorders>
              <w:left w:val="nil"/>
              <w:bottom w:val="single" w:sz="4" w:space="0" w:color="7F7F7F"/>
              <w:right w:val="nil"/>
            </w:tcBorders>
            <w:shd w:val="clear" w:color="auto" w:fill="auto"/>
            <w:vAlign w:val="center"/>
          </w:tcPr>
          <w:p w:rsidR="004A3AE7" w:rsidRPr="004A3AE7" w:rsidRDefault="004A3AE7" w:rsidP="00336E76">
            <w:pPr>
              <w:jc w:val="right"/>
              <w:rPr>
                <w:b/>
                <w:color w:val="000000"/>
                <w:sz w:val="20"/>
                <w:szCs w:val="20"/>
                <w:highlight w:val="yellow"/>
              </w:rPr>
            </w:pPr>
            <w:r w:rsidRPr="004A3AE7">
              <w:rPr>
                <w:b/>
                <w:bCs/>
                <w:color w:val="000000"/>
                <w:sz w:val="20"/>
                <w:szCs w:val="20"/>
              </w:rPr>
              <w:t>7.67</w:t>
            </w:r>
          </w:p>
        </w:tc>
        <w:tc>
          <w:tcPr>
            <w:tcW w:w="843" w:type="dxa"/>
            <w:tcBorders>
              <w:left w:val="nil"/>
              <w:bottom w:val="single" w:sz="4" w:space="0" w:color="7F7F7F"/>
              <w:right w:val="nil"/>
            </w:tcBorders>
            <w:shd w:val="clear" w:color="auto" w:fill="auto"/>
            <w:vAlign w:val="center"/>
          </w:tcPr>
          <w:p w:rsidR="004A3AE7" w:rsidRPr="004A3AE7" w:rsidRDefault="004A3AE7" w:rsidP="00336E76">
            <w:pPr>
              <w:jc w:val="right"/>
              <w:rPr>
                <w:b/>
                <w:color w:val="000000"/>
                <w:sz w:val="20"/>
                <w:szCs w:val="20"/>
                <w:highlight w:val="yellow"/>
              </w:rPr>
            </w:pPr>
            <w:r w:rsidRPr="004A3AE7">
              <w:rPr>
                <w:b/>
                <w:bCs/>
                <w:color w:val="000000"/>
                <w:sz w:val="20"/>
                <w:szCs w:val="20"/>
              </w:rPr>
              <w:t>7.67</w:t>
            </w:r>
          </w:p>
        </w:tc>
        <w:tc>
          <w:tcPr>
            <w:tcW w:w="843" w:type="dxa"/>
            <w:tcBorders>
              <w:left w:val="nil"/>
              <w:bottom w:val="single" w:sz="4" w:space="0" w:color="7F7F7F"/>
              <w:right w:val="nil"/>
            </w:tcBorders>
            <w:shd w:val="clear" w:color="auto" w:fill="auto"/>
            <w:vAlign w:val="center"/>
          </w:tcPr>
          <w:p w:rsidR="004A3AE7" w:rsidRPr="004A3AE7" w:rsidRDefault="004A3AE7" w:rsidP="00336E76">
            <w:pPr>
              <w:jc w:val="right"/>
              <w:rPr>
                <w:b/>
                <w:color w:val="000000"/>
                <w:sz w:val="20"/>
                <w:szCs w:val="20"/>
                <w:highlight w:val="yellow"/>
              </w:rPr>
            </w:pPr>
            <w:r w:rsidRPr="004A3AE7">
              <w:rPr>
                <w:b/>
                <w:bCs/>
                <w:color w:val="000000"/>
                <w:sz w:val="20"/>
                <w:szCs w:val="20"/>
              </w:rPr>
              <w:t>7.66</w:t>
            </w:r>
          </w:p>
        </w:tc>
        <w:tc>
          <w:tcPr>
            <w:tcW w:w="843" w:type="dxa"/>
            <w:tcBorders>
              <w:left w:val="nil"/>
              <w:bottom w:val="single" w:sz="4" w:space="0" w:color="7F7F7F"/>
              <w:right w:val="nil"/>
            </w:tcBorders>
            <w:shd w:val="clear" w:color="auto" w:fill="auto"/>
            <w:vAlign w:val="center"/>
          </w:tcPr>
          <w:p w:rsidR="004A3AE7" w:rsidRPr="004A3AE7" w:rsidRDefault="004A3AE7" w:rsidP="00336E76">
            <w:pPr>
              <w:jc w:val="right"/>
              <w:rPr>
                <w:b/>
                <w:color w:val="000000"/>
                <w:sz w:val="20"/>
                <w:szCs w:val="20"/>
                <w:highlight w:val="yellow"/>
              </w:rPr>
            </w:pPr>
            <w:r w:rsidRPr="004A3AE7">
              <w:rPr>
                <w:b/>
                <w:bCs/>
                <w:color w:val="000000"/>
                <w:sz w:val="20"/>
                <w:szCs w:val="20"/>
              </w:rPr>
              <w:t>7.66</w:t>
            </w:r>
          </w:p>
        </w:tc>
      </w:tr>
      <w:tr w:rsidR="004A3AE7" w:rsidRPr="00854FC2" w:rsidTr="004A3AE7">
        <w:trPr>
          <w:trHeight w:val="288"/>
        </w:trPr>
        <w:tc>
          <w:tcPr>
            <w:tcW w:w="1548" w:type="dxa"/>
            <w:tcBorders>
              <w:top w:val="single" w:sz="4" w:space="0" w:color="7F7F7F"/>
            </w:tcBorders>
            <w:shd w:val="clear" w:color="auto" w:fill="auto"/>
            <w:noWrap/>
            <w:vAlign w:val="center"/>
          </w:tcPr>
          <w:p w:rsidR="004A3AE7" w:rsidRPr="004A3AE7" w:rsidRDefault="004A3AE7" w:rsidP="004A3AE7">
            <w:pPr>
              <w:keepNext/>
              <w:keepLines/>
              <w:rPr>
                <w:color w:val="000000"/>
                <w:sz w:val="20"/>
                <w:szCs w:val="20"/>
              </w:rPr>
            </w:pPr>
            <w:r w:rsidRPr="004A3AE7">
              <w:rPr>
                <w:color w:val="000000"/>
                <w:sz w:val="20"/>
                <w:szCs w:val="20"/>
              </w:rPr>
              <w:t>DO, 1-4 Hour</w:t>
            </w:r>
          </w:p>
        </w:tc>
        <w:tc>
          <w:tcPr>
            <w:tcW w:w="667" w:type="dxa"/>
            <w:tcBorders>
              <w:top w:val="single" w:sz="4" w:space="0" w:color="7F7F7F"/>
            </w:tcBorders>
            <w:vAlign w:val="center"/>
          </w:tcPr>
          <w:p w:rsidR="004A3AE7" w:rsidRPr="004A3AE7" w:rsidRDefault="004A3AE7" w:rsidP="00336E76">
            <w:pPr>
              <w:jc w:val="right"/>
              <w:rPr>
                <w:color w:val="000000"/>
                <w:sz w:val="20"/>
                <w:szCs w:val="20"/>
              </w:rPr>
            </w:pPr>
            <w:r w:rsidRPr="004A3AE7">
              <w:rPr>
                <w:color w:val="000000"/>
                <w:sz w:val="20"/>
                <w:szCs w:val="20"/>
              </w:rPr>
              <w:t>160</w:t>
            </w:r>
          </w:p>
        </w:tc>
        <w:tc>
          <w:tcPr>
            <w:tcW w:w="951" w:type="dxa"/>
            <w:tcBorders>
              <w:top w:val="single" w:sz="4" w:space="0" w:color="7F7F7F"/>
            </w:tcBorders>
            <w:vAlign w:val="center"/>
          </w:tcPr>
          <w:p w:rsidR="004A3AE7" w:rsidRPr="004A3AE7" w:rsidRDefault="004A3AE7" w:rsidP="00336E76">
            <w:pPr>
              <w:jc w:val="right"/>
              <w:rPr>
                <w:color w:val="000000"/>
                <w:sz w:val="20"/>
                <w:szCs w:val="20"/>
                <w:highlight w:val="yellow"/>
              </w:rPr>
            </w:pPr>
            <w:r w:rsidRPr="004A3AE7">
              <w:rPr>
                <w:color w:val="000000"/>
                <w:sz w:val="20"/>
                <w:szCs w:val="20"/>
              </w:rPr>
              <w:t>14.60</w:t>
            </w:r>
          </w:p>
        </w:tc>
        <w:tc>
          <w:tcPr>
            <w:tcW w:w="1019" w:type="dxa"/>
            <w:tcBorders>
              <w:top w:val="single" w:sz="4" w:space="0" w:color="7F7F7F"/>
            </w:tcBorders>
            <w:vAlign w:val="center"/>
          </w:tcPr>
          <w:p w:rsidR="004A3AE7" w:rsidRPr="004A3AE7" w:rsidRDefault="004A3AE7" w:rsidP="00336E76">
            <w:pPr>
              <w:jc w:val="right"/>
              <w:rPr>
                <w:color w:val="000000"/>
                <w:sz w:val="20"/>
                <w:szCs w:val="20"/>
                <w:highlight w:val="yellow"/>
              </w:rPr>
            </w:pPr>
            <w:r w:rsidRPr="004A3AE7">
              <w:rPr>
                <w:color w:val="000000"/>
                <w:sz w:val="20"/>
                <w:szCs w:val="20"/>
              </w:rPr>
              <w:t>14.60</w:t>
            </w:r>
          </w:p>
        </w:tc>
        <w:tc>
          <w:tcPr>
            <w:tcW w:w="1019" w:type="dxa"/>
            <w:tcBorders>
              <w:top w:val="single" w:sz="4" w:space="0" w:color="7F7F7F"/>
            </w:tcBorders>
            <w:vAlign w:val="center"/>
          </w:tcPr>
          <w:p w:rsidR="004A3AE7" w:rsidRPr="004A3AE7" w:rsidRDefault="004A3AE7" w:rsidP="00336E76">
            <w:pPr>
              <w:jc w:val="right"/>
              <w:rPr>
                <w:color w:val="000000"/>
                <w:sz w:val="20"/>
                <w:szCs w:val="20"/>
                <w:highlight w:val="yellow"/>
              </w:rPr>
            </w:pPr>
            <w:r w:rsidRPr="004A3AE7">
              <w:rPr>
                <w:color w:val="000000"/>
                <w:sz w:val="20"/>
                <w:szCs w:val="20"/>
              </w:rPr>
              <w:t>14.23</w:t>
            </w:r>
          </w:p>
        </w:tc>
        <w:tc>
          <w:tcPr>
            <w:tcW w:w="1019" w:type="dxa"/>
            <w:tcBorders>
              <w:top w:val="single" w:sz="4" w:space="0" w:color="7F7F7F"/>
            </w:tcBorders>
            <w:vAlign w:val="center"/>
          </w:tcPr>
          <w:p w:rsidR="004A3AE7" w:rsidRPr="004A3AE7" w:rsidRDefault="004A3AE7" w:rsidP="00336E76">
            <w:pPr>
              <w:jc w:val="right"/>
              <w:rPr>
                <w:color w:val="000000"/>
                <w:sz w:val="20"/>
                <w:szCs w:val="20"/>
                <w:highlight w:val="yellow"/>
              </w:rPr>
            </w:pPr>
            <w:r w:rsidRPr="004A3AE7">
              <w:rPr>
                <w:color w:val="000000"/>
                <w:sz w:val="20"/>
                <w:szCs w:val="20"/>
              </w:rPr>
              <w:t>14.23</w:t>
            </w:r>
          </w:p>
        </w:tc>
        <w:tc>
          <w:tcPr>
            <w:tcW w:w="843" w:type="dxa"/>
            <w:tcBorders>
              <w:top w:val="single" w:sz="4" w:space="0" w:color="7F7F7F"/>
              <w:left w:val="nil"/>
              <w:right w:val="nil"/>
            </w:tcBorders>
            <w:shd w:val="clear" w:color="auto" w:fill="auto"/>
            <w:vAlign w:val="center"/>
          </w:tcPr>
          <w:p w:rsidR="004A3AE7" w:rsidRPr="004A3AE7" w:rsidRDefault="004A3AE7" w:rsidP="00336E76">
            <w:pPr>
              <w:jc w:val="right"/>
              <w:rPr>
                <w:color w:val="000000"/>
                <w:sz w:val="20"/>
                <w:szCs w:val="20"/>
                <w:highlight w:val="yellow"/>
              </w:rPr>
            </w:pPr>
            <w:r w:rsidRPr="004A3AE7">
              <w:rPr>
                <w:color w:val="000000"/>
                <w:sz w:val="20"/>
                <w:szCs w:val="20"/>
              </w:rPr>
              <w:t>2.34</w:t>
            </w:r>
          </w:p>
        </w:tc>
        <w:tc>
          <w:tcPr>
            <w:tcW w:w="843" w:type="dxa"/>
            <w:tcBorders>
              <w:top w:val="single" w:sz="4" w:space="0" w:color="7F7F7F"/>
              <w:left w:val="nil"/>
              <w:right w:val="nil"/>
            </w:tcBorders>
            <w:shd w:val="clear" w:color="auto" w:fill="auto"/>
            <w:vAlign w:val="center"/>
          </w:tcPr>
          <w:p w:rsidR="004A3AE7" w:rsidRPr="004A3AE7" w:rsidRDefault="004A3AE7" w:rsidP="00336E76">
            <w:pPr>
              <w:jc w:val="right"/>
              <w:rPr>
                <w:color w:val="000000"/>
                <w:sz w:val="20"/>
                <w:szCs w:val="20"/>
                <w:highlight w:val="yellow"/>
              </w:rPr>
            </w:pPr>
            <w:r w:rsidRPr="004A3AE7">
              <w:rPr>
                <w:color w:val="000000"/>
                <w:sz w:val="20"/>
                <w:szCs w:val="20"/>
              </w:rPr>
              <w:t>2.34</w:t>
            </w:r>
          </w:p>
        </w:tc>
        <w:tc>
          <w:tcPr>
            <w:tcW w:w="843" w:type="dxa"/>
            <w:tcBorders>
              <w:top w:val="single" w:sz="4" w:space="0" w:color="7F7F7F"/>
              <w:left w:val="nil"/>
              <w:right w:val="nil"/>
            </w:tcBorders>
            <w:shd w:val="clear" w:color="auto" w:fill="auto"/>
            <w:vAlign w:val="center"/>
          </w:tcPr>
          <w:p w:rsidR="004A3AE7" w:rsidRPr="004A3AE7" w:rsidRDefault="004A3AE7" w:rsidP="00336E76">
            <w:pPr>
              <w:jc w:val="right"/>
              <w:rPr>
                <w:color w:val="000000"/>
                <w:sz w:val="20"/>
                <w:szCs w:val="20"/>
                <w:highlight w:val="yellow"/>
              </w:rPr>
            </w:pPr>
            <w:r w:rsidRPr="004A3AE7">
              <w:rPr>
                <w:color w:val="000000"/>
                <w:sz w:val="20"/>
                <w:szCs w:val="20"/>
              </w:rPr>
              <w:t>2.28</w:t>
            </w:r>
          </w:p>
        </w:tc>
        <w:tc>
          <w:tcPr>
            <w:tcW w:w="843" w:type="dxa"/>
            <w:tcBorders>
              <w:top w:val="single" w:sz="4" w:space="0" w:color="7F7F7F"/>
              <w:left w:val="nil"/>
              <w:right w:val="nil"/>
            </w:tcBorders>
            <w:shd w:val="clear" w:color="auto" w:fill="auto"/>
            <w:vAlign w:val="center"/>
          </w:tcPr>
          <w:p w:rsidR="004A3AE7" w:rsidRPr="004A3AE7" w:rsidRDefault="004A3AE7" w:rsidP="00336E76">
            <w:pPr>
              <w:jc w:val="right"/>
              <w:rPr>
                <w:color w:val="000000"/>
                <w:sz w:val="20"/>
                <w:szCs w:val="20"/>
                <w:highlight w:val="yellow"/>
              </w:rPr>
            </w:pPr>
            <w:r w:rsidRPr="004A3AE7">
              <w:rPr>
                <w:color w:val="000000"/>
                <w:sz w:val="20"/>
                <w:szCs w:val="20"/>
              </w:rPr>
              <w:t>2.28</w:t>
            </w:r>
          </w:p>
        </w:tc>
      </w:tr>
      <w:tr w:rsidR="004A3AE7" w:rsidRPr="00854FC2" w:rsidTr="004A3AE7">
        <w:trPr>
          <w:trHeight w:val="288"/>
        </w:trPr>
        <w:tc>
          <w:tcPr>
            <w:tcW w:w="1548" w:type="dxa"/>
            <w:tcBorders>
              <w:bottom w:val="single" w:sz="4" w:space="0" w:color="7F7F7F" w:themeColor="text1" w:themeTint="80"/>
            </w:tcBorders>
            <w:shd w:val="clear" w:color="auto" w:fill="auto"/>
            <w:noWrap/>
            <w:vAlign w:val="center"/>
          </w:tcPr>
          <w:p w:rsidR="004A3AE7" w:rsidRPr="004A3AE7" w:rsidRDefault="004A3AE7" w:rsidP="004A3AE7">
            <w:pPr>
              <w:keepNext/>
              <w:keepLines/>
              <w:rPr>
                <w:color w:val="000000"/>
                <w:sz w:val="20"/>
                <w:szCs w:val="20"/>
              </w:rPr>
            </w:pPr>
            <w:r w:rsidRPr="004A3AE7">
              <w:rPr>
                <w:color w:val="000000"/>
                <w:sz w:val="20"/>
                <w:szCs w:val="20"/>
              </w:rPr>
              <w:t>DO, 2-6 Hour</w:t>
            </w:r>
          </w:p>
        </w:tc>
        <w:tc>
          <w:tcPr>
            <w:tcW w:w="667" w:type="dxa"/>
            <w:tcBorders>
              <w:bottom w:val="single" w:sz="4" w:space="0" w:color="7F7F7F" w:themeColor="text1" w:themeTint="80"/>
            </w:tcBorders>
            <w:vAlign w:val="center"/>
          </w:tcPr>
          <w:p w:rsidR="004A3AE7" w:rsidRPr="004A3AE7" w:rsidRDefault="004A3AE7" w:rsidP="00336E76">
            <w:pPr>
              <w:jc w:val="right"/>
              <w:rPr>
                <w:color w:val="000000"/>
                <w:sz w:val="20"/>
                <w:szCs w:val="20"/>
              </w:rPr>
            </w:pPr>
            <w:r w:rsidRPr="004A3AE7">
              <w:rPr>
                <w:color w:val="000000"/>
                <w:sz w:val="20"/>
                <w:szCs w:val="20"/>
              </w:rPr>
              <w:t>60</w:t>
            </w:r>
          </w:p>
        </w:tc>
        <w:tc>
          <w:tcPr>
            <w:tcW w:w="951" w:type="dxa"/>
            <w:tcBorders>
              <w:bottom w:val="single" w:sz="4" w:space="0" w:color="7F7F7F" w:themeColor="text1" w:themeTint="80"/>
            </w:tcBorders>
            <w:vAlign w:val="center"/>
          </w:tcPr>
          <w:p w:rsidR="004A3AE7" w:rsidRPr="004A3AE7" w:rsidRDefault="004A3AE7" w:rsidP="00336E76">
            <w:pPr>
              <w:jc w:val="right"/>
              <w:rPr>
                <w:color w:val="000000"/>
                <w:sz w:val="20"/>
                <w:szCs w:val="20"/>
                <w:highlight w:val="yellow"/>
              </w:rPr>
            </w:pPr>
            <w:r w:rsidRPr="004A3AE7">
              <w:rPr>
                <w:color w:val="000000"/>
                <w:sz w:val="20"/>
                <w:szCs w:val="20"/>
              </w:rPr>
              <w:t>36.95</w:t>
            </w:r>
          </w:p>
        </w:tc>
        <w:tc>
          <w:tcPr>
            <w:tcW w:w="1019" w:type="dxa"/>
            <w:tcBorders>
              <w:bottom w:val="single" w:sz="4" w:space="0" w:color="7F7F7F" w:themeColor="text1" w:themeTint="80"/>
            </w:tcBorders>
            <w:vAlign w:val="center"/>
          </w:tcPr>
          <w:p w:rsidR="004A3AE7" w:rsidRPr="004A3AE7" w:rsidRDefault="004A3AE7" w:rsidP="00336E76">
            <w:pPr>
              <w:jc w:val="right"/>
              <w:rPr>
                <w:color w:val="000000"/>
                <w:sz w:val="20"/>
                <w:szCs w:val="20"/>
                <w:highlight w:val="yellow"/>
              </w:rPr>
            </w:pPr>
            <w:r w:rsidRPr="004A3AE7">
              <w:rPr>
                <w:color w:val="000000"/>
                <w:sz w:val="20"/>
                <w:szCs w:val="20"/>
              </w:rPr>
              <w:t>36.95</w:t>
            </w:r>
          </w:p>
        </w:tc>
        <w:tc>
          <w:tcPr>
            <w:tcW w:w="1019" w:type="dxa"/>
            <w:tcBorders>
              <w:bottom w:val="single" w:sz="4" w:space="0" w:color="7F7F7F" w:themeColor="text1" w:themeTint="80"/>
            </w:tcBorders>
            <w:vAlign w:val="center"/>
          </w:tcPr>
          <w:p w:rsidR="004A3AE7" w:rsidRPr="004A3AE7" w:rsidRDefault="004A3AE7" w:rsidP="00336E76">
            <w:pPr>
              <w:jc w:val="right"/>
              <w:rPr>
                <w:color w:val="000000"/>
                <w:sz w:val="20"/>
                <w:szCs w:val="20"/>
                <w:highlight w:val="yellow"/>
              </w:rPr>
            </w:pPr>
            <w:r w:rsidRPr="004A3AE7">
              <w:rPr>
                <w:color w:val="000000"/>
                <w:sz w:val="20"/>
                <w:szCs w:val="20"/>
              </w:rPr>
              <w:t>37.79</w:t>
            </w:r>
          </w:p>
        </w:tc>
        <w:tc>
          <w:tcPr>
            <w:tcW w:w="1019" w:type="dxa"/>
            <w:tcBorders>
              <w:bottom w:val="single" w:sz="4" w:space="0" w:color="7F7F7F" w:themeColor="text1" w:themeTint="80"/>
            </w:tcBorders>
            <w:vAlign w:val="center"/>
          </w:tcPr>
          <w:p w:rsidR="004A3AE7" w:rsidRPr="004A3AE7" w:rsidRDefault="004A3AE7" w:rsidP="00336E76">
            <w:pPr>
              <w:jc w:val="right"/>
              <w:rPr>
                <w:color w:val="000000"/>
                <w:sz w:val="20"/>
                <w:szCs w:val="20"/>
                <w:highlight w:val="yellow"/>
              </w:rPr>
            </w:pPr>
            <w:r w:rsidRPr="004A3AE7">
              <w:rPr>
                <w:color w:val="000000"/>
                <w:sz w:val="20"/>
                <w:szCs w:val="20"/>
              </w:rPr>
              <w:t>37.79</w:t>
            </w:r>
          </w:p>
        </w:tc>
        <w:tc>
          <w:tcPr>
            <w:tcW w:w="843" w:type="dxa"/>
            <w:tcBorders>
              <w:left w:val="nil"/>
              <w:bottom w:val="single" w:sz="4" w:space="0" w:color="7F7F7F" w:themeColor="text1" w:themeTint="80"/>
              <w:right w:val="nil"/>
            </w:tcBorders>
            <w:shd w:val="clear" w:color="auto" w:fill="auto"/>
            <w:vAlign w:val="center"/>
          </w:tcPr>
          <w:p w:rsidR="004A3AE7" w:rsidRPr="004A3AE7" w:rsidRDefault="004A3AE7" w:rsidP="00336E76">
            <w:pPr>
              <w:jc w:val="right"/>
              <w:rPr>
                <w:color w:val="000000"/>
                <w:sz w:val="20"/>
                <w:szCs w:val="20"/>
                <w:highlight w:val="yellow"/>
              </w:rPr>
            </w:pPr>
            <w:r w:rsidRPr="004A3AE7">
              <w:rPr>
                <w:color w:val="000000"/>
                <w:sz w:val="20"/>
                <w:szCs w:val="20"/>
              </w:rPr>
              <w:t>2.22</w:t>
            </w:r>
          </w:p>
        </w:tc>
        <w:tc>
          <w:tcPr>
            <w:tcW w:w="843" w:type="dxa"/>
            <w:tcBorders>
              <w:left w:val="nil"/>
              <w:bottom w:val="single" w:sz="4" w:space="0" w:color="7F7F7F" w:themeColor="text1" w:themeTint="80"/>
              <w:right w:val="nil"/>
            </w:tcBorders>
            <w:shd w:val="clear" w:color="auto" w:fill="auto"/>
            <w:vAlign w:val="center"/>
          </w:tcPr>
          <w:p w:rsidR="004A3AE7" w:rsidRPr="004A3AE7" w:rsidRDefault="004A3AE7" w:rsidP="00336E76">
            <w:pPr>
              <w:jc w:val="right"/>
              <w:rPr>
                <w:color w:val="000000"/>
                <w:sz w:val="20"/>
                <w:szCs w:val="20"/>
                <w:highlight w:val="yellow"/>
              </w:rPr>
            </w:pPr>
            <w:r w:rsidRPr="004A3AE7">
              <w:rPr>
                <w:color w:val="000000"/>
                <w:sz w:val="20"/>
                <w:szCs w:val="20"/>
              </w:rPr>
              <w:t>2.22</w:t>
            </w:r>
          </w:p>
        </w:tc>
        <w:tc>
          <w:tcPr>
            <w:tcW w:w="843" w:type="dxa"/>
            <w:tcBorders>
              <w:left w:val="nil"/>
              <w:bottom w:val="single" w:sz="4" w:space="0" w:color="7F7F7F" w:themeColor="text1" w:themeTint="80"/>
              <w:right w:val="nil"/>
            </w:tcBorders>
            <w:shd w:val="clear" w:color="auto" w:fill="auto"/>
            <w:vAlign w:val="center"/>
          </w:tcPr>
          <w:p w:rsidR="004A3AE7" w:rsidRPr="004A3AE7" w:rsidRDefault="004A3AE7" w:rsidP="00336E76">
            <w:pPr>
              <w:jc w:val="right"/>
              <w:rPr>
                <w:color w:val="000000"/>
                <w:sz w:val="20"/>
                <w:szCs w:val="20"/>
                <w:highlight w:val="yellow"/>
              </w:rPr>
            </w:pPr>
            <w:r w:rsidRPr="004A3AE7">
              <w:rPr>
                <w:color w:val="000000"/>
                <w:sz w:val="20"/>
                <w:szCs w:val="20"/>
              </w:rPr>
              <w:t>2.27</w:t>
            </w:r>
          </w:p>
        </w:tc>
        <w:tc>
          <w:tcPr>
            <w:tcW w:w="843" w:type="dxa"/>
            <w:tcBorders>
              <w:left w:val="nil"/>
              <w:bottom w:val="single" w:sz="4" w:space="0" w:color="7F7F7F" w:themeColor="text1" w:themeTint="80"/>
              <w:right w:val="nil"/>
            </w:tcBorders>
            <w:shd w:val="clear" w:color="auto" w:fill="auto"/>
            <w:vAlign w:val="center"/>
          </w:tcPr>
          <w:p w:rsidR="004A3AE7" w:rsidRPr="004A3AE7" w:rsidRDefault="004A3AE7" w:rsidP="00336E76">
            <w:pPr>
              <w:jc w:val="right"/>
              <w:rPr>
                <w:color w:val="000000"/>
                <w:sz w:val="20"/>
                <w:szCs w:val="20"/>
                <w:highlight w:val="yellow"/>
              </w:rPr>
            </w:pPr>
            <w:r w:rsidRPr="004A3AE7">
              <w:rPr>
                <w:color w:val="000000"/>
                <w:sz w:val="20"/>
                <w:szCs w:val="20"/>
              </w:rPr>
              <w:t>2.27</w:t>
            </w:r>
          </w:p>
        </w:tc>
      </w:tr>
      <w:tr w:rsidR="004A3AE7" w:rsidRPr="009E4B45" w:rsidTr="004A3AE7">
        <w:trPr>
          <w:trHeight w:val="288"/>
        </w:trPr>
        <w:tc>
          <w:tcPr>
            <w:tcW w:w="1548" w:type="dxa"/>
            <w:tcBorders>
              <w:bottom w:val="single" w:sz="4" w:space="0" w:color="7F7F7F" w:themeColor="text1" w:themeTint="80"/>
            </w:tcBorders>
            <w:shd w:val="clear" w:color="auto" w:fill="auto"/>
            <w:noWrap/>
            <w:vAlign w:val="center"/>
          </w:tcPr>
          <w:p w:rsidR="004A3AE7" w:rsidRPr="004A3AE7" w:rsidRDefault="004A3AE7" w:rsidP="00336E76">
            <w:pPr>
              <w:keepNext/>
              <w:keepLines/>
              <w:jc w:val="center"/>
              <w:rPr>
                <w:b/>
                <w:color w:val="000000"/>
                <w:sz w:val="20"/>
                <w:szCs w:val="20"/>
              </w:rPr>
            </w:pPr>
            <w:r w:rsidRPr="004A3AE7">
              <w:rPr>
                <w:b/>
                <w:color w:val="000000"/>
                <w:sz w:val="20"/>
                <w:szCs w:val="20"/>
              </w:rPr>
              <w:t>Total DO</w:t>
            </w:r>
          </w:p>
        </w:tc>
        <w:tc>
          <w:tcPr>
            <w:tcW w:w="667" w:type="dxa"/>
            <w:tcBorders>
              <w:bottom w:val="single" w:sz="4" w:space="0" w:color="7F7F7F" w:themeColor="text1" w:themeTint="80"/>
            </w:tcBorders>
            <w:vAlign w:val="center"/>
          </w:tcPr>
          <w:p w:rsidR="004A3AE7" w:rsidRPr="004A3AE7" w:rsidRDefault="004A3AE7" w:rsidP="00336E76">
            <w:pPr>
              <w:jc w:val="right"/>
              <w:rPr>
                <w:b/>
                <w:color w:val="000000"/>
                <w:sz w:val="20"/>
                <w:szCs w:val="20"/>
              </w:rPr>
            </w:pPr>
            <w:r w:rsidRPr="004A3AE7">
              <w:rPr>
                <w:b/>
                <w:color w:val="000000"/>
                <w:sz w:val="20"/>
                <w:szCs w:val="20"/>
              </w:rPr>
              <w:t>220</w:t>
            </w:r>
          </w:p>
        </w:tc>
        <w:tc>
          <w:tcPr>
            <w:tcW w:w="951" w:type="dxa"/>
            <w:tcBorders>
              <w:bottom w:val="single" w:sz="4" w:space="0" w:color="7F7F7F" w:themeColor="text1" w:themeTint="80"/>
            </w:tcBorders>
            <w:vAlign w:val="center"/>
          </w:tcPr>
          <w:p w:rsidR="004A3AE7" w:rsidRPr="004A3AE7" w:rsidRDefault="004A3AE7" w:rsidP="00336E76">
            <w:pPr>
              <w:jc w:val="right"/>
              <w:rPr>
                <w:b/>
                <w:color w:val="000000"/>
                <w:sz w:val="20"/>
                <w:szCs w:val="20"/>
                <w:highlight w:val="yellow"/>
              </w:rPr>
            </w:pPr>
            <w:r w:rsidRPr="004A3AE7">
              <w:rPr>
                <w:b/>
                <w:bCs/>
                <w:color w:val="000000"/>
                <w:sz w:val="20"/>
                <w:szCs w:val="20"/>
              </w:rPr>
              <w:t>20.69</w:t>
            </w:r>
          </w:p>
        </w:tc>
        <w:tc>
          <w:tcPr>
            <w:tcW w:w="1019" w:type="dxa"/>
            <w:tcBorders>
              <w:bottom w:val="single" w:sz="4" w:space="0" w:color="7F7F7F" w:themeColor="text1" w:themeTint="80"/>
            </w:tcBorders>
            <w:vAlign w:val="center"/>
          </w:tcPr>
          <w:p w:rsidR="004A3AE7" w:rsidRPr="004A3AE7" w:rsidRDefault="004A3AE7" w:rsidP="00336E76">
            <w:pPr>
              <w:jc w:val="right"/>
              <w:rPr>
                <w:b/>
                <w:color w:val="000000"/>
                <w:sz w:val="20"/>
                <w:szCs w:val="20"/>
                <w:highlight w:val="yellow"/>
              </w:rPr>
            </w:pPr>
            <w:r w:rsidRPr="004A3AE7">
              <w:rPr>
                <w:b/>
                <w:bCs/>
                <w:color w:val="000000"/>
                <w:sz w:val="20"/>
                <w:szCs w:val="20"/>
              </w:rPr>
              <w:t>20.69</w:t>
            </w:r>
          </w:p>
        </w:tc>
        <w:tc>
          <w:tcPr>
            <w:tcW w:w="1019" w:type="dxa"/>
            <w:tcBorders>
              <w:bottom w:val="single" w:sz="4" w:space="0" w:color="7F7F7F" w:themeColor="text1" w:themeTint="80"/>
            </w:tcBorders>
            <w:vAlign w:val="center"/>
          </w:tcPr>
          <w:p w:rsidR="004A3AE7" w:rsidRPr="004A3AE7" w:rsidRDefault="004A3AE7" w:rsidP="00336E76">
            <w:pPr>
              <w:jc w:val="right"/>
              <w:rPr>
                <w:b/>
                <w:color w:val="000000"/>
                <w:sz w:val="20"/>
                <w:szCs w:val="20"/>
                <w:highlight w:val="yellow"/>
              </w:rPr>
            </w:pPr>
            <w:r w:rsidRPr="004A3AE7">
              <w:rPr>
                <w:b/>
                <w:bCs/>
                <w:color w:val="000000"/>
                <w:sz w:val="20"/>
                <w:szCs w:val="20"/>
              </w:rPr>
              <w:t>20.66</w:t>
            </w:r>
          </w:p>
        </w:tc>
        <w:tc>
          <w:tcPr>
            <w:tcW w:w="1019" w:type="dxa"/>
            <w:tcBorders>
              <w:bottom w:val="single" w:sz="4" w:space="0" w:color="7F7F7F" w:themeColor="text1" w:themeTint="80"/>
            </w:tcBorders>
            <w:vAlign w:val="center"/>
          </w:tcPr>
          <w:p w:rsidR="004A3AE7" w:rsidRPr="004A3AE7" w:rsidRDefault="004A3AE7" w:rsidP="00336E76">
            <w:pPr>
              <w:jc w:val="right"/>
              <w:rPr>
                <w:b/>
                <w:color w:val="000000"/>
                <w:sz w:val="20"/>
                <w:szCs w:val="20"/>
                <w:highlight w:val="yellow"/>
              </w:rPr>
            </w:pPr>
            <w:r w:rsidRPr="004A3AE7">
              <w:rPr>
                <w:b/>
                <w:bCs/>
                <w:color w:val="000000"/>
                <w:sz w:val="20"/>
                <w:szCs w:val="20"/>
              </w:rPr>
              <w:t>20.66</w:t>
            </w:r>
          </w:p>
        </w:tc>
        <w:tc>
          <w:tcPr>
            <w:tcW w:w="843" w:type="dxa"/>
            <w:tcBorders>
              <w:left w:val="nil"/>
              <w:bottom w:val="single" w:sz="4" w:space="0" w:color="7F7F7F" w:themeColor="text1" w:themeTint="80"/>
              <w:right w:val="nil"/>
            </w:tcBorders>
            <w:shd w:val="clear" w:color="auto" w:fill="auto"/>
            <w:vAlign w:val="center"/>
          </w:tcPr>
          <w:p w:rsidR="004A3AE7" w:rsidRPr="004A3AE7" w:rsidRDefault="004A3AE7" w:rsidP="00336E76">
            <w:pPr>
              <w:jc w:val="right"/>
              <w:rPr>
                <w:b/>
                <w:color w:val="000000"/>
                <w:sz w:val="20"/>
                <w:szCs w:val="20"/>
                <w:highlight w:val="yellow"/>
              </w:rPr>
            </w:pPr>
            <w:r w:rsidRPr="004A3AE7">
              <w:rPr>
                <w:b/>
                <w:bCs/>
                <w:color w:val="000000"/>
                <w:sz w:val="20"/>
                <w:szCs w:val="20"/>
              </w:rPr>
              <w:t>4.55</w:t>
            </w:r>
          </w:p>
        </w:tc>
        <w:tc>
          <w:tcPr>
            <w:tcW w:w="843" w:type="dxa"/>
            <w:tcBorders>
              <w:left w:val="nil"/>
              <w:bottom w:val="single" w:sz="4" w:space="0" w:color="7F7F7F" w:themeColor="text1" w:themeTint="80"/>
              <w:right w:val="nil"/>
            </w:tcBorders>
            <w:shd w:val="clear" w:color="auto" w:fill="auto"/>
            <w:vAlign w:val="center"/>
          </w:tcPr>
          <w:p w:rsidR="004A3AE7" w:rsidRPr="004A3AE7" w:rsidRDefault="004A3AE7" w:rsidP="00336E76">
            <w:pPr>
              <w:jc w:val="right"/>
              <w:rPr>
                <w:b/>
                <w:color w:val="000000"/>
                <w:sz w:val="20"/>
                <w:szCs w:val="20"/>
                <w:highlight w:val="yellow"/>
              </w:rPr>
            </w:pPr>
            <w:r w:rsidRPr="004A3AE7">
              <w:rPr>
                <w:b/>
                <w:bCs/>
                <w:color w:val="000000"/>
                <w:sz w:val="20"/>
                <w:szCs w:val="20"/>
              </w:rPr>
              <w:t>4.55</w:t>
            </w:r>
          </w:p>
        </w:tc>
        <w:tc>
          <w:tcPr>
            <w:tcW w:w="843" w:type="dxa"/>
            <w:tcBorders>
              <w:left w:val="nil"/>
              <w:bottom w:val="single" w:sz="4" w:space="0" w:color="7F7F7F" w:themeColor="text1" w:themeTint="80"/>
              <w:right w:val="nil"/>
            </w:tcBorders>
            <w:shd w:val="clear" w:color="auto" w:fill="auto"/>
            <w:vAlign w:val="center"/>
          </w:tcPr>
          <w:p w:rsidR="004A3AE7" w:rsidRPr="004A3AE7" w:rsidRDefault="004A3AE7" w:rsidP="00336E76">
            <w:pPr>
              <w:jc w:val="right"/>
              <w:rPr>
                <w:b/>
                <w:color w:val="000000"/>
                <w:sz w:val="20"/>
                <w:szCs w:val="20"/>
                <w:highlight w:val="yellow"/>
              </w:rPr>
            </w:pPr>
            <w:r w:rsidRPr="004A3AE7">
              <w:rPr>
                <w:b/>
                <w:bCs/>
                <w:color w:val="000000"/>
                <w:sz w:val="20"/>
                <w:szCs w:val="20"/>
              </w:rPr>
              <w:t>4.54</w:t>
            </w:r>
          </w:p>
        </w:tc>
        <w:tc>
          <w:tcPr>
            <w:tcW w:w="843" w:type="dxa"/>
            <w:tcBorders>
              <w:left w:val="nil"/>
              <w:bottom w:val="single" w:sz="4" w:space="0" w:color="7F7F7F" w:themeColor="text1" w:themeTint="80"/>
              <w:right w:val="nil"/>
            </w:tcBorders>
            <w:shd w:val="clear" w:color="auto" w:fill="auto"/>
            <w:vAlign w:val="center"/>
          </w:tcPr>
          <w:p w:rsidR="004A3AE7" w:rsidRPr="004A3AE7" w:rsidRDefault="004A3AE7" w:rsidP="00336E76">
            <w:pPr>
              <w:jc w:val="right"/>
              <w:rPr>
                <w:b/>
                <w:color w:val="000000"/>
                <w:sz w:val="20"/>
                <w:szCs w:val="20"/>
                <w:highlight w:val="yellow"/>
              </w:rPr>
            </w:pPr>
            <w:r w:rsidRPr="004A3AE7">
              <w:rPr>
                <w:b/>
                <w:bCs/>
                <w:color w:val="000000"/>
                <w:sz w:val="20"/>
                <w:szCs w:val="20"/>
              </w:rPr>
              <w:t>4.54</w:t>
            </w:r>
          </w:p>
        </w:tc>
      </w:tr>
    </w:tbl>
    <w:p w:rsidR="004829BE" w:rsidRPr="00252370" w:rsidRDefault="004829BE" w:rsidP="003C4AD3">
      <w:pPr>
        <w:pStyle w:val="Heading2"/>
        <w:spacing w:after="0" w:line="276" w:lineRule="auto"/>
        <w:rPr>
          <w:rFonts w:ascii="Times New Roman" w:hAnsi="Times New Roman" w:cs="Times New Roman"/>
          <w:color w:val="000000" w:themeColor="text1"/>
        </w:rPr>
      </w:pPr>
      <w:bookmarkStart w:id="63" w:name="_Toc447179773"/>
      <w:r w:rsidRPr="00252370">
        <w:rPr>
          <w:rFonts w:ascii="Times New Roman" w:hAnsi="Times New Roman" w:cs="Times New Roman"/>
          <w:color w:val="000000" w:themeColor="text1"/>
        </w:rPr>
        <w:t>CBP Comparisons of Ex-Post and Ex-Ante Results</w:t>
      </w:r>
      <w:bookmarkEnd w:id="63"/>
    </w:p>
    <w:p w:rsidR="004829BE" w:rsidRPr="00252370" w:rsidRDefault="004829BE" w:rsidP="003C4AD3">
      <w:pPr>
        <w:spacing w:line="276" w:lineRule="auto"/>
        <w:jc w:val="center"/>
        <w:rPr>
          <w:color w:val="000000" w:themeColor="text1"/>
        </w:rPr>
      </w:pPr>
    </w:p>
    <w:p w:rsidR="00B83772" w:rsidRPr="00252370" w:rsidRDefault="008070B8" w:rsidP="00651193">
      <w:pPr>
        <w:spacing w:line="276" w:lineRule="auto"/>
        <w:ind w:firstLine="360"/>
        <w:rPr>
          <w:color w:val="000000" w:themeColor="text1"/>
        </w:rPr>
      </w:pPr>
      <w:r w:rsidRPr="00252370">
        <w:rPr>
          <w:color w:val="000000" w:themeColor="text1"/>
        </w:rPr>
        <w:t xml:space="preserve">In response to </w:t>
      </w:r>
      <w:r w:rsidR="00601307" w:rsidRPr="00252370">
        <w:rPr>
          <w:color w:val="000000" w:themeColor="text1"/>
        </w:rPr>
        <w:t xml:space="preserve">the </w:t>
      </w:r>
      <w:r w:rsidRPr="00252370">
        <w:rPr>
          <w:color w:val="000000" w:themeColor="text1"/>
        </w:rPr>
        <w:t>request to improve the transparency of the linkage between ex-post and ex-ante results, th</w:t>
      </w:r>
      <w:r w:rsidR="00D5210C">
        <w:rPr>
          <w:color w:val="000000" w:themeColor="text1"/>
        </w:rPr>
        <w:t xml:space="preserve">e following two sections compare the </w:t>
      </w:r>
      <w:r w:rsidR="00601307" w:rsidRPr="00252370">
        <w:rPr>
          <w:color w:val="000000" w:themeColor="text1"/>
        </w:rPr>
        <w:t>estimated load impacts.</w:t>
      </w:r>
    </w:p>
    <w:p w:rsidR="00B83772" w:rsidRPr="00252370" w:rsidRDefault="00FE33AF" w:rsidP="00C94CC9">
      <w:pPr>
        <w:pStyle w:val="Heading3"/>
        <w:spacing w:after="0" w:line="276" w:lineRule="auto"/>
        <w:ind w:left="630" w:hanging="630"/>
        <w:rPr>
          <w:rFonts w:ascii="Times New Roman" w:hAnsi="Times New Roman" w:cs="Times New Roman"/>
          <w:color w:val="000000" w:themeColor="text1"/>
        </w:rPr>
      </w:pPr>
      <w:bookmarkStart w:id="64" w:name="_Toc447179774"/>
      <w:r>
        <w:rPr>
          <w:rFonts w:ascii="Times New Roman" w:hAnsi="Times New Roman" w:cs="Times New Roman"/>
          <w:color w:val="000000" w:themeColor="text1"/>
        </w:rPr>
        <w:lastRenderedPageBreak/>
        <w:t>Ex-post load impacts from the current and previous studies</w:t>
      </w:r>
      <w:bookmarkEnd w:id="64"/>
    </w:p>
    <w:p w:rsidR="004355E2" w:rsidRDefault="004355E2" w:rsidP="003C4AD3">
      <w:pPr>
        <w:spacing w:line="276" w:lineRule="auto"/>
        <w:rPr>
          <w:color w:val="000000" w:themeColor="text1"/>
        </w:rPr>
      </w:pPr>
    </w:p>
    <w:p w:rsidR="00C94CC9" w:rsidRPr="008227A8" w:rsidRDefault="00A7376E" w:rsidP="00C94CC9">
      <w:pPr>
        <w:pStyle w:val="BodyText"/>
        <w:spacing w:after="0" w:line="276" w:lineRule="auto"/>
        <w:ind w:firstLine="360"/>
        <w:rPr>
          <w:color w:val="000000" w:themeColor="text1"/>
        </w:rPr>
      </w:pPr>
      <w:r w:rsidRPr="00A7376E">
        <w:rPr>
          <w:color w:val="000000" w:themeColor="text1"/>
          <w:sz w:val="22"/>
          <w:szCs w:val="22"/>
        </w:rPr>
        <w:t>Table 2-</w:t>
      </w:r>
      <w:r w:rsidR="0024252A">
        <w:rPr>
          <w:color w:val="000000" w:themeColor="text1"/>
          <w:sz w:val="22"/>
          <w:szCs w:val="22"/>
        </w:rPr>
        <w:t>7</w:t>
      </w:r>
      <w:r>
        <w:rPr>
          <w:color w:val="000000" w:themeColor="text1"/>
        </w:rPr>
        <w:t xml:space="preserve"> s</w:t>
      </w:r>
      <w:r w:rsidR="00C94CC9" w:rsidRPr="008227A8">
        <w:rPr>
          <w:color w:val="000000" w:themeColor="text1"/>
        </w:rPr>
        <w:t xml:space="preserve">ummarizes the CBP DA and DO average event-hour ex-post load impact results for the past four years for an average event day. The table includes the number of participating accounts, the average event-hour reference loads, and average event temperature. Both per-customer and aggregate results are presented. </w:t>
      </w:r>
    </w:p>
    <w:p w:rsidR="00C94CC9" w:rsidRPr="008227A8" w:rsidRDefault="00C94CC9" w:rsidP="00C94CC9">
      <w:pPr>
        <w:pStyle w:val="BodyText"/>
        <w:spacing w:after="0" w:line="276" w:lineRule="auto"/>
        <w:ind w:firstLine="360"/>
        <w:rPr>
          <w:color w:val="000000" w:themeColor="text1"/>
        </w:rPr>
      </w:pPr>
      <w:r w:rsidRPr="008227A8">
        <w:rPr>
          <w:color w:val="000000" w:themeColor="text1"/>
        </w:rPr>
        <w:t>For the CBP DA product, the number of accounts decreased from 163 in 2014 to 122 in 2015. The aggregate impacts were also smaller in 2015 (7.8 MW) than in 2014 (9.9 MW). However, on a percent impact basis, 2015 realized 43%, while the 2014 program yielded 25%, which can be explained by the significant decrease in reference load between 2014 and 2015.</w:t>
      </w:r>
    </w:p>
    <w:p w:rsidR="00C94CC9" w:rsidRPr="008227A8" w:rsidRDefault="00C94CC9" w:rsidP="00C94CC9">
      <w:pPr>
        <w:pStyle w:val="BodyText"/>
        <w:spacing w:after="0" w:line="276" w:lineRule="auto"/>
        <w:ind w:firstLine="360"/>
        <w:rPr>
          <w:color w:val="000000" w:themeColor="text1"/>
        </w:rPr>
      </w:pPr>
      <w:r w:rsidRPr="008227A8">
        <w:rPr>
          <w:color w:val="000000" w:themeColor="text1"/>
        </w:rPr>
        <w:t>For the CBP DO product, the number of accounts decreased from 237 to 223 between 2014 and 2015. The aggregate load impact also decreased, falling from 8.8 MW in 2014 to 5.7 MW in 2015. The percent impacts in 2015 were 12% in 2015 compared to 16% in 2014.</w:t>
      </w:r>
    </w:p>
    <w:p w:rsidR="00C94CC9" w:rsidRPr="00C94CC9" w:rsidRDefault="00C94CC9" w:rsidP="00C94CC9">
      <w:pPr>
        <w:pStyle w:val="BodyText"/>
        <w:spacing w:after="0" w:line="276" w:lineRule="auto"/>
        <w:ind w:firstLine="360"/>
        <w:rPr>
          <w:color w:val="0000FF"/>
        </w:rPr>
      </w:pPr>
    </w:p>
    <w:p w:rsidR="00C94CC9" w:rsidRPr="00C94CC9" w:rsidRDefault="00C94CC9" w:rsidP="00C94CC9">
      <w:pPr>
        <w:pStyle w:val="TableCaption"/>
        <w:rPr>
          <w:sz w:val="22"/>
          <w:szCs w:val="22"/>
        </w:rPr>
      </w:pPr>
      <w:bookmarkStart w:id="65" w:name="_Ref444444196"/>
      <w:bookmarkStart w:id="66" w:name="_Toc445825331"/>
      <w:r w:rsidRPr="00C94CC9">
        <w:rPr>
          <w:sz w:val="22"/>
          <w:szCs w:val="22"/>
        </w:rPr>
        <w:t xml:space="preserve">Table </w:t>
      </w:r>
      <w:bookmarkEnd w:id="65"/>
      <w:r>
        <w:rPr>
          <w:sz w:val="22"/>
          <w:szCs w:val="22"/>
        </w:rPr>
        <w:t>2-</w:t>
      </w:r>
      <w:r w:rsidR="0024252A">
        <w:rPr>
          <w:sz w:val="22"/>
          <w:szCs w:val="22"/>
        </w:rPr>
        <w:t>7</w:t>
      </w:r>
      <w:r w:rsidRPr="00C94CC9">
        <w:rPr>
          <w:noProof/>
          <w:sz w:val="22"/>
          <w:szCs w:val="22"/>
        </w:rPr>
        <w:t xml:space="preserve">: </w:t>
      </w:r>
      <w:r w:rsidRPr="00C94CC9">
        <w:rPr>
          <w:sz w:val="22"/>
          <w:szCs w:val="22"/>
        </w:rPr>
        <w:t>SDG&amp;E CBP: Previous and Current Ex-Post, Average Event Day</w:t>
      </w:r>
      <w:bookmarkEnd w:id="66"/>
    </w:p>
    <w:tbl>
      <w:tblPr>
        <w:tblW w:w="9360" w:type="dxa"/>
        <w:tblLook w:val="04A0" w:firstRow="1" w:lastRow="0" w:firstColumn="1" w:lastColumn="0" w:noHBand="0" w:noVBand="1"/>
      </w:tblPr>
      <w:tblGrid>
        <w:gridCol w:w="806"/>
        <w:gridCol w:w="902"/>
        <w:gridCol w:w="1262"/>
        <w:gridCol w:w="1171"/>
        <w:gridCol w:w="999"/>
        <w:gridCol w:w="1171"/>
        <w:gridCol w:w="999"/>
        <w:gridCol w:w="1025"/>
        <w:gridCol w:w="1025"/>
      </w:tblGrid>
      <w:tr w:rsidR="00C94CC9" w:rsidRPr="00E662B3" w:rsidTr="00336E76">
        <w:trPr>
          <w:trHeight w:val="288"/>
        </w:trPr>
        <w:tc>
          <w:tcPr>
            <w:tcW w:w="806" w:type="dxa"/>
            <w:vMerge w:val="restart"/>
            <w:tcBorders>
              <w:top w:val="nil"/>
              <w:left w:val="nil"/>
              <w:right w:val="nil"/>
            </w:tcBorders>
            <w:shd w:val="clear" w:color="auto" w:fill="1A1D5D"/>
            <w:noWrap/>
            <w:vAlign w:val="bottom"/>
            <w:hideMark/>
          </w:tcPr>
          <w:p w:rsidR="00C94CC9" w:rsidRPr="00C94CC9" w:rsidRDefault="00C94CC9" w:rsidP="00336E76">
            <w:pPr>
              <w:keepNext/>
              <w:jc w:val="center"/>
              <w:rPr>
                <w:sz w:val="20"/>
                <w:szCs w:val="20"/>
              </w:rPr>
            </w:pPr>
            <w:r w:rsidRPr="00C94CC9">
              <w:rPr>
                <w:b/>
                <w:bCs/>
                <w:color w:val="FFFFFF"/>
                <w:sz w:val="20"/>
                <w:szCs w:val="20"/>
              </w:rPr>
              <w:t> </w:t>
            </w:r>
          </w:p>
        </w:tc>
        <w:tc>
          <w:tcPr>
            <w:tcW w:w="902" w:type="dxa"/>
            <w:tcBorders>
              <w:top w:val="nil"/>
              <w:left w:val="nil"/>
              <w:bottom w:val="nil"/>
              <w:right w:val="nil"/>
            </w:tcBorders>
            <w:shd w:val="clear" w:color="auto" w:fill="1A1D5D"/>
            <w:noWrap/>
            <w:vAlign w:val="bottom"/>
            <w:hideMark/>
          </w:tcPr>
          <w:p w:rsidR="00C94CC9" w:rsidRPr="00C94CC9" w:rsidRDefault="00C94CC9" w:rsidP="00336E76">
            <w:pPr>
              <w:keepNext/>
              <w:rPr>
                <w:sz w:val="20"/>
                <w:szCs w:val="20"/>
              </w:rPr>
            </w:pPr>
          </w:p>
        </w:tc>
        <w:tc>
          <w:tcPr>
            <w:tcW w:w="1262" w:type="dxa"/>
            <w:tcBorders>
              <w:top w:val="nil"/>
              <w:left w:val="nil"/>
              <w:bottom w:val="nil"/>
              <w:right w:val="nil"/>
            </w:tcBorders>
            <w:shd w:val="clear" w:color="auto" w:fill="1A1D5D"/>
            <w:noWrap/>
            <w:vAlign w:val="bottom"/>
            <w:hideMark/>
          </w:tcPr>
          <w:p w:rsidR="00C94CC9" w:rsidRPr="00C94CC9" w:rsidRDefault="00C94CC9" w:rsidP="00336E76">
            <w:pPr>
              <w:keepNext/>
              <w:rPr>
                <w:sz w:val="20"/>
                <w:szCs w:val="20"/>
              </w:rPr>
            </w:pPr>
          </w:p>
        </w:tc>
        <w:tc>
          <w:tcPr>
            <w:tcW w:w="2170" w:type="dxa"/>
            <w:gridSpan w:val="2"/>
            <w:tcBorders>
              <w:top w:val="nil"/>
              <w:left w:val="nil"/>
              <w:bottom w:val="nil"/>
              <w:right w:val="nil"/>
            </w:tcBorders>
            <w:shd w:val="clear" w:color="000000" w:fill="1A1D5D"/>
            <w:vAlign w:val="center"/>
            <w:hideMark/>
          </w:tcPr>
          <w:p w:rsidR="00C94CC9" w:rsidRPr="00C94CC9" w:rsidRDefault="00C94CC9" w:rsidP="00336E76">
            <w:pPr>
              <w:keepNext/>
              <w:jc w:val="center"/>
              <w:rPr>
                <w:b/>
                <w:bCs/>
                <w:color w:val="FFFFFF"/>
                <w:sz w:val="20"/>
                <w:szCs w:val="20"/>
              </w:rPr>
            </w:pPr>
            <w:r w:rsidRPr="00C94CC9">
              <w:rPr>
                <w:b/>
                <w:bCs/>
                <w:color w:val="FFFFFF"/>
                <w:sz w:val="20"/>
                <w:szCs w:val="20"/>
              </w:rPr>
              <w:t>Per Customer (kW)</w:t>
            </w:r>
          </w:p>
        </w:tc>
        <w:tc>
          <w:tcPr>
            <w:tcW w:w="2170" w:type="dxa"/>
            <w:gridSpan w:val="2"/>
            <w:tcBorders>
              <w:top w:val="nil"/>
              <w:left w:val="nil"/>
              <w:bottom w:val="nil"/>
              <w:right w:val="nil"/>
            </w:tcBorders>
            <w:shd w:val="clear" w:color="000000" w:fill="1A1D5D"/>
            <w:vAlign w:val="center"/>
            <w:hideMark/>
          </w:tcPr>
          <w:p w:rsidR="00C94CC9" w:rsidRPr="00C94CC9" w:rsidRDefault="00C94CC9" w:rsidP="00336E76">
            <w:pPr>
              <w:keepNext/>
              <w:jc w:val="center"/>
              <w:rPr>
                <w:b/>
                <w:bCs/>
                <w:color w:val="FFFFFF"/>
                <w:sz w:val="20"/>
                <w:szCs w:val="20"/>
              </w:rPr>
            </w:pPr>
            <w:r w:rsidRPr="00C94CC9">
              <w:rPr>
                <w:b/>
                <w:bCs/>
                <w:color w:val="FFFFFF"/>
                <w:sz w:val="20"/>
                <w:szCs w:val="20"/>
              </w:rPr>
              <w:t>Aggregate (MW)</w:t>
            </w:r>
          </w:p>
        </w:tc>
        <w:tc>
          <w:tcPr>
            <w:tcW w:w="1025" w:type="dxa"/>
            <w:tcBorders>
              <w:top w:val="nil"/>
              <w:left w:val="nil"/>
              <w:bottom w:val="nil"/>
              <w:right w:val="nil"/>
            </w:tcBorders>
            <w:shd w:val="clear" w:color="auto" w:fill="1A1D5D"/>
            <w:noWrap/>
            <w:vAlign w:val="bottom"/>
            <w:hideMark/>
          </w:tcPr>
          <w:p w:rsidR="00C94CC9" w:rsidRPr="00C94CC9" w:rsidRDefault="00C94CC9" w:rsidP="00336E76">
            <w:pPr>
              <w:keepNext/>
              <w:jc w:val="center"/>
              <w:rPr>
                <w:b/>
                <w:bCs/>
                <w:color w:val="FFFFFF"/>
                <w:sz w:val="20"/>
                <w:szCs w:val="20"/>
              </w:rPr>
            </w:pPr>
          </w:p>
        </w:tc>
        <w:tc>
          <w:tcPr>
            <w:tcW w:w="1025" w:type="dxa"/>
            <w:tcBorders>
              <w:top w:val="nil"/>
              <w:left w:val="nil"/>
              <w:bottom w:val="nil"/>
              <w:right w:val="nil"/>
            </w:tcBorders>
            <w:shd w:val="clear" w:color="auto" w:fill="1A1D5D"/>
            <w:noWrap/>
            <w:vAlign w:val="bottom"/>
            <w:hideMark/>
          </w:tcPr>
          <w:p w:rsidR="00C94CC9" w:rsidRPr="00C94CC9" w:rsidRDefault="00C94CC9" w:rsidP="00336E76">
            <w:pPr>
              <w:keepNext/>
              <w:rPr>
                <w:sz w:val="20"/>
                <w:szCs w:val="20"/>
              </w:rPr>
            </w:pPr>
          </w:p>
        </w:tc>
      </w:tr>
      <w:tr w:rsidR="00C94CC9" w:rsidRPr="00E662B3" w:rsidTr="00336E76">
        <w:trPr>
          <w:trHeight w:val="288"/>
        </w:trPr>
        <w:tc>
          <w:tcPr>
            <w:tcW w:w="806" w:type="dxa"/>
            <w:vMerge/>
            <w:tcBorders>
              <w:left w:val="nil"/>
              <w:bottom w:val="nil"/>
              <w:right w:val="nil"/>
            </w:tcBorders>
            <w:shd w:val="clear" w:color="auto" w:fill="1A1D5D"/>
            <w:vAlign w:val="center"/>
            <w:hideMark/>
          </w:tcPr>
          <w:p w:rsidR="00C94CC9" w:rsidRPr="00C94CC9" w:rsidRDefault="00C94CC9" w:rsidP="00336E76">
            <w:pPr>
              <w:keepNext/>
              <w:jc w:val="center"/>
              <w:rPr>
                <w:b/>
                <w:bCs/>
                <w:color w:val="FFFFFF"/>
                <w:sz w:val="20"/>
                <w:szCs w:val="20"/>
              </w:rPr>
            </w:pPr>
          </w:p>
        </w:tc>
        <w:tc>
          <w:tcPr>
            <w:tcW w:w="902" w:type="dxa"/>
            <w:tcBorders>
              <w:top w:val="nil"/>
              <w:left w:val="nil"/>
              <w:bottom w:val="nil"/>
              <w:right w:val="nil"/>
            </w:tcBorders>
            <w:shd w:val="clear" w:color="auto" w:fill="1A1D5D"/>
            <w:vAlign w:val="bottom"/>
            <w:hideMark/>
          </w:tcPr>
          <w:p w:rsidR="00C94CC9" w:rsidRPr="00C94CC9" w:rsidRDefault="00C94CC9" w:rsidP="00336E76">
            <w:pPr>
              <w:keepNext/>
              <w:jc w:val="center"/>
              <w:rPr>
                <w:b/>
                <w:bCs/>
                <w:color w:val="FFFFFF"/>
                <w:sz w:val="20"/>
                <w:szCs w:val="20"/>
              </w:rPr>
            </w:pPr>
            <w:r w:rsidRPr="00C94CC9">
              <w:rPr>
                <w:b/>
                <w:bCs/>
                <w:color w:val="FFFFFF"/>
                <w:sz w:val="20"/>
                <w:szCs w:val="20"/>
              </w:rPr>
              <w:t>Ex-Post Year</w:t>
            </w:r>
          </w:p>
        </w:tc>
        <w:tc>
          <w:tcPr>
            <w:tcW w:w="1262" w:type="dxa"/>
            <w:tcBorders>
              <w:top w:val="nil"/>
              <w:left w:val="nil"/>
              <w:bottom w:val="nil"/>
              <w:right w:val="nil"/>
            </w:tcBorders>
            <w:shd w:val="clear" w:color="000000" w:fill="1A1D5D"/>
            <w:vAlign w:val="bottom"/>
            <w:hideMark/>
          </w:tcPr>
          <w:p w:rsidR="00C94CC9" w:rsidRPr="00C94CC9" w:rsidRDefault="00C94CC9" w:rsidP="00336E76">
            <w:pPr>
              <w:keepNext/>
              <w:jc w:val="center"/>
              <w:rPr>
                <w:b/>
                <w:bCs/>
                <w:color w:val="FFFFFF"/>
                <w:sz w:val="20"/>
                <w:szCs w:val="20"/>
              </w:rPr>
            </w:pPr>
            <w:r w:rsidRPr="00C94CC9">
              <w:rPr>
                <w:b/>
                <w:bCs/>
                <w:color w:val="FFFFFF"/>
                <w:sz w:val="20"/>
                <w:szCs w:val="20"/>
              </w:rPr>
              <w:t>Accounts</w:t>
            </w:r>
          </w:p>
        </w:tc>
        <w:tc>
          <w:tcPr>
            <w:tcW w:w="1171" w:type="dxa"/>
            <w:tcBorders>
              <w:top w:val="nil"/>
              <w:left w:val="nil"/>
              <w:bottom w:val="nil"/>
              <w:right w:val="nil"/>
            </w:tcBorders>
            <w:shd w:val="clear" w:color="000000" w:fill="1A1D5D"/>
            <w:vAlign w:val="bottom"/>
            <w:hideMark/>
          </w:tcPr>
          <w:p w:rsidR="00C94CC9" w:rsidRPr="00C94CC9" w:rsidRDefault="00C94CC9" w:rsidP="00336E76">
            <w:pPr>
              <w:keepNext/>
              <w:jc w:val="center"/>
              <w:rPr>
                <w:b/>
                <w:bCs/>
                <w:color w:val="FFFFFF"/>
                <w:sz w:val="20"/>
                <w:szCs w:val="20"/>
              </w:rPr>
            </w:pPr>
            <w:r w:rsidRPr="00C94CC9">
              <w:rPr>
                <w:b/>
                <w:bCs/>
                <w:color w:val="FFFFFF"/>
                <w:sz w:val="20"/>
                <w:szCs w:val="20"/>
              </w:rPr>
              <w:t>Reference Load</w:t>
            </w:r>
          </w:p>
        </w:tc>
        <w:tc>
          <w:tcPr>
            <w:tcW w:w="999" w:type="dxa"/>
            <w:tcBorders>
              <w:top w:val="nil"/>
              <w:left w:val="nil"/>
              <w:bottom w:val="nil"/>
              <w:right w:val="nil"/>
            </w:tcBorders>
            <w:shd w:val="clear" w:color="000000" w:fill="1A1D5D"/>
            <w:vAlign w:val="bottom"/>
            <w:hideMark/>
          </w:tcPr>
          <w:p w:rsidR="00C94CC9" w:rsidRPr="00C94CC9" w:rsidRDefault="00C94CC9" w:rsidP="00336E76">
            <w:pPr>
              <w:keepNext/>
              <w:jc w:val="center"/>
              <w:rPr>
                <w:b/>
                <w:bCs/>
                <w:color w:val="FFFFFF"/>
                <w:sz w:val="20"/>
                <w:szCs w:val="20"/>
              </w:rPr>
            </w:pPr>
            <w:r w:rsidRPr="00C94CC9">
              <w:rPr>
                <w:b/>
                <w:bCs/>
                <w:color w:val="FFFFFF"/>
                <w:sz w:val="20"/>
                <w:szCs w:val="20"/>
              </w:rPr>
              <w:t>Load Impact</w:t>
            </w:r>
          </w:p>
        </w:tc>
        <w:tc>
          <w:tcPr>
            <w:tcW w:w="1171" w:type="dxa"/>
            <w:tcBorders>
              <w:top w:val="nil"/>
              <w:left w:val="nil"/>
              <w:bottom w:val="nil"/>
              <w:right w:val="nil"/>
            </w:tcBorders>
            <w:shd w:val="clear" w:color="000000" w:fill="1A1D5D"/>
            <w:vAlign w:val="bottom"/>
            <w:hideMark/>
          </w:tcPr>
          <w:p w:rsidR="00C94CC9" w:rsidRPr="00C94CC9" w:rsidRDefault="00C94CC9" w:rsidP="00336E76">
            <w:pPr>
              <w:keepNext/>
              <w:jc w:val="center"/>
              <w:rPr>
                <w:b/>
                <w:bCs/>
                <w:color w:val="FFFFFF"/>
                <w:sz w:val="20"/>
                <w:szCs w:val="20"/>
              </w:rPr>
            </w:pPr>
            <w:r w:rsidRPr="00C94CC9">
              <w:rPr>
                <w:b/>
                <w:bCs/>
                <w:color w:val="FFFFFF"/>
                <w:sz w:val="20"/>
                <w:szCs w:val="20"/>
              </w:rPr>
              <w:t>Reference Load</w:t>
            </w:r>
          </w:p>
        </w:tc>
        <w:tc>
          <w:tcPr>
            <w:tcW w:w="999" w:type="dxa"/>
            <w:tcBorders>
              <w:top w:val="nil"/>
              <w:left w:val="nil"/>
              <w:bottom w:val="nil"/>
              <w:right w:val="nil"/>
            </w:tcBorders>
            <w:shd w:val="clear" w:color="000000" w:fill="1A1D5D"/>
            <w:vAlign w:val="bottom"/>
            <w:hideMark/>
          </w:tcPr>
          <w:p w:rsidR="00C94CC9" w:rsidRPr="00C94CC9" w:rsidRDefault="00C94CC9" w:rsidP="00336E76">
            <w:pPr>
              <w:keepNext/>
              <w:jc w:val="center"/>
              <w:rPr>
                <w:b/>
                <w:bCs/>
                <w:color w:val="FFFFFF"/>
                <w:sz w:val="20"/>
                <w:szCs w:val="20"/>
              </w:rPr>
            </w:pPr>
            <w:r w:rsidRPr="00C94CC9">
              <w:rPr>
                <w:b/>
                <w:bCs/>
                <w:color w:val="FFFFFF"/>
                <w:sz w:val="20"/>
                <w:szCs w:val="20"/>
              </w:rPr>
              <w:t>Load Impact</w:t>
            </w:r>
          </w:p>
        </w:tc>
        <w:tc>
          <w:tcPr>
            <w:tcW w:w="1025" w:type="dxa"/>
            <w:tcBorders>
              <w:top w:val="nil"/>
              <w:left w:val="nil"/>
              <w:bottom w:val="nil"/>
              <w:right w:val="nil"/>
            </w:tcBorders>
            <w:shd w:val="clear" w:color="000000" w:fill="1A1D5D"/>
            <w:vAlign w:val="bottom"/>
            <w:hideMark/>
          </w:tcPr>
          <w:p w:rsidR="00C94CC9" w:rsidRPr="00C94CC9" w:rsidRDefault="00C94CC9" w:rsidP="00336E76">
            <w:pPr>
              <w:keepNext/>
              <w:jc w:val="center"/>
              <w:rPr>
                <w:b/>
                <w:bCs/>
                <w:color w:val="FFFFFF"/>
                <w:sz w:val="20"/>
                <w:szCs w:val="20"/>
              </w:rPr>
            </w:pPr>
            <w:r w:rsidRPr="00C94CC9">
              <w:rPr>
                <w:b/>
                <w:bCs/>
                <w:color w:val="FFFFFF"/>
                <w:sz w:val="20"/>
                <w:szCs w:val="20"/>
              </w:rPr>
              <w:t>% Impact</w:t>
            </w:r>
          </w:p>
        </w:tc>
        <w:tc>
          <w:tcPr>
            <w:tcW w:w="1025" w:type="dxa"/>
            <w:tcBorders>
              <w:top w:val="nil"/>
              <w:left w:val="nil"/>
              <w:bottom w:val="nil"/>
              <w:right w:val="nil"/>
            </w:tcBorders>
            <w:shd w:val="clear" w:color="000000" w:fill="1A1D5D"/>
            <w:vAlign w:val="bottom"/>
            <w:hideMark/>
          </w:tcPr>
          <w:p w:rsidR="00C94CC9" w:rsidRPr="00C94CC9" w:rsidRDefault="00C94CC9" w:rsidP="00336E76">
            <w:pPr>
              <w:keepNext/>
              <w:jc w:val="center"/>
              <w:rPr>
                <w:b/>
                <w:bCs/>
                <w:color w:val="FFFFFF"/>
                <w:sz w:val="20"/>
                <w:szCs w:val="20"/>
              </w:rPr>
            </w:pPr>
            <w:r w:rsidRPr="00C94CC9">
              <w:rPr>
                <w:b/>
                <w:bCs/>
                <w:color w:val="FFFFFF"/>
                <w:sz w:val="20"/>
                <w:szCs w:val="20"/>
              </w:rPr>
              <w:t>Event Temp (˚F)</w:t>
            </w:r>
          </w:p>
        </w:tc>
      </w:tr>
      <w:tr w:rsidR="00C94CC9" w:rsidRPr="00E662B3" w:rsidTr="00336E76">
        <w:trPr>
          <w:cantSplit/>
          <w:trHeight w:val="288"/>
        </w:trPr>
        <w:tc>
          <w:tcPr>
            <w:tcW w:w="806" w:type="dxa"/>
            <w:vMerge w:val="restart"/>
            <w:tcBorders>
              <w:top w:val="nil"/>
              <w:left w:val="single" w:sz="8" w:space="0" w:color="FFFFFF"/>
              <w:bottom w:val="single" w:sz="8" w:space="0" w:color="7F7F7F"/>
              <w:right w:val="single" w:sz="8" w:space="0" w:color="7F7F7F"/>
            </w:tcBorders>
            <w:shd w:val="clear" w:color="auto" w:fill="auto"/>
            <w:noWrap/>
            <w:textDirection w:val="btLr"/>
            <w:vAlign w:val="center"/>
            <w:hideMark/>
          </w:tcPr>
          <w:p w:rsidR="00C94CC9" w:rsidRPr="00C94CC9" w:rsidRDefault="00C94CC9" w:rsidP="00336E76">
            <w:pPr>
              <w:keepNext/>
              <w:jc w:val="center"/>
              <w:rPr>
                <w:color w:val="000000"/>
                <w:sz w:val="20"/>
                <w:szCs w:val="20"/>
              </w:rPr>
            </w:pPr>
            <w:r w:rsidRPr="00C94CC9">
              <w:rPr>
                <w:color w:val="000000"/>
                <w:sz w:val="20"/>
                <w:szCs w:val="20"/>
              </w:rPr>
              <w:t>DA</w:t>
            </w:r>
          </w:p>
        </w:tc>
        <w:tc>
          <w:tcPr>
            <w:tcW w:w="902" w:type="dxa"/>
            <w:tcBorders>
              <w:top w:val="nil"/>
              <w:left w:val="nil"/>
              <w:bottom w:val="nil"/>
              <w:right w:val="single" w:sz="8" w:space="0" w:color="FFFFFF"/>
            </w:tcBorders>
            <w:shd w:val="clear" w:color="auto" w:fill="auto"/>
            <w:noWrap/>
            <w:vAlign w:val="center"/>
            <w:hideMark/>
          </w:tcPr>
          <w:p w:rsidR="00C94CC9" w:rsidRPr="00C94CC9" w:rsidRDefault="00C94CC9" w:rsidP="00336E76">
            <w:pPr>
              <w:keepNext/>
              <w:jc w:val="center"/>
              <w:rPr>
                <w:color w:val="000000"/>
                <w:sz w:val="20"/>
                <w:szCs w:val="20"/>
              </w:rPr>
            </w:pPr>
            <w:r w:rsidRPr="00C94CC9">
              <w:rPr>
                <w:color w:val="000000"/>
                <w:sz w:val="20"/>
                <w:szCs w:val="20"/>
              </w:rPr>
              <w:t>2012</w:t>
            </w:r>
          </w:p>
        </w:tc>
        <w:tc>
          <w:tcPr>
            <w:tcW w:w="1262"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78</w:t>
            </w:r>
          </w:p>
        </w:tc>
        <w:tc>
          <w:tcPr>
            <w:tcW w:w="1171"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320</w:t>
            </w:r>
          </w:p>
        </w:tc>
        <w:tc>
          <w:tcPr>
            <w:tcW w:w="999"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82</w:t>
            </w:r>
          </w:p>
        </w:tc>
        <w:tc>
          <w:tcPr>
            <w:tcW w:w="1171"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25.0</w:t>
            </w:r>
          </w:p>
        </w:tc>
        <w:tc>
          <w:tcPr>
            <w:tcW w:w="999"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6.4</w:t>
            </w:r>
          </w:p>
        </w:tc>
        <w:tc>
          <w:tcPr>
            <w:tcW w:w="1025"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25%</w:t>
            </w:r>
          </w:p>
        </w:tc>
        <w:tc>
          <w:tcPr>
            <w:tcW w:w="1025"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83</w:t>
            </w:r>
          </w:p>
        </w:tc>
      </w:tr>
      <w:tr w:rsidR="00C94CC9" w:rsidRPr="00E662B3" w:rsidTr="00336E76">
        <w:trPr>
          <w:cantSplit/>
          <w:trHeight w:val="288"/>
        </w:trPr>
        <w:tc>
          <w:tcPr>
            <w:tcW w:w="806" w:type="dxa"/>
            <w:vMerge/>
            <w:tcBorders>
              <w:top w:val="nil"/>
              <w:left w:val="single" w:sz="8" w:space="0" w:color="FFFFFF"/>
              <w:bottom w:val="single" w:sz="8" w:space="0" w:color="7F7F7F"/>
              <w:right w:val="single" w:sz="8" w:space="0" w:color="7F7F7F"/>
            </w:tcBorders>
            <w:vAlign w:val="center"/>
            <w:hideMark/>
          </w:tcPr>
          <w:p w:rsidR="00C94CC9" w:rsidRPr="00C94CC9" w:rsidRDefault="00C94CC9" w:rsidP="00336E76">
            <w:pPr>
              <w:keepNext/>
              <w:rPr>
                <w:color w:val="000000"/>
                <w:sz w:val="20"/>
                <w:szCs w:val="20"/>
              </w:rPr>
            </w:pPr>
          </w:p>
        </w:tc>
        <w:tc>
          <w:tcPr>
            <w:tcW w:w="902" w:type="dxa"/>
            <w:tcBorders>
              <w:top w:val="nil"/>
              <w:left w:val="nil"/>
              <w:bottom w:val="nil"/>
              <w:right w:val="single" w:sz="8" w:space="0" w:color="FFFFFF"/>
            </w:tcBorders>
            <w:shd w:val="clear" w:color="auto" w:fill="auto"/>
            <w:noWrap/>
            <w:vAlign w:val="center"/>
            <w:hideMark/>
          </w:tcPr>
          <w:p w:rsidR="00C94CC9" w:rsidRPr="00C94CC9" w:rsidRDefault="00C94CC9" w:rsidP="00336E76">
            <w:pPr>
              <w:keepNext/>
              <w:jc w:val="center"/>
              <w:rPr>
                <w:color w:val="000000"/>
                <w:sz w:val="20"/>
                <w:szCs w:val="20"/>
              </w:rPr>
            </w:pPr>
            <w:r w:rsidRPr="00C94CC9">
              <w:rPr>
                <w:color w:val="000000"/>
                <w:sz w:val="20"/>
                <w:szCs w:val="20"/>
              </w:rPr>
              <w:t>2013</w:t>
            </w:r>
          </w:p>
        </w:tc>
        <w:tc>
          <w:tcPr>
            <w:tcW w:w="1262"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142</w:t>
            </w:r>
          </w:p>
        </w:tc>
        <w:tc>
          <w:tcPr>
            <w:tcW w:w="1171"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305</w:t>
            </w:r>
          </w:p>
        </w:tc>
        <w:tc>
          <w:tcPr>
            <w:tcW w:w="999"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76</w:t>
            </w:r>
          </w:p>
        </w:tc>
        <w:tc>
          <w:tcPr>
            <w:tcW w:w="1171"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43.2</w:t>
            </w:r>
          </w:p>
        </w:tc>
        <w:tc>
          <w:tcPr>
            <w:tcW w:w="999"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10.8</w:t>
            </w:r>
          </w:p>
        </w:tc>
        <w:tc>
          <w:tcPr>
            <w:tcW w:w="1025"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25%</w:t>
            </w:r>
          </w:p>
        </w:tc>
        <w:tc>
          <w:tcPr>
            <w:tcW w:w="1025"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88</w:t>
            </w:r>
          </w:p>
        </w:tc>
      </w:tr>
      <w:tr w:rsidR="00C94CC9" w:rsidRPr="00E662B3" w:rsidTr="00336E76">
        <w:trPr>
          <w:cantSplit/>
          <w:trHeight w:val="288"/>
        </w:trPr>
        <w:tc>
          <w:tcPr>
            <w:tcW w:w="806" w:type="dxa"/>
            <w:vMerge/>
            <w:tcBorders>
              <w:top w:val="nil"/>
              <w:left w:val="single" w:sz="8" w:space="0" w:color="FFFFFF"/>
              <w:bottom w:val="single" w:sz="8" w:space="0" w:color="7F7F7F"/>
              <w:right w:val="single" w:sz="8" w:space="0" w:color="7F7F7F"/>
            </w:tcBorders>
            <w:vAlign w:val="center"/>
            <w:hideMark/>
          </w:tcPr>
          <w:p w:rsidR="00C94CC9" w:rsidRPr="00C94CC9" w:rsidRDefault="00C94CC9" w:rsidP="00336E76">
            <w:pPr>
              <w:keepNext/>
              <w:rPr>
                <w:color w:val="000000"/>
                <w:sz w:val="20"/>
                <w:szCs w:val="20"/>
              </w:rPr>
            </w:pPr>
          </w:p>
        </w:tc>
        <w:tc>
          <w:tcPr>
            <w:tcW w:w="902" w:type="dxa"/>
            <w:tcBorders>
              <w:top w:val="nil"/>
              <w:left w:val="nil"/>
              <w:bottom w:val="nil"/>
              <w:right w:val="single" w:sz="8" w:space="0" w:color="FFFFFF"/>
            </w:tcBorders>
            <w:shd w:val="clear" w:color="auto" w:fill="auto"/>
            <w:noWrap/>
            <w:vAlign w:val="center"/>
            <w:hideMark/>
          </w:tcPr>
          <w:p w:rsidR="00C94CC9" w:rsidRPr="00C94CC9" w:rsidRDefault="00C94CC9" w:rsidP="00336E76">
            <w:pPr>
              <w:keepNext/>
              <w:jc w:val="center"/>
              <w:rPr>
                <w:color w:val="000000"/>
                <w:sz w:val="20"/>
                <w:szCs w:val="20"/>
              </w:rPr>
            </w:pPr>
            <w:r w:rsidRPr="00C94CC9">
              <w:rPr>
                <w:color w:val="000000"/>
                <w:sz w:val="20"/>
                <w:szCs w:val="20"/>
              </w:rPr>
              <w:t>2014</w:t>
            </w:r>
          </w:p>
        </w:tc>
        <w:tc>
          <w:tcPr>
            <w:tcW w:w="1262"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163</w:t>
            </w:r>
          </w:p>
        </w:tc>
        <w:tc>
          <w:tcPr>
            <w:tcW w:w="1171"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247</w:t>
            </w:r>
          </w:p>
        </w:tc>
        <w:tc>
          <w:tcPr>
            <w:tcW w:w="999"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61</w:t>
            </w:r>
          </w:p>
        </w:tc>
        <w:tc>
          <w:tcPr>
            <w:tcW w:w="1171"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40.4</w:t>
            </w:r>
          </w:p>
        </w:tc>
        <w:tc>
          <w:tcPr>
            <w:tcW w:w="999"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9.9</w:t>
            </w:r>
          </w:p>
        </w:tc>
        <w:tc>
          <w:tcPr>
            <w:tcW w:w="1025"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25%</w:t>
            </w:r>
          </w:p>
        </w:tc>
        <w:tc>
          <w:tcPr>
            <w:tcW w:w="1025"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87</w:t>
            </w:r>
          </w:p>
        </w:tc>
      </w:tr>
      <w:tr w:rsidR="00C94CC9" w:rsidRPr="00E662B3" w:rsidTr="00336E76">
        <w:trPr>
          <w:cantSplit/>
          <w:trHeight w:val="288"/>
        </w:trPr>
        <w:tc>
          <w:tcPr>
            <w:tcW w:w="806" w:type="dxa"/>
            <w:vMerge/>
            <w:tcBorders>
              <w:top w:val="nil"/>
              <w:left w:val="single" w:sz="8" w:space="0" w:color="FFFFFF"/>
              <w:bottom w:val="single" w:sz="8" w:space="0" w:color="7F7F7F"/>
              <w:right w:val="single" w:sz="8" w:space="0" w:color="7F7F7F"/>
            </w:tcBorders>
            <w:vAlign w:val="center"/>
            <w:hideMark/>
          </w:tcPr>
          <w:p w:rsidR="00C94CC9" w:rsidRPr="00C94CC9" w:rsidRDefault="00C94CC9" w:rsidP="00336E76">
            <w:pPr>
              <w:keepNext/>
              <w:rPr>
                <w:color w:val="000000"/>
                <w:sz w:val="20"/>
                <w:szCs w:val="20"/>
              </w:rPr>
            </w:pPr>
          </w:p>
        </w:tc>
        <w:tc>
          <w:tcPr>
            <w:tcW w:w="902" w:type="dxa"/>
            <w:tcBorders>
              <w:top w:val="nil"/>
              <w:left w:val="nil"/>
              <w:bottom w:val="single" w:sz="8" w:space="0" w:color="7F7F7F"/>
              <w:right w:val="single" w:sz="8" w:space="0" w:color="FFFFFF"/>
            </w:tcBorders>
            <w:shd w:val="clear" w:color="auto" w:fill="auto"/>
            <w:noWrap/>
            <w:vAlign w:val="center"/>
            <w:hideMark/>
          </w:tcPr>
          <w:p w:rsidR="00C94CC9" w:rsidRPr="00C94CC9" w:rsidRDefault="00C94CC9" w:rsidP="00336E76">
            <w:pPr>
              <w:keepNext/>
              <w:jc w:val="center"/>
              <w:rPr>
                <w:color w:val="000000"/>
                <w:sz w:val="20"/>
                <w:szCs w:val="20"/>
              </w:rPr>
            </w:pPr>
            <w:r w:rsidRPr="00C94CC9">
              <w:rPr>
                <w:color w:val="000000"/>
                <w:sz w:val="20"/>
                <w:szCs w:val="20"/>
              </w:rPr>
              <w:t>2015</w:t>
            </w:r>
          </w:p>
        </w:tc>
        <w:tc>
          <w:tcPr>
            <w:tcW w:w="1262" w:type="dxa"/>
            <w:tcBorders>
              <w:top w:val="nil"/>
              <w:left w:val="nil"/>
              <w:bottom w:val="single" w:sz="8" w:space="0" w:color="7F7F7F"/>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122</w:t>
            </w:r>
          </w:p>
        </w:tc>
        <w:tc>
          <w:tcPr>
            <w:tcW w:w="1171" w:type="dxa"/>
            <w:tcBorders>
              <w:top w:val="nil"/>
              <w:left w:val="nil"/>
              <w:bottom w:val="single" w:sz="8" w:space="0" w:color="7F7F7F"/>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148</w:t>
            </w:r>
          </w:p>
        </w:tc>
        <w:tc>
          <w:tcPr>
            <w:tcW w:w="999" w:type="dxa"/>
            <w:tcBorders>
              <w:top w:val="nil"/>
              <w:left w:val="nil"/>
              <w:bottom w:val="single" w:sz="8" w:space="0" w:color="7F7F7F"/>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64</w:t>
            </w:r>
          </w:p>
        </w:tc>
        <w:tc>
          <w:tcPr>
            <w:tcW w:w="1171" w:type="dxa"/>
            <w:tcBorders>
              <w:top w:val="nil"/>
              <w:left w:val="nil"/>
              <w:bottom w:val="single" w:sz="8" w:space="0" w:color="7F7F7F"/>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18.1</w:t>
            </w:r>
          </w:p>
        </w:tc>
        <w:tc>
          <w:tcPr>
            <w:tcW w:w="999" w:type="dxa"/>
            <w:tcBorders>
              <w:top w:val="nil"/>
              <w:left w:val="nil"/>
              <w:bottom w:val="single" w:sz="8" w:space="0" w:color="7F7F7F"/>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7.8</w:t>
            </w:r>
          </w:p>
        </w:tc>
        <w:tc>
          <w:tcPr>
            <w:tcW w:w="1025" w:type="dxa"/>
            <w:tcBorders>
              <w:top w:val="nil"/>
              <w:left w:val="nil"/>
              <w:bottom w:val="single" w:sz="8" w:space="0" w:color="7F7F7F"/>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43%</w:t>
            </w:r>
          </w:p>
        </w:tc>
        <w:tc>
          <w:tcPr>
            <w:tcW w:w="1025" w:type="dxa"/>
            <w:tcBorders>
              <w:top w:val="nil"/>
              <w:left w:val="nil"/>
              <w:bottom w:val="single" w:sz="8" w:space="0" w:color="7F7F7F"/>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80</w:t>
            </w:r>
          </w:p>
        </w:tc>
      </w:tr>
      <w:tr w:rsidR="00C94CC9" w:rsidRPr="00E662B3" w:rsidTr="00336E76">
        <w:trPr>
          <w:cantSplit/>
          <w:trHeight w:val="288"/>
        </w:trPr>
        <w:tc>
          <w:tcPr>
            <w:tcW w:w="806" w:type="dxa"/>
            <w:vMerge w:val="restart"/>
            <w:tcBorders>
              <w:top w:val="nil"/>
              <w:left w:val="nil"/>
              <w:bottom w:val="single" w:sz="8" w:space="0" w:color="7F7F7F"/>
              <w:right w:val="single" w:sz="8" w:space="0" w:color="7F7F7F"/>
            </w:tcBorders>
            <w:shd w:val="clear" w:color="auto" w:fill="auto"/>
            <w:noWrap/>
            <w:textDirection w:val="btLr"/>
            <w:vAlign w:val="center"/>
            <w:hideMark/>
          </w:tcPr>
          <w:p w:rsidR="00C94CC9" w:rsidRPr="00C94CC9" w:rsidRDefault="00C94CC9" w:rsidP="00336E76">
            <w:pPr>
              <w:keepNext/>
              <w:jc w:val="center"/>
              <w:rPr>
                <w:color w:val="000000"/>
                <w:sz w:val="20"/>
                <w:szCs w:val="20"/>
              </w:rPr>
            </w:pPr>
            <w:r w:rsidRPr="00C94CC9">
              <w:rPr>
                <w:color w:val="000000"/>
                <w:sz w:val="20"/>
                <w:szCs w:val="20"/>
              </w:rPr>
              <w:t>DO</w:t>
            </w:r>
          </w:p>
        </w:tc>
        <w:tc>
          <w:tcPr>
            <w:tcW w:w="902" w:type="dxa"/>
            <w:tcBorders>
              <w:top w:val="nil"/>
              <w:left w:val="nil"/>
              <w:bottom w:val="nil"/>
              <w:right w:val="single" w:sz="8" w:space="0" w:color="FFFFFF"/>
            </w:tcBorders>
            <w:shd w:val="clear" w:color="auto" w:fill="auto"/>
            <w:noWrap/>
            <w:vAlign w:val="center"/>
            <w:hideMark/>
          </w:tcPr>
          <w:p w:rsidR="00C94CC9" w:rsidRPr="00C94CC9" w:rsidRDefault="00C94CC9" w:rsidP="00336E76">
            <w:pPr>
              <w:keepNext/>
              <w:jc w:val="center"/>
              <w:rPr>
                <w:color w:val="000000"/>
                <w:sz w:val="20"/>
                <w:szCs w:val="20"/>
              </w:rPr>
            </w:pPr>
            <w:r w:rsidRPr="00C94CC9">
              <w:rPr>
                <w:color w:val="000000"/>
                <w:sz w:val="20"/>
                <w:szCs w:val="20"/>
              </w:rPr>
              <w:t>2012</w:t>
            </w:r>
          </w:p>
        </w:tc>
        <w:tc>
          <w:tcPr>
            <w:tcW w:w="1262"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321</w:t>
            </w:r>
          </w:p>
        </w:tc>
        <w:tc>
          <w:tcPr>
            <w:tcW w:w="1171"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230</w:t>
            </w:r>
          </w:p>
        </w:tc>
        <w:tc>
          <w:tcPr>
            <w:tcW w:w="999"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31</w:t>
            </w:r>
          </w:p>
        </w:tc>
        <w:tc>
          <w:tcPr>
            <w:tcW w:w="1171"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73.7</w:t>
            </w:r>
          </w:p>
        </w:tc>
        <w:tc>
          <w:tcPr>
            <w:tcW w:w="999"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9.8</w:t>
            </w:r>
          </w:p>
        </w:tc>
        <w:tc>
          <w:tcPr>
            <w:tcW w:w="1025"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13%</w:t>
            </w:r>
          </w:p>
        </w:tc>
        <w:tc>
          <w:tcPr>
            <w:tcW w:w="1025"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86</w:t>
            </w:r>
          </w:p>
        </w:tc>
      </w:tr>
      <w:tr w:rsidR="00C94CC9" w:rsidRPr="00E662B3" w:rsidTr="00336E76">
        <w:trPr>
          <w:cantSplit/>
          <w:trHeight w:val="288"/>
        </w:trPr>
        <w:tc>
          <w:tcPr>
            <w:tcW w:w="806" w:type="dxa"/>
            <w:vMerge/>
            <w:tcBorders>
              <w:top w:val="nil"/>
              <w:left w:val="nil"/>
              <w:bottom w:val="single" w:sz="8" w:space="0" w:color="7F7F7F"/>
              <w:right w:val="single" w:sz="8" w:space="0" w:color="7F7F7F"/>
            </w:tcBorders>
            <w:vAlign w:val="center"/>
            <w:hideMark/>
          </w:tcPr>
          <w:p w:rsidR="00C94CC9" w:rsidRPr="00C94CC9" w:rsidRDefault="00C94CC9" w:rsidP="00336E76">
            <w:pPr>
              <w:keepNext/>
              <w:rPr>
                <w:color w:val="000000"/>
                <w:sz w:val="20"/>
                <w:szCs w:val="20"/>
              </w:rPr>
            </w:pPr>
          </w:p>
        </w:tc>
        <w:tc>
          <w:tcPr>
            <w:tcW w:w="902" w:type="dxa"/>
            <w:tcBorders>
              <w:top w:val="nil"/>
              <w:left w:val="nil"/>
              <w:bottom w:val="nil"/>
              <w:right w:val="single" w:sz="8" w:space="0" w:color="FFFFFF"/>
            </w:tcBorders>
            <w:shd w:val="clear" w:color="auto" w:fill="auto"/>
            <w:noWrap/>
            <w:vAlign w:val="center"/>
            <w:hideMark/>
          </w:tcPr>
          <w:p w:rsidR="00C94CC9" w:rsidRPr="00C94CC9" w:rsidRDefault="00C94CC9" w:rsidP="00336E76">
            <w:pPr>
              <w:keepNext/>
              <w:jc w:val="center"/>
              <w:rPr>
                <w:color w:val="000000"/>
                <w:sz w:val="20"/>
                <w:szCs w:val="20"/>
              </w:rPr>
            </w:pPr>
            <w:r w:rsidRPr="00C94CC9">
              <w:rPr>
                <w:color w:val="000000"/>
                <w:sz w:val="20"/>
                <w:szCs w:val="20"/>
              </w:rPr>
              <w:t>2013</w:t>
            </w:r>
          </w:p>
        </w:tc>
        <w:tc>
          <w:tcPr>
            <w:tcW w:w="1262"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260</w:t>
            </w:r>
          </w:p>
        </w:tc>
        <w:tc>
          <w:tcPr>
            <w:tcW w:w="1171"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235</w:t>
            </w:r>
          </w:p>
        </w:tc>
        <w:tc>
          <w:tcPr>
            <w:tcW w:w="999"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40</w:t>
            </w:r>
          </w:p>
        </w:tc>
        <w:tc>
          <w:tcPr>
            <w:tcW w:w="1171"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61.1</w:t>
            </w:r>
          </w:p>
        </w:tc>
        <w:tc>
          <w:tcPr>
            <w:tcW w:w="999"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10.5</w:t>
            </w:r>
          </w:p>
        </w:tc>
        <w:tc>
          <w:tcPr>
            <w:tcW w:w="1025"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17%</w:t>
            </w:r>
          </w:p>
        </w:tc>
        <w:tc>
          <w:tcPr>
            <w:tcW w:w="1025"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87</w:t>
            </w:r>
          </w:p>
        </w:tc>
      </w:tr>
      <w:tr w:rsidR="00C94CC9" w:rsidRPr="00E662B3" w:rsidTr="00336E76">
        <w:trPr>
          <w:cantSplit/>
          <w:trHeight w:val="288"/>
        </w:trPr>
        <w:tc>
          <w:tcPr>
            <w:tcW w:w="806" w:type="dxa"/>
            <w:vMerge/>
            <w:tcBorders>
              <w:top w:val="nil"/>
              <w:left w:val="nil"/>
              <w:bottom w:val="single" w:sz="8" w:space="0" w:color="7F7F7F"/>
              <w:right w:val="single" w:sz="8" w:space="0" w:color="7F7F7F"/>
            </w:tcBorders>
            <w:vAlign w:val="center"/>
            <w:hideMark/>
          </w:tcPr>
          <w:p w:rsidR="00C94CC9" w:rsidRPr="00C94CC9" w:rsidRDefault="00C94CC9" w:rsidP="00336E76">
            <w:pPr>
              <w:keepNext/>
              <w:rPr>
                <w:color w:val="000000"/>
                <w:sz w:val="20"/>
                <w:szCs w:val="20"/>
              </w:rPr>
            </w:pPr>
          </w:p>
        </w:tc>
        <w:tc>
          <w:tcPr>
            <w:tcW w:w="902" w:type="dxa"/>
            <w:tcBorders>
              <w:top w:val="nil"/>
              <w:left w:val="nil"/>
              <w:bottom w:val="nil"/>
              <w:right w:val="single" w:sz="8" w:space="0" w:color="FFFFFF"/>
            </w:tcBorders>
            <w:shd w:val="clear" w:color="auto" w:fill="auto"/>
            <w:noWrap/>
            <w:vAlign w:val="center"/>
            <w:hideMark/>
          </w:tcPr>
          <w:p w:rsidR="00C94CC9" w:rsidRPr="00C94CC9" w:rsidRDefault="00C94CC9" w:rsidP="00336E76">
            <w:pPr>
              <w:keepNext/>
              <w:jc w:val="center"/>
              <w:rPr>
                <w:color w:val="000000"/>
                <w:sz w:val="20"/>
                <w:szCs w:val="20"/>
              </w:rPr>
            </w:pPr>
            <w:r w:rsidRPr="00C94CC9">
              <w:rPr>
                <w:color w:val="000000"/>
                <w:sz w:val="20"/>
                <w:szCs w:val="20"/>
              </w:rPr>
              <w:t>2014</w:t>
            </w:r>
          </w:p>
        </w:tc>
        <w:tc>
          <w:tcPr>
            <w:tcW w:w="1262"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237</w:t>
            </w:r>
          </w:p>
        </w:tc>
        <w:tc>
          <w:tcPr>
            <w:tcW w:w="1171"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229</w:t>
            </w:r>
          </w:p>
        </w:tc>
        <w:tc>
          <w:tcPr>
            <w:tcW w:w="999" w:type="dxa"/>
            <w:tcBorders>
              <w:top w:val="nil"/>
              <w:left w:val="nil"/>
              <w:bottom w:val="nil"/>
              <w:right w:val="single" w:sz="8" w:space="0" w:color="FFFFFF"/>
            </w:tcBorders>
            <w:shd w:val="clear" w:color="auto" w:fill="auto"/>
            <w:noWrap/>
            <w:vAlign w:val="center"/>
          </w:tcPr>
          <w:p w:rsidR="00C94CC9" w:rsidRPr="00C94CC9" w:rsidRDefault="00C94CC9" w:rsidP="00336E76">
            <w:pPr>
              <w:keepNext/>
              <w:jc w:val="right"/>
              <w:rPr>
                <w:color w:val="000000"/>
                <w:sz w:val="20"/>
                <w:szCs w:val="20"/>
              </w:rPr>
            </w:pPr>
            <w:r w:rsidRPr="00C94CC9">
              <w:rPr>
                <w:color w:val="000000"/>
                <w:sz w:val="20"/>
                <w:szCs w:val="20"/>
              </w:rPr>
              <w:t>37</w:t>
            </w:r>
          </w:p>
        </w:tc>
        <w:tc>
          <w:tcPr>
            <w:tcW w:w="1171"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54.1</w:t>
            </w:r>
          </w:p>
        </w:tc>
        <w:tc>
          <w:tcPr>
            <w:tcW w:w="999"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8.8</w:t>
            </w:r>
          </w:p>
        </w:tc>
        <w:tc>
          <w:tcPr>
            <w:tcW w:w="1025"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16%</w:t>
            </w:r>
          </w:p>
        </w:tc>
        <w:tc>
          <w:tcPr>
            <w:tcW w:w="1025" w:type="dxa"/>
            <w:tcBorders>
              <w:top w:val="nil"/>
              <w:left w:val="nil"/>
              <w:bottom w:val="nil"/>
              <w:right w:val="single" w:sz="8" w:space="0" w:color="FFFFFF"/>
            </w:tcBorders>
            <w:shd w:val="clear" w:color="auto" w:fill="auto"/>
            <w:vAlign w:val="center"/>
          </w:tcPr>
          <w:p w:rsidR="00C94CC9" w:rsidRPr="00C94CC9" w:rsidRDefault="00C94CC9" w:rsidP="00336E76">
            <w:pPr>
              <w:keepNext/>
              <w:jc w:val="right"/>
              <w:rPr>
                <w:color w:val="000000"/>
                <w:sz w:val="20"/>
                <w:szCs w:val="20"/>
              </w:rPr>
            </w:pPr>
            <w:r w:rsidRPr="00C94CC9">
              <w:rPr>
                <w:color w:val="000000"/>
                <w:sz w:val="20"/>
                <w:szCs w:val="20"/>
              </w:rPr>
              <w:t>87</w:t>
            </w:r>
          </w:p>
        </w:tc>
      </w:tr>
      <w:tr w:rsidR="00C94CC9" w:rsidRPr="00E662B3" w:rsidTr="00336E76">
        <w:trPr>
          <w:cantSplit/>
          <w:trHeight w:val="288"/>
        </w:trPr>
        <w:tc>
          <w:tcPr>
            <w:tcW w:w="806" w:type="dxa"/>
            <w:vMerge/>
            <w:tcBorders>
              <w:top w:val="nil"/>
              <w:left w:val="nil"/>
              <w:bottom w:val="single" w:sz="8" w:space="0" w:color="7F7F7F"/>
              <w:right w:val="single" w:sz="8" w:space="0" w:color="7F7F7F"/>
            </w:tcBorders>
            <w:vAlign w:val="center"/>
            <w:hideMark/>
          </w:tcPr>
          <w:p w:rsidR="00C94CC9" w:rsidRPr="00C94CC9" w:rsidRDefault="00C94CC9" w:rsidP="00336E76">
            <w:pPr>
              <w:rPr>
                <w:color w:val="000000"/>
                <w:sz w:val="20"/>
                <w:szCs w:val="20"/>
              </w:rPr>
            </w:pPr>
          </w:p>
        </w:tc>
        <w:tc>
          <w:tcPr>
            <w:tcW w:w="902" w:type="dxa"/>
            <w:tcBorders>
              <w:top w:val="nil"/>
              <w:left w:val="nil"/>
              <w:bottom w:val="single" w:sz="8" w:space="0" w:color="7F7F7F"/>
              <w:right w:val="single" w:sz="8" w:space="0" w:color="FFFFFF"/>
            </w:tcBorders>
            <w:shd w:val="clear" w:color="auto" w:fill="auto"/>
            <w:noWrap/>
            <w:vAlign w:val="center"/>
            <w:hideMark/>
          </w:tcPr>
          <w:p w:rsidR="00C94CC9" w:rsidRPr="00C94CC9" w:rsidRDefault="00C94CC9" w:rsidP="00336E76">
            <w:pPr>
              <w:jc w:val="center"/>
              <w:rPr>
                <w:color w:val="000000"/>
                <w:sz w:val="20"/>
                <w:szCs w:val="20"/>
              </w:rPr>
            </w:pPr>
            <w:r w:rsidRPr="00C94CC9">
              <w:rPr>
                <w:color w:val="000000"/>
                <w:sz w:val="20"/>
                <w:szCs w:val="20"/>
              </w:rPr>
              <w:t>2015</w:t>
            </w:r>
          </w:p>
        </w:tc>
        <w:tc>
          <w:tcPr>
            <w:tcW w:w="1262" w:type="dxa"/>
            <w:tcBorders>
              <w:top w:val="nil"/>
              <w:left w:val="nil"/>
              <w:bottom w:val="single" w:sz="8" w:space="0" w:color="7F7F7F"/>
              <w:right w:val="single" w:sz="8" w:space="0" w:color="FFFFFF"/>
            </w:tcBorders>
            <w:shd w:val="clear" w:color="auto" w:fill="auto"/>
            <w:noWrap/>
            <w:vAlign w:val="center"/>
          </w:tcPr>
          <w:p w:rsidR="00C94CC9" w:rsidRPr="00C94CC9" w:rsidRDefault="00C94CC9" w:rsidP="00336E76">
            <w:pPr>
              <w:jc w:val="right"/>
              <w:rPr>
                <w:color w:val="000000"/>
                <w:sz w:val="20"/>
                <w:szCs w:val="20"/>
              </w:rPr>
            </w:pPr>
            <w:r w:rsidRPr="00C94CC9">
              <w:rPr>
                <w:color w:val="000000"/>
                <w:sz w:val="20"/>
                <w:szCs w:val="20"/>
              </w:rPr>
              <w:t>223</w:t>
            </w:r>
          </w:p>
        </w:tc>
        <w:tc>
          <w:tcPr>
            <w:tcW w:w="1171" w:type="dxa"/>
            <w:tcBorders>
              <w:top w:val="nil"/>
              <w:left w:val="nil"/>
              <w:bottom w:val="single" w:sz="8" w:space="0" w:color="7F7F7F"/>
              <w:right w:val="single" w:sz="8" w:space="0" w:color="FFFFFF"/>
            </w:tcBorders>
            <w:shd w:val="clear" w:color="auto" w:fill="auto"/>
            <w:noWrap/>
            <w:vAlign w:val="center"/>
          </w:tcPr>
          <w:p w:rsidR="00C94CC9" w:rsidRPr="00C94CC9" w:rsidRDefault="00C94CC9" w:rsidP="00336E76">
            <w:pPr>
              <w:jc w:val="right"/>
              <w:rPr>
                <w:sz w:val="20"/>
                <w:szCs w:val="20"/>
              </w:rPr>
            </w:pPr>
            <w:r w:rsidRPr="00C94CC9">
              <w:rPr>
                <w:sz w:val="20"/>
                <w:szCs w:val="20"/>
              </w:rPr>
              <w:t>208</w:t>
            </w:r>
          </w:p>
        </w:tc>
        <w:tc>
          <w:tcPr>
            <w:tcW w:w="999" w:type="dxa"/>
            <w:tcBorders>
              <w:top w:val="nil"/>
              <w:left w:val="nil"/>
              <w:bottom w:val="single" w:sz="8" w:space="0" w:color="7F7F7F"/>
              <w:right w:val="single" w:sz="8" w:space="0" w:color="FFFFFF"/>
            </w:tcBorders>
            <w:shd w:val="clear" w:color="auto" w:fill="auto"/>
            <w:noWrap/>
            <w:vAlign w:val="center"/>
          </w:tcPr>
          <w:p w:rsidR="00C94CC9" w:rsidRPr="00C94CC9" w:rsidRDefault="00C94CC9" w:rsidP="00336E76">
            <w:pPr>
              <w:jc w:val="right"/>
              <w:rPr>
                <w:sz w:val="20"/>
                <w:szCs w:val="20"/>
              </w:rPr>
            </w:pPr>
            <w:r w:rsidRPr="00C94CC9">
              <w:rPr>
                <w:sz w:val="20"/>
                <w:szCs w:val="20"/>
              </w:rPr>
              <w:t>26</w:t>
            </w:r>
          </w:p>
        </w:tc>
        <w:tc>
          <w:tcPr>
            <w:tcW w:w="1171" w:type="dxa"/>
            <w:tcBorders>
              <w:top w:val="nil"/>
              <w:left w:val="nil"/>
              <w:bottom w:val="single" w:sz="8" w:space="0" w:color="7F7F7F"/>
              <w:right w:val="single" w:sz="8" w:space="0" w:color="FFFFFF"/>
            </w:tcBorders>
            <w:shd w:val="clear" w:color="auto" w:fill="auto"/>
            <w:noWrap/>
            <w:vAlign w:val="center"/>
          </w:tcPr>
          <w:p w:rsidR="00C94CC9" w:rsidRPr="00C94CC9" w:rsidRDefault="00C94CC9" w:rsidP="00336E76">
            <w:pPr>
              <w:jc w:val="right"/>
              <w:rPr>
                <w:color w:val="000000"/>
                <w:sz w:val="20"/>
                <w:szCs w:val="20"/>
              </w:rPr>
            </w:pPr>
            <w:r w:rsidRPr="00C94CC9">
              <w:rPr>
                <w:color w:val="000000"/>
                <w:sz w:val="20"/>
                <w:szCs w:val="20"/>
              </w:rPr>
              <w:t>46.4</w:t>
            </w:r>
          </w:p>
        </w:tc>
        <w:tc>
          <w:tcPr>
            <w:tcW w:w="999" w:type="dxa"/>
            <w:tcBorders>
              <w:top w:val="nil"/>
              <w:left w:val="nil"/>
              <w:bottom w:val="single" w:sz="8" w:space="0" w:color="7F7F7F"/>
              <w:right w:val="single" w:sz="8" w:space="0" w:color="FFFFFF"/>
            </w:tcBorders>
            <w:shd w:val="clear" w:color="auto" w:fill="auto"/>
            <w:noWrap/>
            <w:vAlign w:val="center"/>
          </w:tcPr>
          <w:p w:rsidR="00C94CC9" w:rsidRPr="00C94CC9" w:rsidRDefault="00C94CC9" w:rsidP="00336E76">
            <w:pPr>
              <w:jc w:val="right"/>
              <w:rPr>
                <w:color w:val="000000"/>
                <w:sz w:val="20"/>
                <w:szCs w:val="20"/>
              </w:rPr>
            </w:pPr>
            <w:r w:rsidRPr="00C94CC9">
              <w:rPr>
                <w:color w:val="000000"/>
                <w:sz w:val="20"/>
                <w:szCs w:val="20"/>
              </w:rPr>
              <w:t>5.7</w:t>
            </w:r>
          </w:p>
        </w:tc>
        <w:tc>
          <w:tcPr>
            <w:tcW w:w="1025" w:type="dxa"/>
            <w:tcBorders>
              <w:top w:val="nil"/>
              <w:left w:val="nil"/>
              <w:bottom w:val="single" w:sz="8" w:space="0" w:color="7F7F7F"/>
              <w:right w:val="single" w:sz="8" w:space="0" w:color="FFFFFF"/>
            </w:tcBorders>
            <w:shd w:val="clear" w:color="auto" w:fill="auto"/>
            <w:noWrap/>
            <w:vAlign w:val="center"/>
          </w:tcPr>
          <w:p w:rsidR="00C94CC9" w:rsidRPr="00C94CC9" w:rsidRDefault="00C94CC9" w:rsidP="00336E76">
            <w:pPr>
              <w:jc w:val="right"/>
              <w:rPr>
                <w:color w:val="000000"/>
                <w:sz w:val="20"/>
                <w:szCs w:val="20"/>
              </w:rPr>
            </w:pPr>
            <w:r w:rsidRPr="00C94CC9">
              <w:rPr>
                <w:color w:val="000000"/>
                <w:sz w:val="20"/>
                <w:szCs w:val="20"/>
              </w:rPr>
              <w:t>12%</w:t>
            </w:r>
          </w:p>
        </w:tc>
        <w:tc>
          <w:tcPr>
            <w:tcW w:w="1025" w:type="dxa"/>
            <w:tcBorders>
              <w:top w:val="nil"/>
              <w:left w:val="nil"/>
              <w:bottom w:val="single" w:sz="8" w:space="0" w:color="7F7F7F"/>
              <w:right w:val="single" w:sz="8" w:space="0" w:color="FFFFFF"/>
            </w:tcBorders>
            <w:shd w:val="clear" w:color="auto" w:fill="auto"/>
            <w:noWrap/>
            <w:vAlign w:val="center"/>
          </w:tcPr>
          <w:p w:rsidR="00C94CC9" w:rsidRPr="00C94CC9" w:rsidRDefault="00C94CC9" w:rsidP="00336E76">
            <w:pPr>
              <w:jc w:val="right"/>
              <w:rPr>
                <w:color w:val="000000"/>
                <w:sz w:val="20"/>
                <w:szCs w:val="20"/>
              </w:rPr>
            </w:pPr>
            <w:r w:rsidRPr="00C94CC9">
              <w:rPr>
                <w:color w:val="000000"/>
                <w:sz w:val="20"/>
                <w:szCs w:val="20"/>
              </w:rPr>
              <w:t>81.5</w:t>
            </w:r>
          </w:p>
        </w:tc>
      </w:tr>
    </w:tbl>
    <w:p w:rsidR="00B83772" w:rsidRPr="00252370" w:rsidRDefault="00B83772" w:rsidP="0055775B">
      <w:pPr>
        <w:spacing w:line="276" w:lineRule="auto"/>
        <w:rPr>
          <w:color w:val="000000" w:themeColor="text1"/>
        </w:rPr>
      </w:pPr>
    </w:p>
    <w:p w:rsidR="00C94CC9" w:rsidRDefault="00C94CC9" w:rsidP="00D5210C">
      <w:pPr>
        <w:pStyle w:val="Heading3"/>
        <w:ind w:left="630" w:hanging="630"/>
        <w:rPr>
          <w:rStyle w:val="Emphasis"/>
          <w:rFonts w:ascii="Times New Roman" w:hAnsi="Times New Roman" w:cs="Times New Roman"/>
          <w:i w:val="0"/>
        </w:rPr>
      </w:pPr>
      <w:bookmarkStart w:id="67" w:name="_Toc447179775"/>
      <w:r w:rsidRPr="00C94CC9">
        <w:rPr>
          <w:rStyle w:val="Emphasis"/>
          <w:rFonts w:ascii="Times New Roman" w:hAnsi="Times New Roman" w:cs="Times New Roman"/>
          <w:i w:val="0"/>
        </w:rPr>
        <w:t>Previous and Current Ex-Ante and Ex-Post</w:t>
      </w:r>
      <w:bookmarkEnd w:id="67"/>
      <w:r w:rsidRPr="00C94CC9">
        <w:rPr>
          <w:rStyle w:val="Emphasis"/>
          <w:rFonts w:ascii="Times New Roman" w:hAnsi="Times New Roman" w:cs="Times New Roman"/>
          <w:i w:val="0"/>
        </w:rPr>
        <w:t xml:space="preserve"> </w:t>
      </w:r>
    </w:p>
    <w:p w:rsidR="00C823E6" w:rsidRDefault="00C823E6" w:rsidP="00C94CC9">
      <w:pPr>
        <w:pStyle w:val="BodyText"/>
        <w:spacing w:after="0" w:line="276" w:lineRule="auto"/>
        <w:ind w:firstLine="360"/>
        <w:rPr>
          <w:color w:val="000000" w:themeColor="text1"/>
        </w:rPr>
      </w:pPr>
    </w:p>
    <w:p w:rsidR="00C94CC9" w:rsidRPr="008227A8" w:rsidRDefault="00C823E6" w:rsidP="00C94CC9">
      <w:pPr>
        <w:pStyle w:val="BodyText"/>
        <w:spacing w:after="0" w:line="276" w:lineRule="auto"/>
        <w:ind w:firstLine="360"/>
        <w:rPr>
          <w:color w:val="000000" w:themeColor="text1"/>
        </w:rPr>
      </w:pPr>
      <w:r w:rsidRPr="00C823E6">
        <w:rPr>
          <w:color w:val="000000" w:themeColor="text1"/>
          <w:sz w:val="22"/>
          <w:szCs w:val="22"/>
        </w:rPr>
        <w:t>Table 2-</w:t>
      </w:r>
      <w:r w:rsidR="0024252A">
        <w:rPr>
          <w:color w:val="000000" w:themeColor="text1"/>
          <w:sz w:val="22"/>
          <w:szCs w:val="22"/>
        </w:rPr>
        <w:t>8</w:t>
      </w:r>
      <w:r>
        <w:rPr>
          <w:color w:val="000000" w:themeColor="text1"/>
        </w:rPr>
        <w:t xml:space="preserve"> </w:t>
      </w:r>
      <w:r w:rsidR="00C94CC9" w:rsidRPr="008227A8">
        <w:rPr>
          <w:color w:val="000000" w:themeColor="text1"/>
        </w:rPr>
        <w:t>compares the current year’s analysis with the previous year’s analysis of CBP ex-post and ex-ante average event-hour impacts. To make the comparison as consistent as possible, the ex-post and ex-ante results represent events on monthly system peak days in August, unless otherwise noted.</w:t>
      </w:r>
      <w:r w:rsidR="00C94CC9" w:rsidRPr="008227A8">
        <w:rPr>
          <w:rStyle w:val="FootnoteReference"/>
          <w:color w:val="000000" w:themeColor="text1"/>
        </w:rPr>
        <w:footnoteReference w:id="4"/>
      </w:r>
      <w:r w:rsidR="00C94CC9" w:rsidRPr="008227A8">
        <w:rPr>
          <w:color w:val="000000" w:themeColor="text1"/>
        </w:rPr>
        <w:t xml:space="preserve"> In addition, the ex-ante results reflect the utility peak 1-in-2 weather scenario.</w:t>
      </w:r>
      <w:r w:rsidR="00C94CC9" w:rsidRPr="008227A8">
        <w:rPr>
          <w:rStyle w:val="FootnoteReference"/>
          <w:color w:val="000000" w:themeColor="text1"/>
        </w:rPr>
        <w:footnoteReference w:id="5"/>
      </w:r>
    </w:p>
    <w:p w:rsidR="00D5210C" w:rsidRPr="008227A8" w:rsidRDefault="00D5210C" w:rsidP="00C94CC9">
      <w:pPr>
        <w:pStyle w:val="TableCaption"/>
        <w:rPr>
          <w:color w:val="000000" w:themeColor="text1"/>
          <w:sz w:val="22"/>
          <w:szCs w:val="22"/>
        </w:rPr>
      </w:pPr>
      <w:bookmarkStart w:id="68" w:name="_Ref444444313"/>
      <w:bookmarkStart w:id="69" w:name="_Toc445825332"/>
    </w:p>
    <w:p w:rsidR="007E7593" w:rsidRPr="008227A8" w:rsidRDefault="007E7593">
      <w:pPr>
        <w:rPr>
          <w:b/>
          <w:bCs/>
          <w:color w:val="000000" w:themeColor="text1"/>
          <w:sz w:val="22"/>
          <w:szCs w:val="22"/>
        </w:rPr>
      </w:pPr>
      <w:r w:rsidRPr="008227A8">
        <w:rPr>
          <w:color w:val="000000" w:themeColor="text1"/>
          <w:sz w:val="22"/>
          <w:szCs w:val="22"/>
        </w:rPr>
        <w:br w:type="page"/>
      </w:r>
    </w:p>
    <w:p w:rsidR="00C94CC9" w:rsidRPr="00C94CC9" w:rsidRDefault="00C94CC9" w:rsidP="00C94CC9">
      <w:pPr>
        <w:pStyle w:val="TableCaption"/>
        <w:rPr>
          <w:sz w:val="22"/>
          <w:szCs w:val="22"/>
        </w:rPr>
      </w:pPr>
      <w:r w:rsidRPr="00C94CC9">
        <w:rPr>
          <w:sz w:val="22"/>
          <w:szCs w:val="22"/>
        </w:rPr>
        <w:lastRenderedPageBreak/>
        <w:t xml:space="preserve">Table </w:t>
      </w:r>
      <w:bookmarkEnd w:id="68"/>
      <w:r w:rsidRPr="00C94CC9">
        <w:rPr>
          <w:sz w:val="22"/>
          <w:szCs w:val="22"/>
        </w:rPr>
        <w:t>2-</w:t>
      </w:r>
      <w:r w:rsidR="0024252A">
        <w:rPr>
          <w:sz w:val="22"/>
          <w:szCs w:val="22"/>
        </w:rPr>
        <w:t>8</w:t>
      </w:r>
      <w:r>
        <w:rPr>
          <w:sz w:val="22"/>
          <w:szCs w:val="22"/>
        </w:rPr>
        <w:t xml:space="preserve">: </w:t>
      </w:r>
      <w:r w:rsidRPr="00C94CC9">
        <w:rPr>
          <w:sz w:val="22"/>
          <w:szCs w:val="22"/>
        </w:rPr>
        <w:t>SDG&amp;E CBP: Previous and Current Ex-Ante and Ex-Post, August Peak Day, 2016</w:t>
      </w:r>
      <w:bookmarkEnd w:id="69"/>
    </w:p>
    <w:tbl>
      <w:tblPr>
        <w:tblW w:w="5085"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363"/>
        <w:gridCol w:w="943"/>
        <w:gridCol w:w="1620"/>
        <w:gridCol w:w="1170"/>
        <w:gridCol w:w="720"/>
        <w:gridCol w:w="855"/>
        <w:gridCol w:w="855"/>
        <w:gridCol w:w="855"/>
        <w:gridCol w:w="855"/>
        <w:gridCol w:w="782"/>
        <w:gridCol w:w="721"/>
      </w:tblGrid>
      <w:tr w:rsidR="00C94CC9" w:rsidTr="00C823E6">
        <w:trPr>
          <w:trHeight w:val="288"/>
        </w:trPr>
        <w:tc>
          <w:tcPr>
            <w:tcW w:w="363" w:type="dxa"/>
            <w:tcBorders>
              <w:top w:val="nil"/>
              <w:left w:val="nil"/>
              <w:bottom w:val="nil"/>
              <w:right w:val="nil"/>
            </w:tcBorders>
            <w:shd w:val="clear" w:color="auto" w:fill="1A1D5D"/>
            <w:vAlign w:val="center"/>
          </w:tcPr>
          <w:p w:rsidR="00C94CC9" w:rsidRPr="00C94CC9" w:rsidRDefault="00C94CC9" w:rsidP="00336E76">
            <w:pPr>
              <w:keepNext/>
              <w:keepLines/>
              <w:jc w:val="center"/>
              <w:rPr>
                <w:b/>
                <w:color w:val="FFFFFF" w:themeColor="background1"/>
                <w:sz w:val="20"/>
                <w:szCs w:val="20"/>
              </w:rPr>
            </w:pPr>
          </w:p>
        </w:tc>
        <w:tc>
          <w:tcPr>
            <w:tcW w:w="943" w:type="dxa"/>
            <w:tcBorders>
              <w:top w:val="nil"/>
              <w:left w:val="nil"/>
              <w:bottom w:val="nil"/>
              <w:right w:val="nil"/>
            </w:tcBorders>
            <w:shd w:val="clear" w:color="auto" w:fill="1A1D5D"/>
            <w:vAlign w:val="center"/>
          </w:tcPr>
          <w:p w:rsidR="00C94CC9" w:rsidRPr="00C94CC9" w:rsidRDefault="00C94CC9" w:rsidP="00336E76">
            <w:pPr>
              <w:keepNext/>
              <w:keepLines/>
              <w:jc w:val="center"/>
              <w:rPr>
                <w:b/>
                <w:color w:val="FFFFFF" w:themeColor="background1"/>
                <w:sz w:val="20"/>
                <w:szCs w:val="20"/>
              </w:rPr>
            </w:pPr>
          </w:p>
        </w:tc>
        <w:tc>
          <w:tcPr>
            <w:tcW w:w="1620" w:type="dxa"/>
            <w:tcBorders>
              <w:top w:val="nil"/>
              <w:left w:val="nil"/>
              <w:bottom w:val="nil"/>
              <w:right w:val="nil"/>
            </w:tcBorders>
            <w:shd w:val="clear" w:color="auto" w:fill="1A1D5D"/>
            <w:vAlign w:val="center"/>
          </w:tcPr>
          <w:p w:rsidR="00C94CC9" w:rsidRPr="00C94CC9" w:rsidRDefault="00C94CC9" w:rsidP="00336E76">
            <w:pPr>
              <w:keepNext/>
              <w:keepLines/>
              <w:jc w:val="center"/>
              <w:rPr>
                <w:b/>
                <w:color w:val="FFFFFF" w:themeColor="background1"/>
                <w:sz w:val="20"/>
                <w:szCs w:val="20"/>
              </w:rPr>
            </w:pPr>
          </w:p>
        </w:tc>
        <w:tc>
          <w:tcPr>
            <w:tcW w:w="1170" w:type="dxa"/>
            <w:tcBorders>
              <w:top w:val="nil"/>
              <w:left w:val="nil"/>
              <w:bottom w:val="nil"/>
              <w:right w:val="nil"/>
            </w:tcBorders>
            <w:shd w:val="clear" w:color="auto" w:fill="1A1D5D"/>
            <w:vAlign w:val="center"/>
          </w:tcPr>
          <w:p w:rsidR="00C94CC9" w:rsidRPr="00C94CC9" w:rsidRDefault="00C94CC9" w:rsidP="00336E76">
            <w:pPr>
              <w:keepNext/>
              <w:keepLines/>
              <w:jc w:val="center"/>
              <w:rPr>
                <w:b/>
                <w:color w:val="FFFFFF" w:themeColor="background1"/>
                <w:sz w:val="20"/>
                <w:szCs w:val="20"/>
              </w:rPr>
            </w:pPr>
          </w:p>
        </w:tc>
        <w:tc>
          <w:tcPr>
            <w:tcW w:w="720" w:type="dxa"/>
            <w:tcBorders>
              <w:top w:val="nil"/>
              <w:left w:val="nil"/>
              <w:bottom w:val="nil"/>
              <w:right w:val="nil"/>
            </w:tcBorders>
            <w:shd w:val="clear" w:color="auto" w:fill="1A1D5D"/>
            <w:vAlign w:val="center"/>
          </w:tcPr>
          <w:p w:rsidR="00C94CC9" w:rsidRPr="00C94CC9" w:rsidRDefault="00C94CC9" w:rsidP="00336E76">
            <w:pPr>
              <w:keepNext/>
              <w:keepLines/>
              <w:jc w:val="center"/>
              <w:rPr>
                <w:b/>
                <w:color w:val="FFFFFF" w:themeColor="background1"/>
                <w:sz w:val="20"/>
                <w:szCs w:val="20"/>
              </w:rPr>
            </w:pPr>
          </w:p>
        </w:tc>
        <w:tc>
          <w:tcPr>
            <w:tcW w:w="1710" w:type="dxa"/>
            <w:gridSpan w:val="2"/>
            <w:tcBorders>
              <w:top w:val="nil"/>
              <w:left w:val="nil"/>
              <w:bottom w:val="nil"/>
              <w:right w:val="nil"/>
            </w:tcBorders>
            <w:shd w:val="clear" w:color="auto" w:fill="1A1D5D"/>
            <w:vAlign w:val="bottom"/>
          </w:tcPr>
          <w:p w:rsidR="00C94CC9" w:rsidRPr="00C94CC9" w:rsidRDefault="00C94CC9" w:rsidP="00336E76">
            <w:pPr>
              <w:keepNext/>
              <w:keepLines/>
              <w:ind w:left="-45" w:right="-81"/>
              <w:jc w:val="center"/>
              <w:rPr>
                <w:b/>
                <w:color w:val="FFFFFF" w:themeColor="background1"/>
                <w:sz w:val="20"/>
                <w:szCs w:val="20"/>
              </w:rPr>
            </w:pPr>
            <w:r w:rsidRPr="00C94CC9">
              <w:rPr>
                <w:b/>
                <w:color w:val="FFFFFF" w:themeColor="background1"/>
                <w:sz w:val="20"/>
                <w:szCs w:val="20"/>
              </w:rPr>
              <w:t>Per Customer (kW)</w:t>
            </w:r>
          </w:p>
        </w:tc>
        <w:tc>
          <w:tcPr>
            <w:tcW w:w="1710" w:type="dxa"/>
            <w:gridSpan w:val="2"/>
            <w:tcBorders>
              <w:top w:val="nil"/>
              <w:left w:val="nil"/>
              <w:bottom w:val="nil"/>
              <w:right w:val="nil"/>
            </w:tcBorders>
            <w:shd w:val="clear" w:color="auto" w:fill="1A1D5D"/>
            <w:vAlign w:val="bottom"/>
          </w:tcPr>
          <w:p w:rsidR="00C94CC9" w:rsidRPr="00C94CC9" w:rsidRDefault="00C94CC9" w:rsidP="00336E76">
            <w:pPr>
              <w:keepNext/>
              <w:keepLines/>
              <w:jc w:val="center"/>
              <w:rPr>
                <w:b/>
                <w:color w:val="FFFFFF" w:themeColor="background1"/>
                <w:sz w:val="20"/>
                <w:szCs w:val="20"/>
              </w:rPr>
            </w:pPr>
            <w:r w:rsidRPr="00C94CC9">
              <w:rPr>
                <w:b/>
                <w:color w:val="FFFFFF" w:themeColor="background1"/>
                <w:sz w:val="20"/>
                <w:szCs w:val="20"/>
              </w:rPr>
              <w:t>Aggregate (MW)</w:t>
            </w:r>
          </w:p>
        </w:tc>
        <w:tc>
          <w:tcPr>
            <w:tcW w:w="782" w:type="dxa"/>
            <w:tcBorders>
              <w:top w:val="nil"/>
              <w:left w:val="nil"/>
              <w:bottom w:val="nil"/>
              <w:right w:val="nil"/>
            </w:tcBorders>
            <w:shd w:val="clear" w:color="auto" w:fill="1A1D5D"/>
            <w:vAlign w:val="center"/>
          </w:tcPr>
          <w:p w:rsidR="00C94CC9" w:rsidRPr="00C94CC9" w:rsidRDefault="00C94CC9" w:rsidP="00336E76">
            <w:pPr>
              <w:keepNext/>
              <w:keepLines/>
              <w:jc w:val="center"/>
              <w:rPr>
                <w:b/>
                <w:color w:val="FFFFFF" w:themeColor="background1"/>
                <w:sz w:val="20"/>
                <w:szCs w:val="20"/>
              </w:rPr>
            </w:pPr>
          </w:p>
        </w:tc>
        <w:tc>
          <w:tcPr>
            <w:tcW w:w="721" w:type="dxa"/>
            <w:vMerge w:val="restart"/>
            <w:tcBorders>
              <w:top w:val="nil"/>
              <w:left w:val="nil"/>
              <w:right w:val="nil"/>
            </w:tcBorders>
            <w:shd w:val="clear" w:color="auto" w:fill="1A1D5D"/>
            <w:vAlign w:val="center"/>
          </w:tcPr>
          <w:p w:rsidR="00C94CC9" w:rsidRPr="00C94CC9" w:rsidRDefault="00C94CC9" w:rsidP="00336E76">
            <w:pPr>
              <w:keepNext/>
              <w:keepLines/>
              <w:ind w:left="-85"/>
              <w:jc w:val="center"/>
              <w:rPr>
                <w:b/>
                <w:color w:val="FFFFFF" w:themeColor="background1"/>
                <w:sz w:val="20"/>
                <w:szCs w:val="20"/>
              </w:rPr>
            </w:pPr>
            <w:r w:rsidRPr="00C94CC9">
              <w:rPr>
                <w:b/>
                <w:color w:val="FFFFFF" w:themeColor="background1"/>
                <w:sz w:val="20"/>
                <w:szCs w:val="20"/>
              </w:rPr>
              <w:t>Event Temp (˚F)</w:t>
            </w:r>
          </w:p>
        </w:tc>
      </w:tr>
      <w:tr w:rsidR="00C94CC9" w:rsidTr="00C823E6">
        <w:trPr>
          <w:trHeight w:val="288"/>
        </w:trPr>
        <w:tc>
          <w:tcPr>
            <w:tcW w:w="363" w:type="dxa"/>
            <w:tcBorders>
              <w:top w:val="nil"/>
              <w:left w:val="nil"/>
              <w:bottom w:val="nil"/>
              <w:right w:val="nil"/>
            </w:tcBorders>
            <w:shd w:val="clear" w:color="auto" w:fill="1A1D5D"/>
            <w:vAlign w:val="center"/>
          </w:tcPr>
          <w:p w:rsidR="00C94CC9" w:rsidRPr="00C94CC9" w:rsidRDefault="00C94CC9" w:rsidP="00336E76">
            <w:pPr>
              <w:keepNext/>
              <w:keepLines/>
              <w:jc w:val="center"/>
              <w:rPr>
                <w:b/>
                <w:color w:val="FFFFFF" w:themeColor="background1"/>
                <w:sz w:val="20"/>
                <w:szCs w:val="20"/>
              </w:rPr>
            </w:pPr>
          </w:p>
        </w:tc>
        <w:tc>
          <w:tcPr>
            <w:tcW w:w="943" w:type="dxa"/>
            <w:tcBorders>
              <w:top w:val="nil"/>
              <w:left w:val="nil"/>
              <w:bottom w:val="nil"/>
              <w:right w:val="nil"/>
            </w:tcBorders>
            <w:shd w:val="clear" w:color="auto" w:fill="1A1D5D"/>
            <w:vAlign w:val="bottom"/>
          </w:tcPr>
          <w:p w:rsidR="00C94CC9" w:rsidRPr="00C94CC9" w:rsidRDefault="00C94CC9" w:rsidP="00336E76">
            <w:pPr>
              <w:keepNext/>
              <w:keepLines/>
              <w:jc w:val="center"/>
              <w:rPr>
                <w:b/>
                <w:color w:val="FFFFFF" w:themeColor="background1"/>
                <w:sz w:val="20"/>
                <w:szCs w:val="20"/>
              </w:rPr>
            </w:pPr>
            <w:r w:rsidRPr="00C94CC9">
              <w:rPr>
                <w:b/>
                <w:color w:val="FFFFFF" w:themeColor="background1"/>
                <w:sz w:val="20"/>
                <w:szCs w:val="20"/>
              </w:rPr>
              <w:t>Model</w:t>
            </w:r>
          </w:p>
        </w:tc>
        <w:tc>
          <w:tcPr>
            <w:tcW w:w="1620" w:type="dxa"/>
            <w:tcBorders>
              <w:top w:val="nil"/>
              <w:left w:val="nil"/>
              <w:bottom w:val="nil"/>
              <w:right w:val="nil"/>
            </w:tcBorders>
            <w:shd w:val="clear" w:color="auto" w:fill="1A1D5D"/>
            <w:vAlign w:val="bottom"/>
          </w:tcPr>
          <w:p w:rsidR="00C94CC9" w:rsidRPr="00C94CC9" w:rsidRDefault="00C94CC9" w:rsidP="00336E76">
            <w:pPr>
              <w:keepNext/>
              <w:keepLines/>
              <w:jc w:val="center"/>
              <w:rPr>
                <w:b/>
                <w:color w:val="FFFFFF" w:themeColor="background1"/>
                <w:sz w:val="20"/>
                <w:szCs w:val="20"/>
              </w:rPr>
            </w:pPr>
            <w:r w:rsidRPr="00C94CC9">
              <w:rPr>
                <w:b/>
                <w:color w:val="FFFFFF" w:themeColor="background1"/>
                <w:sz w:val="20"/>
                <w:szCs w:val="20"/>
              </w:rPr>
              <w:t>Year</w:t>
            </w:r>
          </w:p>
        </w:tc>
        <w:tc>
          <w:tcPr>
            <w:tcW w:w="1170" w:type="dxa"/>
            <w:tcBorders>
              <w:top w:val="nil"/>
              <w:left w:val="nil"/>
              <w:bottom w:val="nil"/>
              <w:right w:val="nil"/>
            </w:tcBorders>
            <w:shd w:val="clear" w:color="auto" w:fill="1A1D5D"/>
            <w:vAlign w:val="bottom"/>
          </w:tcPr>
          <w:p w:rsidR="00C94CC9" w:rsidRPr="00C94CC9" w:rsidRDefault="00C94CC9" w:rsidP="00336E76">
            <w:pPr>
              <w:keepNext/>
              <w:keepLines/>
              <w:jc w:val="center"/>
              <w:rPr>
                <w:b/>
                <w:color w:val="FFFFFF" w:themeColor="background1"/>
                <w:sz w:val="20"/>
                <w:szCs w:val="20"/>
              </w:rPr>
            </w:pPr>
            <w:r w:rsidRPr="00C94CC9">
              <w:rPr>
                <w:b/>
                <w:color w:val="FFFFFF" w:themeColor="background1"/>
                <w:sz w:val="20"/>
                <w:szCs w:val="20"/>
              </w:rPr>
              <w:t>Day</w:t>
            </w:r>
          </w:p>
        </w:tc>
        <w:tc>
          <w:tcPr>
            <w:tcW w:w="720" w:type="dxa"/>
            <w:tcBorders>
              <w:top w:val="nil"/>
              <w:left w:val="nil"/>
              <w:bottom w:val="nil"/>
              <w:right w:val="nil"/>
            </w:tcBorders>
            <w:shd w:val="clear" w:color="auto" w:fill="1A1D5D"/>
            <w:vAlign w:val="bottom"/>
          </w:tcPr>
          <w:p w:rsidR="00C94CC9" w:rsidRPr="00C94CC9" w:rsidRDefault="00C94CC9" w:rsidP="00336E76">
            <w:pPr>
              <w:keepNext/>
              <w:keepLines/>
              <w:jc w:val="center"/>
              <w:rPr>
                <w:b/>
                <w:color w:val="FFFFFF" w:themeColor="background1"/>
                <w:sz w:val="20"/>
                <w:szCs w:val="20"/>
              </w:rPr>
            </w:pPr>
            <w:r w:rsidRPr="00C94CC9">
              <w:rPr>
                <w:b/>
                <w:color w:val="FFFFFF" w:themeColor="background1"/>
                <w:sz w:val="20"/>
                <w:szCs w:val="20"/>
              </w:rPr>
              <w:t>Accts</w:t>
            </w:r>
          </w:p>
        </w:tc>
        <w:tc>
          <w:tcPr>
            <w:tcW w:w="855" w:type="dxa"/>
            <w:tcBorders>
              <w:top w:val="nil"/>
              <w:left w:val="nil"/>
              <w:bottom w:val="nil"/>
              <w:right w:val="nil"/>
            </w:tcBorders>
            <w:shd w:val="clear" w:color="auto" w:fill="1A1D5D"/>
            <w:vAlign w:val="bottom"/>
          </w:tcPr>
          <w:p w:rsidR="00C94CC9" w:rsidRPr="00C94CC9" w:rsidRDefault="00C94CC9" w:rsidP="00336E76">
            <w:pPr>
              <w:keepNext/>
              <w:keepLines/>
              <w:ind w:right="-83"/>
              <w:jc w:val="center"/>
              <w:rPr>
                <w:b/>
                <w:color w:val="FFFFFF" w:themeColor="background1"/>
                <w:sz w:val="20"/>
                <w:szCs w:val="20"/>
              </w:rPr>
            </w:pPr>
            <w:r w:rsidRPr="00C94CC9">
              <w:rPr>
                <w:b/>
                <w:color w:val="FFFFFF" w:themeColor="background1"/>
                <w:sz w:val="20"/>
                <w:szCs w:val="20"/>
              </w:rPr>
              <w:t>Ref. Load</w:t>
            </w:r>
          </w:p>
        </w:tc>
        <w:tc>
          <w:tcPr>
            <w:tcW w:w="855" w:type="dxa"/>
            <w:tcBorders>
              <w:top w:val="nil"/>
              <w:left w:val="nil"/>
              <w:bottom w:val="nil"/>
              <w:right w:val="nil"/>
            </w:tcBorders>
            <w:shd w:val="clear" w:color="auto" w:fill="1A1D5D"/>
            <w:vAlign w:val="bottom"/>
          </w:tcPr>
          <w:p w:rsidR="00C94CC9" w:rsidRPr="00C94CC9" w:rsidRDefault="00C94CC9" w:rsidP="00336E76">
            <w:pPr>
              <w:keepNext/>
              <w:keepLines/>
              <w:ind w:right="-83"/>
              <w:jc w:val="center"/>
              <w:rPr>
                <w:b/>
                <w:color w:val="FFFFFF" w:themeColor="background1"/>
                <w:sz w:val="20"/>
                <w:szCs w:val="20"/>
              </w:rPr>
            </w:pPr>
            <w:r w:rsidRPr="00C94CC9">
              <w:rPr>
                <w:b/>
                <w:color w:val="FFFFFF" w:themeColor="background1"/>
                <w:sz w:val="20"/>
                <w:szCs w:val="20"/>
              </w:rPr>
              <w:t xml:space="preserve">Impact </w:t>
            </w:r>
          </w:p>
        </w:tc>
        <w:tc>
          <w:tcPr>
            <w:tcW w:w="855" w:type="dxa"/>
            <w:tcBorders>
              <w:top w:val="nil"/>
              <w:left w:val="nil"/>
              <w:bottom w:val="nil"/>
              <w:right w:val="nil"/>
            </w:tcBorders>
            <w:shd w:val="clear" w:color="auto" w:fill="1A1D5D"/>
            <w:vAlign w:val="bottom"/>
          </w:tcPr>
          <w:p w:rsidR="00C94CC9" w:rsidRPr="00C94CC9" w:rsidRDefault="00C94CC9" w:rsidP="00336E76">
            <w:pPr>
              <w:keepNext/>
              <w:keepLines/>
              <w:jc w:val="center"/>
              <w:rPr>
                <w:b/>
                <w:color w:val="FFFFFF" w:themeColor="background1"/>
                <w:sz w:val="20"/>
                <w:szCs w:val="20"/>
              </w:rPr>
            </w:pPr>
            <w:r w:rsidRPr="00C94CC9">
              <w:rPr>
                <w:b/>
                <w:color w:val="FFFFFF" w:themeColor="background1"/>
                <w:sz w:val="20"/>
                <w:szCs w:val="20"/>
              </w:rPr>
              <w:t xml:space="preserve">Ref. Load </w:t>
            </w:r>
          </w:p>
        </w:tc>
        <w:tc>
          <w:tcPr>
            <w:tcW w:w="855" w:type="dxa"/>
            <w:tcBorders>
              <w:top w:val="nil"/>
              <w:left w:val="nil"/>
              <w:bottom w:val="nil"/>
              <w:right w:val="nil"/>
            </w:tcBorders>
            <w:shd w:val="clear" w:color="auto" w:fill="1A1D5D"/>
            <w:vAlign w:val="bottom"/>
          </w:tcPr>
          <w:p w:rsidR="00C94CC9" w:rsidRPr="00C94CC9" w:rsidRDefault="00C94CC9" w:rsidP="00336E76">
            <w:pPr>
              <w:keepNext/>
              <w:keepLines/>
              <w:jc w:val="center"/>
              <w:rPr>
                <w:b/>
                <w:color w:val="FFFFFF" w:themeColor="background1"/>
                <w:sz w:val="20"/>
                <w:szCs w:val="20"/>
              </w:rPr>
            </w:pPr>
            <w:r w:rsidRPr="00C94CC9">
              <w:rPr>
                <w:b/>
                <w:color w:val="FFFFFF" w:themeColor="background1"/>
                <w:sz w:val="20"/>
                <w:szCs w:val="20"/>
              </w:rPr>
              <w:t xml:space="preserve">Impact </w:t>
            </w:r>
          </w:p>
        </w:tc>
        <w:tc>
          <w:tcPr>
            <w:tcW w:w="782" w:type="dxa"/>
            <w:tcBorders>
              <w:top w:val="nil"/>
              <w:left w:val="nil"/>
              <w:bottom w:val="nil"/>
              <w:right w:val="nil"/>
            </w:tcBorders>
            <w:shd w:val="clear" w:color="auto" w:fill="1A1D5D"/>
            <w:vAlign w:val="bottom"/>
          </w:tcPr>
          <w:p w:rsidR="00C94CC9" w:rsidRPr="00C94CC9" w:rsidRDefault="00C94CC9" w:rsidP="00336E76">
            <w:pPr>
              <w:keepNext/>
              <w:keepLines/>
              <w:ind w:left="-23" w:right="-81"/>
              <w:jc w:val="center"/>
              <w:rPr>
                <w:b/>
                <w:color w:val="FFFFFF" w:themeColor="background1"/>
                <w:sz w:val="20"/>
                <w:szCs w:val="20"/>
              </w:rPr>
            </w:pPr>
            <w:r w:rsidRPr="00C94CC9">
              <w:rPr>
                <w:b/>
                <w:color w:val="FFFFFF" w:themeColor="background1"/>
                <w:sz w:val="20"/>
                <w:szCs w:val="20"/>
              </w:rPr>
              <w:t>% Impact</w:t>
            </w:r>
          </w:p>
        </w:tc>
        <w:tc>
          <w:tcPr>
            <w:tcW w:w="721" w:type="dxa"/>
            <w:vMerge/>
            <w:tcBorders>
              <w:left w:val="nil"/>
              <w:bottom w:val="nil"/>
              <w:right w:val="nil"/>
            </w:tcBorders>
            <w:shd w:val="clear" w:color="auto" w:fill="1A1D5D"/>
            <w:vAlign w:val="bottom"/>
          </w:tcPr>
          <w:p w:rsidR="00C94CC9" w:rsidRPr="00C94CC9" w:rsidRDefault="00C94CC9" w:rsidP="00336E76">
            <w:pPr>
              <w:keepNext/>
              <w:keepLines/>
              <w:ind w:left="-85"/>
              <w:jc w:val="center"/>
              <w:rPr>
                <w:b/>
                <w:color w:val="FFFFFF" w:themeColor="background1"/>
                <w:sz w:val="20"/>
                <w:szCs w:val="20"/>
              </w:rPr>
            </w:pPr>
          </w:p>
        </w:tc>
      </w:tr>
      <w:tr w:rsidR="00C94CC9" w:rsidTr="00C823E6">
        <w:trPr>
          <w:cantSplit/>
          <w:trHeight w:val="288"/>
        </w:trPr>
        <w:tc>
          <w:tcPr>
            <w:tcW w:w="363" w:type="dxa"/>
            <w:vMerge w:val="restart"/>
            <w:tcBorders>
              <w:top w:val="nil"/>
              <w:right w:val="single" w:sz="4" w:space="0" w:color="7F7F7F" w:themeColor="text1" w:themeTint="80"/>
            </w:tcBorders>
            <w:shd w:val="clear" w:color="auto" w:fill="auto"/>
            <w:noWrap/>
            <w:textDirection w:val="btLr"/>
            <w:vAlign w:val="center"/>
          </w:tcPr>
          <w:p w:rsidR="00C94CC9" w:rsidRPr="00C94CC9" w:rsidRDefault="00C94CC9" w:rsidP="00336E76">
            <w:pPr>
              <w:ind w:left="113" w:right="113"/>
              <w:jc w:val="center"/>
              <w:rPr>
                <w:color w:val="000000"/>
                <w:sz w:val="20"/>
                <w:szCs w:val="20"/>
              </w:rPr>
            </w:pPr>
            <w:r w:rsidRPr="00C94CC9">
              <w:rPr>
                <w:color w:val="000000"/>
                <w:sz w:val="20"/>
                <w:szCs w:val="20"/>
              </w:rPr>
              <w:t>DA</w:t>
            </w:r>
          </w:p>
        </w:tc>
        <w:tc>
          <w:tcPr>
            <w:tcW w:w="943" w:type="dxa"/>
            <w:vMerge w:val="restart"/>
            <w:tcBorders>
              <w:top w:val="nil"/>
              <w:left w:val="single" w:sz="4" w:space="0" w:color="7F7F7F" w:themeColor="text1" w:themeTint="80"/>
              <w:right w:val="single" w:sz="4" w:space="0" w:color="7F7F7F" w:themeColor="text1" w:themeTint="80"/>
            </w:tcBorders>
            <w:shd w:val="clear" w:color="auto" w:fill="auto"/>
            <w:noWrap/>
            <w:vAlign w:val="center"/>
          </w:tcPr>
          <w:p w:rsidR="00C94CC9" w:rsidRPr="00C94CC9" w:rsidRDefault="00C94CC9" w:rsidP="00336E76">
            <w:pPr>
              <w:jc w:val="center"/>
              <w:rPr>
                <w:color w:val="000000"/>
                <w:sz w:val="20"/>
                <w:szCs w:val="20"/>
              </w:rPr>
            </w:pPr>
            <w:r w:rsidRPr="00C94CC9">
              <w:rPr>
                <w:color w:val="000000"/>
                <w:sz w:val="20"/>
                <w:szCs w:val="20"/>
              </w:rPr>
              <w:t>Current</w:t>
            </w:r>
          </w:p>
        </w:tc>
        <w:tc>
          <w:tcPr>
            <w:tcW w:w="1620" w:type="dxa"/>
            <w:tcBorders>
              <w:top w:val="nil"/>
              <w:left w:val="single" w:sz="4" w:space="0" w:color="7F7F7F" w:themeColor="text1" w:themeTint="80"/>
              <w:bottom w:val="single" w:sz="4" w:space="0" w:color="FFFFFF" w:themeColor="background1"/>
            </w:tcBorders>
            <w:shd w:val="clear" w:color="auto" w:fill="auto"/>
            <w:noWrap/>
            <w:vAlign w:val="center"/>
          </w:tcPr>
          <w:p w:rsidR="00C94CC9" w:rsidRPr="00C94CC9" w:rsidRDefault="00C94CC9" w:rsidP="00C94CC9">
            <w:pPr>
              <w:ind w:right="-81"/>
              <w:rPr>
                <w:color w:val="000000"/>
                <w:sz w:val="20"/>
                <w:szCs w:val="20"/>
              </w:rPr>
            </w:pPr>
            <w:r w:rsidRPr="00C94CC9">
              <w:rPr>
                <w:color w:val="000000"/>
                <w:sz w:val="20"/>
                <w:szCs w:val="20"/>
              </w:rPr>
              <w:t>Ex-Post 2015</w:t>
            </w:r>
          </w:p>
        </w:tc>
        <w:tc>
          <w:tcPr>
            <w:tcW w:w="1170" w:type="dxa"/>
            <w:tcBorders>
              <w:top w:val="nil"/>
              <w:bottom w:val="single" w:sz="4" w:space="0" w:color="FFFFFF" w:themeColor="background1"/>
            </w:tcBorders>
            <w:shd w:val="clear" w:color="auto" w:fill="auto"/>
            <w:vAlign w:val="center"/>
          </w:tcPr>
          <w:p w:rsidR="00C94CC9" w:rsidRPr="00C94CC9" w:rsidRDefault="00C94CC9" w:rsidP="00336E76">
            <w:pPr>
              <w:jc w:val="center"/>
              <w:rPr>
                <w:color w:val="000000"/>
                <w:sz w:val="20"/>
                <w:szCs w:val="20"/>
              </w:rPr>
            </w:pPr>
            <w:r w:rsidRPr="00C94CC9">
              <w:rPr>
                <w:color w:val="000000"/>
                <w:sz w:val="20"/>
                <w:szCs w:val="20"/>
              </w:rPr>
              <w:t>Jun 30</w:t>
            </w:r>
            <w:r w:rsidRPr="00C94CC9">
              <w:rPr>
                <w:rStyle w:val="FootnoteReference"/>
                <w:color w:val="000000"/>
                <w:sz w:val="20"/>
                <w:szCs w:val="20"/>
              </w:rPr>
              <w:footnoteReference w:id="6"/>
            </w:r>
          </w:p>
        </w:tc>
        <w:tc>
          <w:tcPr>
            <w:tcW w:w="720" w:type="dxa"/>
            <w:tcBorders>
              <w:top w:val="nil"/>
              <w:bottom w:val="single" w:sz="4" w:space="0" w:color="FFFFFF" w:themeColor="background1"/>
            </w:tcBorders>
            <w:shd w:val="clear" w:color="auto" w:fill="auto"/>
            <w:noWrap/>
            <w:vAlign w:val="center"/>
          </w:tcPr>
          <w:p w:rsidR="00C94CC9" w:rsidRPr="00C94CC9" w:rsidRDefault="00C94CC9" w:rsidP="00336E76">
            <w:pPr>
              <w:jc w:val="center"/>
              <w:rPr>
                <w:color w:val="000000"/>
                <w:sz w:val="20"/>
                <w:szCs w:val="20"/>
              </w:rPr>
            </w:pPr>
            <w:r w:rsidRPr="00C94CC9">
              <w:rPr>
                <w:color w:val="000000"/>
                <w:sz w:val="20"/>
                <w:szCs w:val="20"/>
              </w:rPr>
              <w:t>131</w:t>
            </w:r>
          </w:p>
        </w:tc>
        <w:tc>
          <w:tcPr>
            <w:tcW w:w="855" w:type="dxa"/>
            <w:tcBorders>
              <w:top w:val="nil"/>
              <w:bottom w:val="single" w:sz="4" w:space="0" w:color="FFFFFF" w:themeColor="background1"/>
            </w:tcBorders>
            <w:vAlign w:val="center"/>
          </w:tcPr>
          <w:p w:rsidR="00C94CC9" w:rsidRPr="00C94CC9" w:rsidRDefault="00C94CC9" w:rsidP="00336E76">
            <w:pPr>
              <w:jc w:val="center"/>
              <w:rPr>
                <w:color w:val="000000"/>
                <w:sz w:val="20"/>
                <w:szCs w:val="20"/>
              </w:rPr>
            </w:pPr>
            <w:r w:rsidRPr="00C94CC9">
              <w:rPr>
                <w:color w:val="000000"/>
                <w:sz w:val="20"/>
                <w:szCs w:val="20"/>
              </w:rPr>
              <w:t>205.7</w:t>
            </w:r>
          </w:p>
        </w:tc>
        <w:tc>
          <w:tcPr>
            <w:tcW w:w="855" w:type="dxa"/>
            <w:tcBorders>
              <w:top w:val="nil"/>
              <w:bottom w:val="single" w:sz="4" w:space="0" w:color="FFFFFF" w:themeColor="background1"/>
            </w:tcBorders>
            <w:shd w:val="clear" w:color="auto" w:fill="auto"/>
            <w:vAlign w:val="center"/>
          </w:tcPr>
          <w:p w:rsidR="00C94CC9" w:rsidRPr="00C94CC9" w:rsidRDefault="00C94CC9" w:rsidP="00336E76">
            <w:pPr>
              <w:jc w:val="center"/>
              <w:rPr>
                <w:color w:val="000000"/>
                <w:sz w:val="20"/>
                <w:szCs w:val="20"/>
              </w:rPr>
            </w:pPr>
            <w:r w:rsidRPr="00C94CC9">
              <w:rPr>
                <w:color w:val="000000"/>
                <w:sz w:val="20"/>
                <w:szCs w:val="20"/>
              </w:rPr>
              <w:t>65.1</w:t>
            </w:r>
          </w:p>
        </w:tc>
        <w:tc>
          <w:tcPr>
            <w:tcW w:w="855" w:type="dxa"/>
            <w:tcBorders>
              <w:top w:val="nil"/>
              <w:bottom w:val="single" w:sz="4" w:space="0" w:color="FFFFFF" w:themeColor="background1"/>
            </w:tcBorders>
            <w:vAlign w:val="center"/>
          </w:tcPr>
          <w:p w:rsidR="00C94CC9" w:rsidRPr="00C94CC9" w:rsidRDefault="00C94CC9" w:rsidP="00336E76">
            <w:pPr>
              <w:jc w:val="center"/>
              <w:rPr>
                <w:color w:val="000000"/>
                <w:sz w:val="20"/>
                <w:szCs w:val="20"/>
              </w:rPr>
            </w:pPr>
            <w:r w:rsidRPr="00C94CC9">
              <w:rPr>
                <w:color w:val="000000"/>
                <w:sz w:val="20"/>
                <w:szCs w:val="20"/>
              </w:rPr>
              <w:t>27.0</w:t>
            </w:r>
          </w:p>
        </w:tc>
        <w:tc>
          <w:tcPr>
            <w:tcW w:w="855" w:type="dxa"/>
            <w:tcBorders>
              <w:top w:val="nil"/>
              <w:bottom w:val="single" w:sz="4" w:space="0" w:color="FFFFFF" w:themeColor="background1"/>
            </w:tcBorders>
            <w:shd w:val="clear" w:color="auto" w:fill="auto"/>
            <w:vAlign w:val="center"/>
          </w:tcPr>
          <w:p w:rsidR="00C94CC9" w:rsidRPr="00C94CC9" w:rsidRDefault="00C94CC9" w:rsidP="00336E76">
            <w:pPr>
              <w:tabs>
                <w:tab w:val="decimal" w:pos="262"/>
              </w:tabs>
              <w:jc w:val="center"/>
              <w:rPr>
                <w:color w:val="000000"/>
                <w:sz w:val="20"/>
                <w:szCs w:val="20"/>
              </w:rPr>
            </w:pPr>
            <w:r w:rsidRPr="00C94CC9">
              <w:rPr>
                <w:color w:val="000000"/>
                <w:sz w:val="20"/>
                <w:szCs w:val="20"/>
              </w:rPr>
              <w:t>8.5</w:t>
            </w:r>
          </w:p>
        </w:tc>
        <w:tc>
          <w:tcPr>
            <w:tcW w:w="782" w:type="dxa"/>
            <w:tcBorders>
              <w:top w:val="nil"/>
              <w:bottom w:val="single" w:sz="4" w:space="0" w:color="FFFFFF" w:themeColor="background1"/>
            </w:tcBorders>
            <w:shd w:val="clear" w:color="auto" w:fill="auto"/>
            <w:vAlign w:val="center"/>
          </w:tcPr>
          <w:p w:rsidR="00C94CC9" w:rsidRPr="00C94CC9" w:rsidRDefault="00C94CC9" w:rsidP="00336E76">
            <w:pPr>
              <w:ind w:left="-23" w:right="-2"/>
              <w:jc w:val="right"/>
              <w:rPr>
                <w:color w:val="000000"/>
                <w:sz w:val="20"/>
                <w:szCs w:val="20"/>
              </w:rPr>
            </w:pPr>
            <w:r w:rsidRPr="00C94CC9">
              <w:rPr>
                <w:color w:val="000000"/>
                <w:sz w:val="20"/>
                <w:szCs w:val="20"/>
              </w:rPr>
              <w:t>31.6%</w:t>
            </w:r>
          </w:p>
        </w:tc>
        <w:tc>
          <w:tcPr>
            <w:tcW w:w="721" w:type="dxa"/>
            <w:tcBorders>
              <w:top w:val="nil"/>
              <w:bottom w:val="single" w:sz="4" w:space="0" w:color="FFFFFF" w:themeColor="background1"/>
            </w:tcBorders>
            <w:shd w:val="clear" w:color="auto" w:fill="auto"/>
            <w:vAlign w:val="center"/>
          </w:tcPr>
          <w:p w:rsidR="00C94CC9" w:rsidRPr="00C94CC9" w:rsidRDefault="00C94CC9" w:rsidP="00336E76">
            <w:pPr>
              <w:jc w:val="right"/>
              <w:rPr>
                <w:color w:val="000000"/>
                <w:sz w:val="20"/>
                <w:szCs w:val="20"/>
              </w:rPr>
            </w:pPr>
            <w:r w:rsidRPr="00C94CC9">
              <w:rPr>
                <w:color w:val="000000"/>
                <w:sz w:val="20"/>
                <w:szCs w:val="20"/>
              </w:rPr>
              <w:t>80.5</w:t>
            </w:r>
          </w:p>
        </w:tc>
      </w:tr>
      <w:tr w:rsidR="00C94CC9" w:rsidTr="00C823E6">
        <w:trPr>
          <w:cantSplit/>
          <w:trHeight w:val="288"/>
        </w:trPr>
        <w:tc>
          <w:tcPr>
            <w:tcW w:w="363" w:type="dxa"/>
            <w:vMerge/>
            <w:tcBorders>
              <w:right w:val="single" w:sz="4" w:space="0" w:color="7F7F7F" w:themeColor="text1" w:themeTint="80"/>
            </w:tcBorders>
            <w:shd w:val="clear" w:color="auto" w:fill="auto"/>
            <w:noWrap/>
            <w:vAlign w:val="center"/>
          </w:tcPr>
          <w:p w:rsidR="00C94CC9" w:rsidRPr="00C94CC9" w:rsidRDefault="00C94CC9" w:rsidP="00336E76">
            <w:pPr>
              <w:jc w:val="right"/>
              <w:rPr>
                <w:color w:val="000000"/>
                <w:sz w:val="20"/>
                <w:szCs w:val="20"/>
              </w:rPr>
            </w:pPr>
          </w:p>
        </w:tc>
        <w:tc>
          <w:tcPr>
            <w:tcW w:w="943" w:type="dxa"/>
            <w:vMerge/>
            <w:tcBorders>
              <w:left w:val="single" w:sz="4" w:space="0" w:color="7F7F7F" w:themeColor="text1" w:themeTint="80"/>
              <w:bottom w:val="single" w:sz="4" w:space="0" w:color="FFFFFF" w:themeColor="background1"/>
              <w:right w:val="single" w:sz="4" w:space="0" w:color="7F7F7F" w:themeColor="text1" w:themeTint="80"/>
            </w:tcBorders>
            <w:shd w:val="clear" w:color="auto" w:fill="auto"/>
            <w:noWrap/>
            <w:vAlign w:val="center"/>
          </w:tcPr>
          <w:p w:rsidR="00C94CC9" w:rsidRPr="00C94CC9" w:rsidRDefault="00C94CC9" w:rsidP="00336E76">
            <w:pPr>
              <w:jc w:val="center"/>
              <w:rPr>
                <w:color w:val="000000"/>
                <w:sz w:val="20"/>
                <w:szCs w:val="20"/>
              </w:rPr>
            </w:pPr>
          </w:p>
        </w:tc>
        <w:tc>
          <w:tcPr>
            <w:tcW w:w="1620" w:type="dxa"/>
            <w:tcBorders>
              <w:top w:val="single" w:sz="4" w:space="0" w:color="FFFFFF" w:themeColor="background1"/>
              <w:left w:val="single" w:sz="4" w:space="0" w:color="7F7F7F" w:themeColor="text1" w:themeTint="80"/>
              <w:bottom w:val="single" w:sz="4" w:space="0" w:color="7F7F7F" w:themeColor="text1" w:themeTint="80"/>
            </w:tcBorders>
            <w:shd w:val="clear" w:color="auto" w:fill="auto"/>
            <w:noWrap/>
            <w:vAlign w:val="center"/>
          </w:tcPr>
          <w:p w:rsidR="00C94CC9" w:rsidRPr="00C94CC9" w:rsidRDefault="00C94CC9" w:rsidP="00C94CC9">
            <w:pPr>
              <w:ind w:right="-81"/>
              <w:rPr>
                <w:color w:val="000000"/>
                <w:sz w:val="20"/>
                <w:szCs w:val="20"/>
              </w:rPr>
            </w:pPr>
            <w:r w:rsidRPr="00C94CC9">
              <w:rPr>
                <w:color w:val="000000"/>
                <w:sz w:val="20"/>
                <w:szCs w:val="20"/>
              </w:rPr>
              <w:t>Ex-Ante 2016</w:t>
            </w:r>
          </w:p>
        </w:tc>
        <w:tc>
          <w:tcPr>
            <w:tcW w:w="1170" w:type="dxa"/>
            <w:tcBorders>
              <w:top w:val="single" w:sz="4" w:space="0" w:color="FFFFFF" w:themeColor="background1"/>
              <w:bottom w:val="single" w:sz="4" w:space="0" w:color="7F7F7F" w:themeColor="text1" w:themeTint="80"/>
            </w:tcBorders>
            <w:shd w:val="clear" w:color="auto" w:fill="auto"/>
            <w:vAlign w:val="center"/>
          </w:tcPr>
          <w:p w:rsidR="00C94CC9" w:rsidRPr="00C94CC9" w:rsidRDefault="00C94CC9" w:rsidP="00336E76">
            <w:pPr>
              <w:jc w:val="center"/>
              <w:rPr>
                <w:color w:val="000000"/>
                <w:sz w:val="20"/>
                <w:szCs w:val="20"/>
              </w:rPr>
            </w:pPr>
            <w:r w:rsidRPr="00C94CC9">
              <w:rPr>
                <w:color w:val="000000"/>
                <w:sz w:val="20"/>
                <w:szCs w:val="20"/>
              </w:rPr>
              <w:t>Aug Peak</w:t>
            </w:r>
          </w:p>
        </w:tc>
        <w:tc>
          <w:tcPr>
            <w:tcW w:w="720" w:type="dxa"/>
            <w:tcBorders>
              <w:top w:val="single" w:sz="4" w:space="0" w:color="FFFFFF" w:themeColor="background1"/>
              <w:bottom w:val="single" w:sz="4" w:space="0" w:color="7F7F7F" w:themeColor="text1" w:themeTint="80"/>
            </w:tcBorders>
            <w:shd w:val="clear" w:color="auto" w:fill="auto"/>
            <w:noWrap/>
            <w:vAlign w:val="center"/>
          </w:tcPr>
          <w:p w:rsidR="00C94CC9" w:rsidRPr="00C94CC9" w:rsidRDefault="00C94CC9" w:rsidP="00336E76">
            <w:pPr>
              <w:jc w:val="center"/>
              <w:rPr>
                <w:color w:val="000000"/>
                <w:sz w:val="20"/>
                <w:szCs w:val="20"/>
              </w:rPr>
            </w:pPr>
            <w:r w:rsidRPr="00C94CC9">
              <w:rPr>
                <w:color w:val="000000"/>
                <w:sz w:val="20"/>
                <w:szCs w:val="20"/>
              </w:rPr>
              <w:t>122</w:t>
            </w:r>
          </w:p>
        </w:tc>
        <w:tc>
          <w:tcPr>
            <w:tcW w:w="855" w:type="dxa"/>
            <w:tcBorders>
              <w:top w:val="single" w:sz="4" w:space="0" w:color="FFFFFF" w:themeColor="background1"/>
              <w:bottom w:val="single" w:sz="4" w:space="0" w:color="7F7F7F" w:themeColor="text1" w:themeTint="80"/>
            </w:tcBorders>
            <w:vAlign w:val="center"/>
          </w:tcPr>
          <w:p w:rsidR="00C94CC9" w:rsidRPr="00C94CC9" w:rsidRDefault="00C94CC9" w:rsidP="00336E76">
            <w:pPr>
              <w:jc w:val="center"/>
              <w:rPr>
                <w:color w:val="000000"/>
                <w:sz w:val="20"/>
                <w:szCs w:val="20"/>
              </w:rPr>
            </w:pPr>
            <w:r w:rsidRPr="00C94CC9">
              <w:rPr>
                <w:color w:val="000000"/>
                <w:sz w:val="20"/>
                <w:szCs w:val="20"/>
              </w:rPr>
              <w:t>213.5</w:t>
            </w:r>
          </w:p>
        </w:tc>
        <w:tc>
          <w:tcPr>
            <w:tcW w:w="855" w:type="dxa"/>
            <w:tcBorders>
              <w:top w:val="single" w:sz="4" w:space="0" w:color="FFFFFF" w:themeColor="background1"/>
              <w:bottom w:val="single" w:sz="4" w:space="0" w:color="7F7F7F" w:themeColor="text1" w:themeTint="80"/>
            </w:tcBorders>
            <w:shd w:val="clear" w:color="auto" w:fill="auto"/>
            <w:vAlign w:val="center"/>
          </w:tcPr>
          <w:p w:rsidR="00C94CC9" w:rsidRPr="00C94CC9" w:rsidRDefault="00C94CC9" w:rsidP="00336E76">
            <w:pPr>
              <w:jc w:val="center"/>
              <w:rPr>
                <w:color w:val="000000"/>
                <w:sz w:val="20"/>
                <w:szCs w:val="20"/>
              </w:rPr>
            </w:pPr>
            <w:r w:rsidRPr="00C94CC9">
              <w:rPr>
                <w:color w:val="000000"/>
                <w:sz w:val="20"/>
                <w:szCs w:val="20"/>
              </w:rPr>
              <w:t>62.9</w:t>
            </w:r>
          </w:p>
        </w:tc>
        <w:tc>
          <w:tcPr>
            <w:tcW w:w="855" w:type="dxa"/>
            <w:tcBorders>
              <w:top w:val="single" w:sz="4" w:space="0" w:color="FFFFFF" w:themeColor="background1"/>
              <w:bottom w:val="single" w:sz="4" w:space="0" w:color="7F7F7F" w:themeColor="text1" w:themeTint="80"/>
            </w:tcBorders>
            <w:vAlign w:val="center"/>
          </w:tcPr>
          <w:p w:rsidR="00C94CC9" w:rsidRPr="00C94CC9" w:rsidRDefault="00C94CC9" w:rsidP="00336E76">
            <w:pPr>
              <w:jc w:val="center"/>
              <w:rPr>
                <w:color w:val="000000"/>
                <w:sz w:val="20"/>
                <w:szCs w:val="20"/>
              </w:rPr>
            </w:pPr>
            <w:r w:rsidRPr="00C94CC9">
              <w:rPr>
                <w:color w:val="000000"/>
                <w:sz w:val="20"/>
                <w:szCs w:val="20"/>
              </w:rPr>
              <w:t>26.0</w:t>
            </w:r>
          </w:p>
        </w:tc>
        <w:tc>
          <w:tcPr>
            <w:tcW w:w="855" w:type="dxa"/>
            <w:tcBorders>
              <w:top w:val="single" w:sz="4" w:space="0" w:color="FFFFFF" w:themeColor="background1"/>
              <w:bottom w:val="single" w:sz="4" w:space="0" w:color="7F7F7F" w:themeColor="text1" w:themeTint="80"/>
            </w:tcBorders>
            <w:shd w:val="clear" w:color="auto" w:fill="auto"/>
            <w:vAlign w:val="center"/>
          </w:tcPr>
          <w:p w:rsidR="00C94CC9" w:rsidRPr="00C94CC9" w:rsidRDefault="00C94CC9" w:rsidP="00336E76">
            <w:pPr>
              <w:tabs>
                <w:tab w:val="decimal" w:pos="262"/>
              </w:tabs>
              <w:jc w:val="center"/>
              <w:rPr>
                <w:color w:val="000000"/>
                <w:sz w:val="20"/>
                <w:szCs w:val="20"/>
              </w:rPr>
            </w:pPr>
            <w:r w:rsidRPr="00C94CC9">
              <w:rPr>
                <w:color w:val="000000"/>
                <w:sz w:val="20"/>
                <w:szCs w:val="20"/>
              </w:rPr>
              <w:t>7.7</w:t>
            </w:r>
          </w:p>
        </w:tc>
        <w:tc>
          <w:tcPr>
            <w:tcW w:w="782" w:type="dxa"/>
            <w:tcBorders>
              <w:top w:val="single" w:sz="4" w:space="0" w:color="FFFFFF" w:themeColor="background1"/>
              <w:bottom w:val="single" w:sz="4" w:space="0" w:color="7F7F7F" w:themeColor="text1" w:themeTint="80"/>
            </w:tcBorders>
            <w:shd w:val="clear" w:color="auto" w:fill="auto"/>
            <w:vAlign w:val="center"/>
          </w:tcPr>
          <w:p w:rsidR="00C94CC9" w:rsidRPr="00C94CC9" w:rsidRDefault="00C94CC9" w:rsidP="00336E76">
            <w:pPr>
              <w:ind w:left="-23" w:right="-2"/>
              <w:jc w:val="right"/>
              <w:rPr>
                <w:color w:val="000000"/>
                <w:sz w:val="20"/>
                <w:szCs w:val="20"/>
              </w:rPr>
            </w:pPr>
            <w:r w:rsidRPr="00C94CC9">
              <w:rPr>
                <w:color w:val="000000"/>
                <w:sz w:val="20"/>
                <w:szCs w:val="20"/>
              </w:rPr>
              <w:t>29.5%</w:t>
            </w:r>
          </w:p>
        </w:tc>
        <w:tc>
          <w:tcPr>
            <w:tcW w:w="721" w:type="dxa"/>
            <w:tcBorders>
              <w:top w:val="single" w:sz="4" w:space="0" w:color="FFFFFF" w:themeColor="background1"/>
              <w:bottom w:val="single" w:sz="4" w:space="0" w:color="7F7F7F" w:themeColor="text1" w:themeTint="80"/>
            </w:tcBorders>
            <w:shd w:val="clear" w:color="auto" w:fill="auto"/>
            <w:vAlign w:val="center"/>
          </w:tcPr>
          <w:p w:rsidR="00C94CC9" w:rsidRPr="00C94CC9" w:rsidRDefault="00C94CC9" w:rsidP="00336E76">
            <w:pPr>
              <w:jc w:val="right"/>
              <w:rPr>
                <w:color w:val="000000"/>
                <w:sz w:val="20"/>
                <w:szCs w:val="20"/>
              </w:rPr>
            </w:pPr>
            <w:r w:rsidRPr="00C94CC9">
              <w:rPr>
                <w:color w:val="000000"/>
                <w:sz w:val="20"/>
                <w:szCs w:val="20"/>
              </w:rPr>
              <w:t>81.0</w:t>
            </w:r>
          </w:p>
        </w:tc>
      </w:tr>
      <w:tr w:rsidR="00C94CC9" w:rsidTr="00C823E6">
        <w:trPr>
          <w:cantSplit/>
          <w:trHeight w:val="288"/>
        </w:trPr>
        <w:tc>
          <w:tcPr>
            <w:tcW w:w="363" w:type="dxa"/>
            <w:vMerge/>
            <w:tcBorders>
              <w:right w:val="single" w:sz="4" w:space="0" w:color="7F7F7F" w:themeColor="text1" w:themeTint="80"/>
            </w:tcBorders>
            <w:shd w:val="clear" w:color="auto" w:fill="auto"/>
            <w:noWrap/>
            <w:vAlign w:val="bottom"/>
          </w:tcPr>
          <w:p w:rsidR="00C94CC9" w:rsidRPr="00C94CC9" w:rsidRDefault="00C94CC9" w:rsidP="00336E76">
            <w:pPr>
              <w:jc w:val="right"/>
              <w:rPr>
                <w:sz w:val="20"/>
                <w:szCs w:val="20"/>
              </w:rPr>
            </w:pPr>
          </w:p>
        </w:tc>
        <w:tc>
          <w:tcPr>
            <w:tcW w:w="943" w:type="dxa"/>
            <w:vMerge w:val="restar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noWrap/>
            <w:vAlign w:val="center"/>
          </w:tcPr>
          <w:p w:rsidR="00C94CC9" w:rsidRPr="00C94CC9" w:rsidRDefault="00C94CC9" w:rsidP="00336E76">
            <w:pPr>
              <w:jc w:val="center"/>
              <w:rPr>
                <w:sz w:val="20"/>
                <w:szCs w:val="20"/>
              </w:rPr>
            </w:pPr>
            <w:r w:rsidRPr="00C94CC9">
              <w:rPr>
                <w:sz w:val="20"/>
                <w:szCs w:val="20"/>
              </w:rPr>
              <w:t>Previous</w:t>
            </w:r>
          </w:p>
        </w:tc>
        <w:tc>
          <w:tcPr>
            <w:tcW w:w="1620" w:type="dxa"/>
            <w:tcBorders>
              <w:top w:val="single" w:sz="4" w:space="0" w:color="7F7F7F" w:themeColor="text1" w:themeTint="80"/>
              <w:left w:val="single" w:sz="4" w:space="0" w:color="7F7F7F" w:themeColor="text1" w:themeTint="80"/>
            </w:tcBorders>
            <w:shd w:val="clear" w:color="auto" w:fill="auto"/>
            <w:noWrap/>
            <w:vAlign w:val="center"/>
          </w:tcPr>
          <w:p w:rsidR="00C94CC9" w:rsidRPr="00C94CC9" w:rsidRDefault="00C94CC9" w:rsidP="00C94CC9">
            <w:pPr>
              <w:ind w:right="-81"/>
              <w:rPr>
                <w:sz w:val="20"/>
                <w:szCs w:val="20"/>
              </w:rPr>
            </w:pPr>
            <w:r w:rsidRPr="00C94CC9">
              <w:rPr>
                <w:sz w:val="20"/>
                <w:szCs w:val="20"/>
              </w:rPr>
              <w:t>Ex-Post 2014</w:t>
            </w:r>
          </w:p>
        </w:tc>
        <w:tc>
          <w:tcPr>
            <w:tcW w:w="1170" w:type="dxa"/>
            <w:tcBorders>
              <w:top w:val="single" w:sz="4" w:space="0" w:color="7F7F7F" w:themeColor="text1" w:themeTint="80"/>
            </w:tcBorders>
            <w:shd w:val="clear" w:color="auto" w:fill="auto"/>
            <w:vAlign w:val="center"/>
          </w:tcPr>
          <w:p w:rsidR="00C94CC9" w:rsidRPr="00C94CC9" w:rsidRDefault="00C94CC9" w:rsidP="00336E76">
            <w:pPr>
              <w:jc w:val="center"/>
              <w:rPr>
                <w:sz w:val="20"/>
                <w:szCs w:val="20"/>
              </w:rPr>
            </w:pPr>
            <w:r w:rsidRPr="00C94CC9">
              <w:rPr>
                <w:color w:val="000000"/>
                <w:sz w:val="20"/>
                <w:szCs w:val="20"/>
              </w:rPr>
              <w:t>Aug 1</w:t>
            </w:r>
          </w:p>
        </w:tc>
        <w:tc>
          <w:tcPr>
            <w:tcW w:w="720" w:type="dxa"/>
            <w:tcBorders>
              <w:top w:val="single" w:sz="4" w:space="0" w:color="7F7F7F" w:themeColor="text1" w:themeTint="80"/>
            </w:tcBorders>
            <w:shd w:val="clear" w:color="auto" w:fill="auto"/>
            <w:noWrap/>
            <w:vAlign w:val="center"/>
          </w:tcPr>
          <w:p w:rsidR="00C94CC9" w:rsidRPr="00C94CC9" w:rsidRDefault="00C94CC9" w:rsidP="00336E76">
            <w:pPr>
              <w:jc w:val="center"/>
              <w:rPr>
                <w:sz w:val="20"/>
                <w:szCs w:val="20"/>
              </w:rPr>
            </w:pPr>
            <w:r w:rsidRPr="00C94CC9">
              <w:rPr>
                <w:sz w:val="20"/>
                <w:szCs w:val="20"/>
              </w:rPr>
              <w:t>161</w:t>
            </w:r>
          </w:p>
        </w:tc>
        <w:tc>
          <w:tcPr>
            <w:tcW w:w="855" w:type="dxa"/>
            <w:tcBorders>
              <w:top w:val="single" w:sz="4" w:space="0" w:color="7F7F7F" w:themeColor="text1" w:themeTint="80"/>
            </w:tcBorders>
            <w:vAlign w:val="center"/>
          </w:tcPr>
          <w:p w:rsidR="00C94CC9" w:rsidRPr="00C94CC9" w:rsidRDefault="00C94CC9" w:rsidP="00336E76">
            <w:pPr>
              <w:jc w:val="center"/>
              <w:rPr>
                <w:sz w:val="20"/>
                <w:szCs w:val="20"/>
              </w:rPr>
            </w:pPr>
            <w:r w:rsidRPr="00C94CC9">
              <w:rPr>
                <w:color w:val="000000"/>
                <w:sz w:val="20"/>
                <w:szCs w:val="20"/>
              </w:rPr>
              <w:t>251.4</w:t>
            </w:r>
          </w:p>
        </w:tc>
        <w:tc>
          <w:tcPr>
            <w:tcW w:w="855" w:type="dxa"/>
            <w:tcBorders>
              <w:top w:val="single" w:sz="4" w:space="0" w:color="7F7F7F" w:themeColor="text1" w:themeTint="80"/>
            </w:tcBorders>
            <w:shd w:val="clear" w:color="auto" w:fill="auto"/>
            <w:vAlign w:val="center"/>
          </w:tcPr>
          <w:p w:rsidR="00C94CC9" w:rsidRPr="00C94CC9" w:rsidRDefault="00C94CC9" w:rsidP="00336E76">
            <w:pPr>
              <w:jc w:val="center"/>
              <w:rPr>
                <w:sz w:val="20"/>
                <w:szCs w:val="20"/>
              </w:rPr>
            </w:pPr>
            <w:r w:rsidRPr="00C94CC9">
              <w:rPr>
                <w:sz w:val="20"/>
                <w:szCs w:val="20"/>
              </w:rPr>
              <w:t>63.4</w:t>
            </w:r>
          </w:p>
        </w:tc>
        <w:tc>
          <w:tcPr>
            <w:tcW w:w="855" w:type="dxa"/>
            <w:tcBorders>
              <w:top w:val="single" w:sz="4" w:space="0" w:color="7F7F7F" w:themeColor="text1" w:themeTint="80"/>
            </w:tcBorders>
            <w:vAlign w:val="center"/>
          </w:tcPr>
          <w:p w:rsidR="00C94CC9" w:rsidRPr="00C94CC9" w:rsidRDefault="00C94CC9" w:rsidP="00336E76">
            <w:pPr>
              <w:jc w:val="center"/>
              <w:rPr>
                <w:sz w:val="20"/>
                <w:szCs w:val="20"/>
              </w:rPr>
            </w:pPr>
            <w:r w:rsidRPr="00C94CC9">
              <w:rPr>
                <w:color w:val="000000"/>
                <w:sz w:val="20"/>
                <w:szCs w:val="20"/>
              </w:rPr>
              <w:t>40.5</w:t>
            </w:r>
          </w:p>
        </w:tc>
        <w:tc>
          <w:tcPr>
            <w:tcW w:w="855" w:type="dxa"/>
            <w:tcBorders>
              <w:top w:val="single" w:sz="4" w:space="0" w:color="7F7F7F" w:themeColor="text1" w:themeTint="80"/>
            </w:tcBorders>
            <w:shd w:val="clear" w:color="auto" w:fill="auto"/>
            <w:vAlign w:val="center"/>
          </w:tcPr>
          <w:p w:rsidR="00C94CC9" w:rsidRPr="00C94CC9" w:rsidRDefault="00C94CC9" w:rsidP="00336E76">
            <w:pPr>
              <w:tabs>
                <w:tab w:val="decimal" w:pos="262"/>
              </w:tabs>
              <w:jc w:val="center"/>
              <w:rPr>
                <w:sz w:val="20"/>
                <w:szCs w:val="20"/>
              </w:rPr>
            </w:pPr>
            <w:r w:rsidRPr="00C94CC9">
              <w:rPr>
                <w:sz w:val="20"/>
                <w:szCs w:val="20"/>
              </w:rPr>
              <w:t>10.2</w:t>
            </w:r>
          </w:p>
        </w:tc>
        <w:tc>
          <w:tcPr>
            <w:tcW w:w="782" w:type="dxa"/>
            <w:tcBorders>
              <w:top w:val="single" w:sz="4" w:space="0" w:color="7F7F7F" w:themeColor="text1" w:themeTint="80"/>
            </w:tcBorders>
            <w:shd w:val="clear" w:color="auto" w:fill="auto"/>
            <w:vAlign w:val="center"/>
          </w:tcPr>
          <w:p w:rsidR="00C94CC9" w:rsidRPr="00C94CC9" w:rsidRDefault="00C94CC9" w:rsidP="00336E76">
            <w:pPr>
              <w:ind w:left="-23" w:right="-2"/>
              <w:jc w:val="right"/>
              <w:rPr>
                <w:sz w:val="20"/>
                <w:szCs w:val="20"/>
              </w:rPr>
            </w:pPr>
            <w:r w:rsidRPr="00C94CC9">
              <w:rPr>
                <w:sz w:val="20"/>
                <w:szCs w:val="20"/>
              </w:rPr>
              <w:t>25.2%</w:t>
            </w:r>
          </w:p>
        </w:tc>
        <w:tc>
          <w:tcPr>
            <w:tcW w:w="721" w:type="dxa"/>
            <w:tcBorders>
              <w:top w:val="single" w:sz="4" w:space="0" w:color="7F7F7F" w:themeColor="text1" w:themeTint="80"/>
            </w:tcBorders>
            <w:shd w:val="clear" w:color="auto" w:fill="auto"/>
            <w:vAlign w:val="center"/>
          </w:tcPr>
          <w:p w:rsidR="00C94CC9" w:rsidRPr="00C94CC9" w:rsidRDefault="00C94CC9" w:rsidP="00336E76">
            <w:pPr>
              <w:jc w:val="right"/>
              <w:rPr>
                <w:sz w:val="20"/>
                <w:szCs w:val="20"/>
              </w:rPr>
            </w:pPr>
            <w:r w:rsidRPr="00C94CC9">
              <w:rPr>
                <w:sz w:val="20"/>
                <w:szCs w:val="20"/>
              </w:rPr>
              <w:t>80.8</w:t>
            </w:r>
          </w:p>
        </w:tc>
      </w:tr>
      <w:tr w:rsidR="00C94CC9" w:rsidTr="00C823E6">
        <w:trPr>
          <w:cantSplit/>
          <w:trHeight w:val="288"/>
        </w:trPr>
        <w:tc>
          <w:tcPr>
            <w:tcW w:w="363" w:type="dxa"/>
            <w:vMerge/>
            <w:tcBorders>
              <w:bottom w:val="single" w:sz="4" w:space="0" w:color="7F7F7F" w:themeColor="text1" w:themeTint="80"/>
              <w:right w:val="single" w:sz="4" w:space="0" w:color="7F7F7F" w:themeColor="text1" w:themeTint="80"/>
            </w:tcBorders>
            <w:shd w:val="clear" w:color="auto" w:fill="auto"/>
            <w:noWrap/>
            <w:vAlign w:val="bottom"/>
          </w:tcPr>
          <w:p w:rsidR="00C94CC9" w:rsidRPr="00261D0D" w:rsidRDefault="00C94CC9" w:rsidP="00336E76">
            <w:pPr>
              <w:jc w:val="right"/>
              <w:rPr>
                <w:rFonts w:ascii="Calibri" w:hAnsi="Calibri" w:cs="Calibri"/>
                <w:szCs w:val="20"/>
              </w:rPr>
            </w:pPr>
          </w:p>
        </w:tc>
        <w:tc>
          <w:tcPr>
            <w:tcW w:w="943" w:type="dxa"/>
            <w:vMerge/>
            <w:tcBorders>
              <w:left w:val="single" w:sz="4" w:space="0" w:color="7F7F7F" w:themeColor="text1" w:themeTint="80"/>
              <w:bottom w:val="single" w:sz="4" w:space="0" w:color="FFFFFF" w:themeColor="background1"/>
              <w:right w:val="single" w:sz="4" w:space="0" w:color="7F7F7F" w:themeColor="text1" w:themeTint="80"/>
            </w:tcBorders>
            <w:shd w:val="clear" w:color="auto" w:fill="auto"/>
            <w:noWrap/>
            <w:vAlign w:val="center"/>
          </w:tcPr>
          <w:p w:rsidR="00C94CC9" w:rsidRPr="00C94CC9" w:rsidRDefault="00C94CC9" w:rsidP="00336E76">
            <w:pPr>
              <w:jc w:val="center"/>
              <w:rPr>
                <w:sz w:val="20"/>
                <w:szCs w:val="20"/>
              </w:rPr>
            </w:pPr>
          </w:p>
        </w:tc>
        <w:tc>
          <w:tcPr>
            <w:tcW w:w="1620" w:type="dxa"/>
            <w:tcBorders>
              <w:left w:val="single" w:sz="4" w:space="0" w:color="7F7F7F" w:themeColor="text1" w:themeTint="80"/>
              <w:bottom w:val="single" w:sz="4" w:space="0" w:color="7F7F7F" w:themeColor="text1" w:themeTint="80"/>
            </w:tcBorders>
            <w:shd w:val="clear" w:color="auto" w:fill="auto"/>
            <w:noWrap/>
            <w:vAlign w:val="center"/>
          </w:tcPr>
          <w:p w:rsidR="00C94CC9" w:rsidRPr="00C94CC9" w:rsidRDefault="00C94CC9" w:rsidP="00C94CC9">
            <w:pPr>
              <w:ind w:right="-81"/>
              <w:rPr>
                <w:sz w:val="20"/>
                <w:szCs w:val="20"/>
              </w:rPr>
            </w:pPr>
            <w:r w:rsidRPr="00C94CC9">
              <w:rPr>
                <w:sz w:val="20"/>
                <w:szCs w:val="20"/>
              </w:rPr>
              <w:t>Ex-Ante 2015/16</w:t>
            </w:r>
          </w:p>
        </w:tc>
        <w:tc>
          <w:tcPr>
            <w:tcW w:w="1170" w:type="dxa"/>
            <w:tcBorders>
              <w:bottom w:val="single" w:sz="4" w:space="0" w:color="7F7F7F" w:themeColor="text1" w:themeTint="80"/>
            </w:tcBorders>
            <w:shd w:val="clear" w:color="auto" w:fill="auto"/>
            <w:vAlign w:val="center"/>
          </w:tcPr>
          <w:p w:rsidR="00C94CC9" w:rsidRPr="00C94CC9" w:rsidRDefault="00C94CC9" w:rsidP="00336E76">
            <w:pPr>
              <w:jc w:val="center"/>
              <w:rPr>
                <w:color w:val="000000"/>
                <w:sz w:val="20"/>
                <w:szCs w:val="20"/>
              </w:rPr>
            </w:pPr>
            <w:r w:rsidRPr="00C94CC9">
              <w:rPr>
                <w:color w:val="000000"/>
                <w:sz w:val="20"/>
                <w:szCs w:val="20"/>
              </w:rPr>
              <w:t>Aug Peak</w:t>
            </w:r>
          </w:p>
        </w:tc>
        <w:tc>
          <w:tcPr>
            <w:tcW w:w="720" w:type="dxa"/>
            <w:tcBorders>
              <w:bottom w:val="single" w:sz="4" w:space="0" w:color="7F7F7F" w:themeColor="text1" w:themeTint="80"/>
            </w:tcBorders>
            <w:shd w:val="clear" w:color="auto" w:fill="auto"/>
            <w:noWrap/>
            <w:vAlign w:val="center"/>
          </w:tcPr>
          <w:p w:rsidR="00C94CC9" w:rsidRPr="00C94CC9" w:rsidRDefault="00C94CC9" w:rsidP="00336E76">
            <w:pPr>
              <w:jc w:val="center"/>
              <w:rPr>
                <w:sz w:val="20"/>
                <w:szCs w:val="20"/>
              </w:rPr>
            </w:pPr>
            <w:r w:rsidRPr="00C94CC9">
              <w:rPr>
                <w:color w:val="000000"/>
                <w:sz w:val="20"/>
                <w:szCs w:val="20"/>
              </w:rPr>
              <w:t>159</w:t>
            </w:r>
          </w:p>
        </w:tc>
        <w:tc>
          <w:tcPr>
            <w:tcW w:w="855" w:type="dxa"/>
            <w:tcBorders>
              <w:bottom w:val="single" w:sz="4" w:space="0" w:color="7F7F7F" w:themeColor="text1" w:themeTint="80"/>
            </w:tcBorders>
            <w:vAlign w:val="center"/>
          </w:tcPr>
          <w:p w:rsidR="00C94CC9" w:rsidRPr="00C94CC9" w:rsidRDefault="00C94CC9" w:rsidP="00336E76">
            <w:pPr>
              <w:jc w:val="center"/>
              <w:rPr>
                <w:color w:val="000000"/>
                <w:sz w:val="20"/>
                <w:szCs w:val="20"/>
              </w:rPr>
            </w:pPr>
            <w:r w:rsidRPr="00C94CC9">
              <w:rPr>
                <w:color w:val="000000"/>
                <w:sz w:val="20"/>
                <w:szCs w:val="20"/>
              </w:rPr>
              <w:t>269.4</w:t>
            </w:r>
          </w:p>
        </w:tc>
        <w:tc>
          <w:tcPr>
            <w:tcW w:w="855" w:type="dxa"/>
            <w:tcBorders>
              <w:bottom w:val="single" w:sz="4" w:space="0" w:color="7F7F7F" w:themeColor="text1" w:themeTint="80"/>
            </w:tcBorders>
            <w:shd w:val="clear" w:color="auto" w:fill="auto"/>
            <w:vAlign w:val="center"/>
          </w:tcPr>
          <w:p w:rsidR="00C94CC9" w:rsidRPr="00C94CC9" w:rsidRDefault="00C94CC9" w:rsidP="00336E76">
            <w:pPr>
              <w:jc w:val="center"/>
              <w:rPr>
                <w:sz w:val="20"/>
                <w:szCs w:val="20"/>
              </w:rPr>
            </w:pPr>
            <w:r w:rsidRPr="00C94CC9">
              <w:rPr>
                <w:color w:val="000000"/>
                <w:sz w:val="20"/>
                <w:szCs w:val="20"/>
              </w:rPr>
              <w:t>74.8</w:t>
            </w:r>
          </w:p>
        </w:tc>
        <w:tc>
          <w:tcPr>
            <w:tcW w:w="855" w:type="dxa"/>
            <w:tcBorders>
              <w:bottom w:val="single" w:sz="4" w:space="0" w:color="7F7F7F" w:themeColor="text1" w:themeTint="80"/>
            </w:tcBorders>
            <w:vAlign w:val="center"/>
          </w:tcPr>
          <w:p w:rsidR="00C94CC9" w:rsidRPr="00C94CC9" w:rsidRDefault="00C94CC9" w:rsidP="00336E76">
            <w:pPr>
              <w:jc w:val="center"/>
              <w:rPr>
                <w:color w:val="000000"/>
                <w:sz w:val="20"/>
                <w:szCs w:val="20"/>
              </w:rPr>
            </w:pPr>
            <w:r w:rsidRPr="00C94CC9">
              <w:rPr>
                <w:color w:val="000000"/>
                <w:sz w:val="20"/>
                <w:szCs w:val="20"/>
              </w:rPr>
              <w:t>42.8</w:t>
            </w:r>
          </w:p>
        </w:tc>
        <w:tc>
          <w:tcPr>
            <w:tcW w:w="855" w:type="dxa"/>
            <w:tcBorders>
              <w:bottom w:val="single" w:sz="4" w:space="0" w:color="7F7F7F" w:themeColor="text1" w:themeTint="80"/>
            </w:tcBorders>
            <w:shd w:val="clear" w:color="auto" w:fill="auto"/>
            <w:vAlign w:val="center"/>
          </w:tcPr>
          <w:p w:rsidR="00C94CC9" w:rsidRPr="00C94CC9" w:rsidRDefault="00C94CC9" w:rsidP="00336E76">
            <w:pPr>
              <w:tabs>
                <w:tab w:val="decimal" w:pos="262"/>
              </w:tabs>
              <w:jc w:val="center"/>
              <w:rPr>
                <w:sz w:val="20"/>
                <w:szCs w:val="20"/>
              </w:rPr>
            </w:pPr>
            <w:r w:rsidRPr="00C94CC9">
              <w:rPr>
                <w:color w:val="000000"/>
                <w:sz w:val="20"/>
                <w:szCs w:val="20"/>
              </w:rPr>
              <w:t>11.9</w:t>
            </w:r>
          </w:p>
        </w:tc>
        <w:tc>
          <w:tcPr>
            <w:tcW w:w="782" w:type="dxa"/>
            <w:tcBorders>
              <w:bottom w:val="single" w:sz="4" w:space="0" w:color="7F7F7F" w:themeColor="text1" w:themeTint="80"/>
            </w:tcBorders>
            <w:shd w:val="clear" w:color="auto" w:fill="auto"/>
            <w:vAlign w:val="center"/>
          </w:tcPr>
          <w:p w:rsidR="00C94CC9" w:rsidRPr="00C94CC9" w:rsidRDefault="00C94CC9" w:rsidP="00336E76">
            <w:pPr>
              <w:ind w:left="-23" w:right="-2"/>
              <w:jc w:val="right"/>
              <w:rPr>
                <w:sz w:val="20"/>
                <w:szCs w:val="20"/>
              </w:rPr>
            </w:pPr>
            <w:r w:rsidRPr="00C94CC9">
              <w:rPr>
                <w:color w:val="000000"/>
                <w:sz w:val="20"/>
                <w:szCs w:val="20"/>
              </w:rPr>
              <w:t>27.8%</w:t>
            </w:r>
          </w:p>
        </w:tc>
        <w:tc>
          <w:tcPr>
            <w:tcW w:w="721" w:type="dxa"/>
            <w:tcBorders>
              <w:bottom w:val="single" w:sz="4" w:space="0" w:color="7F7F7F" w:themeColor="text1" w:themeTint="80"/>
            </w:tcBorders>
            <w:shd w:val="clear" w:color="auto" w:fill="auto"/>
            <w:vAlign w:val="center"/>
          </w:tcPr>
          <w:p w:rsidR="00C94CC9" w:rsidRPr="00C94CC9" w:rsidRDefault="00C94CC9" w:rsidP="00336E76">
            <w:pPr>
              <w:jc w:val="right"/>
              <w:rPr>
                <w:sz w:val="20"/>
                <w:szCs w:val="20"/>
              </w:rPr>
            </w:pPr>
            <w:r w:rsidRPr="00C94CC9">
              <w:rPr>
                <w:color w:val="000000"/>
                <w:sz w:val="20"/>
                <w:szCs w:val="20"/>
              </w:rPr>
              <w:t>81.0</w:t>
            </w:r>
          </w:p>
        </w:tc>
      </w:tr>
      <w:tr w:rsidR="00C94CC9" w:rsidTr="00C823E6">
        <w:trPr>
          <w:cantSplit/>
          <w:trHeight w:val="288"/>
        </w:trPr>
        <w:tc>
          <w:tcPr>
            <w:tcW w:w="363" w:type="dxa"/>
            <w:vMerge w:val="restart"/>
            <w:tcBorders>
              <w:top w:val="single" w:sz="4" w:space="0" w:color="7F7F7F" w:themeColor="text1" w:themeTint="80"/>
              <w:left w:val="nil"/>
              <w:right w:val="single" w:sz="4" w:space="0" w:color="7F7F7F" w:themeColor="text1" w:themeTint="80"/>
            </w:tcBorders>
            <w:shd w:val="clear" w:color="auto" w:fill="auto"/>
            <w:noWrap/>
            <w:textDirection w:val="btLr"/>
            <w:vAlign w:val="center"/>
          </w:tcPr>
          <w:p w:rsidR="00C94CC9" w:rsidRPr="00261D0D" w:rsidRDefault="00C94CC9" w:rsidP="00336E76">
            <w:pPr>
              <w:ind w:left="113" w:right="113"/>
              <w:jc w:val="center"/>
              <w:rPr>
                <w:rFonts w:ascii="Calibri" w:hAnsi="Calibri" w:cs="Calibri"/>
                <w:bCs/>
                <w:szCs w:val="20"/>
              </w:rPr>
            </w:pPr>
            <w:r w:rsidRPr="00261D0D">
              <w:rPr>
                <w:rFonts w:ascii="Calibri" w:hAnsi="Calibri" w:cs="Calibri"/>
                <w:bCs/>
                <w:szCs w:val="20"/>
              </w:rPr>
              <w:t>DO</w:t>
            </w:r>
          </w:p>
        </w:tc>
        <w:tc>
          <w:tcPr>
            <w:tcW w:w="943" w:type="dxa"/>
            <w:vMerge w:val="restart"/>
            <w:tcBorders>
              <w:top w:val="single" w:sz="4" w:space="0" w:color="7F7F7F" w:themeColor="text1" w:themeTint="80"/>
              <w:left w:val="single" w:sz="4" w:space="0" w:color="7F7F7F" w:themeColor="text1" w:themeTint="80"/>
              <w:right w:val="single" w:sz="4" w:space="0" w:color="7F7F7F" w:themeColor="text1" w:themeTint="80"/>
            </w:tcBorders>
            <w:shd w:val="clear" w:color="auto" w:fill="auto"/>
            <w:noWrap/>
            <w:vAlign w:val="center"/>
          </w:tcPr>
          <w:p w:rsidR="00C94CC9" w:rsidRPr="00C94CC9" w:rsidRDefault="00C94CC9" w:rsidP="00336E76">
            <w:pPr>
              <w:jc w:val="center"/>
              <w:rPr>
                <w:bCs/>
                <w:sz w:val="20"/>
                <w:szCs w:val="20"/>
              </w:rPr>
            </w:pPr>
            <w:r w:rsidRPr="00C94CC9">
              <w:rPr>
                <w:color w:val="000000"/>
                <w:sz w:val="20"/>
                <w:szCs w:val="20"/>
              </w:rPr>
              <w:t>Current</w:t>
            </w:r>
          </w:p>
        </w:tc>
        <w:tc>
          <w:tcPr>
            <w:tcW w:w="1620" w:type="dxa"/>
            <w:tcBorders>
              <w:top w:val="single" w:sz="4" w:space="0" w:color="7F7F7F" w:themeColor="text1" w:themeTint="80"/>
              <w:left w:val="single" w:sz="4" w:space="0" w:color="7F7F7F" w:themeColor="text1" w:themeTint="80"/>
              <w:bottom w:val="nil"/>
            </w:tcBorders>
            <w:shd w:val="clear" w:color="auto" w:fill="auto"/>
            <w:noWrap/>
            <w:vAlign w:val="center"/>
          </w:tcPr>
          <w:p w:rsidR="00C94CC9" w:rsidRPr="00C94CC9" w:rsidRDefault="00C94CC9" w:rsidP="00C94CC9">
            <w:pPr>
              <w:ind w:right="-81"/>
              <w:rPr>
                <w:bCs/>
                <w:sz w:val="20"/>
                <w:szCs w:val="20"/>
              </w:rPr>
            </w:pPr>
            <w:r w:rsidRPr="00C94CC9">
              <w:rPr>
                <w:color w:val="000000"/>
                <w:sz w:val="20"/>
                <w:szCs w:val="20"/>
              </w:rPr>
              <w:t>Ex-Post 2015</w:t>
            </w:r>
          </w:p>
        </w:tc>
        <w:tc>
          <w:tcPr>
            <w:tcW w:w="1170" w:type="dxa"/>
            <w:tcBorders>
              <w:top w:val="single" w:sz="4" w:space="0" w:color="7F7F7F" w:themeColor="text1" w:themeTint="80"/>
              <w:bottom w:val="nil"/>
            </w:tcBorders>
            <w:shd w:val="clear" w:color="auto" w:fill="auto"/>
            <w:vAlign w:val="center"/>
          </w:tcPr>
          <w:p w:rsidR="00C94CC9" w:rsidRPr="00C94CC9" w:rsidRDefault="00C94CC9" w:rsidP="00336E76">
            <w:pPr>
              <w:jc w:val="center"/>
              <w:rPr>
                <w:color w:val="000000"/>
                <w:sz w:val="20"/>
                <w:szCs w:val="20"/>
              </w:rPr>
            </w:pPr>
            <w:r w:rsidRPr="00C94CC9">
              <w:rPr>
                <w:color w:val="000000"/>
                <w:sz w:val="20"/>
                <w:szCs w:val="20"/>
              </w:rPr>
              <w:t>Aug 26</w:t>
            </w:r>
          </w:p>
        </w:tc>
        <w:tc>
          <w:tcPr>
            <w:tcW w:w="720" w:type="dxa"/>
            <w:tcBorders>
              <w:top w:val="single" w:sz="4" w:space="0" w:color="7F7F7F" w:themeColor="text1" w:themeTint="80"/>
              <w:bottom w:val="nil"/>
            </w:tcBorders>
            <w:shd w:val="clear" w:color="auto" w:fill="auto"/>
            <w:noWrap/>
            <w:vAlign w:val="center"/>
          </w:tcPr>
          <w:p w:rsidR="00C94CC9" w:rsidRPr="00C94CC9" w:rsidRDefault="00C94CC9" w:rsidP="00336E76">
            <w:pPr>
              <w:jc w:val="center"/>
              <w:rPr>
                <w:bCs/>
                <w:sz w:val="20"/>
                <w:szCs w:val="20"/>
              </w:rPr>
            </w:pPr>
            <w:r w:rsidRPr="00C94CC9">
              <w:rPr>
                <w:color w:val="000000"/>
                <w:sz w:val="20"/>
                <w:szCs w:val="20"/>
              </w:rPr>
              <w:t>216</w:t>
            </w:r>
          </w:p>
        </w:tc>
        <w:tc>
          <w:tcPr>
            <w:tcW w:w="855" w:type="dxa"/>
            <w:tcBorders>
              <w:top w:val="single" w:sz="4" w:space="0" w:color="7F7F7F" w:themeColor="text1" w:themeTint="80"/>
              <w:bottom w:val="nil"/>
            </w:tcBorders>
            <w:vAlign w:val="center"/>
          </w:tcPr>
          <w:p w:rsidR="00C94CC9" w:rsidRPr="00C94CC9" w:rsidRDefault="00C94CC9" w:rsidP="00336E76">
            <w:pPr>
              <w:jc w:val="center"/>
              <w:rPr>
                <w:color w:val="000000"/>
                <w:sz w:val="20"/>
                <w:szCs w:val="20"/>
              </w:rPr>
            </w:pPr>
            <w:r w:rsidRPr="00C94CC9">
              <w:rPr>
                <w:color w:val="000000"/>
                <w:sz w:val="20"/>
                <w:szCs w:val="20"/>
              </w:rPr>
              <w:t>214.2</w:t>
            </w:r>
          </w:p>
        </w:tc>
        <w:tc>
          <w:tcPr>
            <w:tcW w:w="855" w:type="dxa"/>
            <w:tcBorders>
              <w:top w:val="single" w:sz="4" w:space="0" w:color="7F7F7F" w:themeColor="text1" w:themeTint="80"/>
              <w:bottom w:val="nil"/>
            </w:tcBorders>
            <w:shd w:val="clear" w:color="auto" w:fill="auto"/>
            <w:vAlign w:val="center"/>
          </w:tcPr>
          <w:p w:rsidR="00C94CC9" w:rsidRPr="00C94CC9" w:rsidRDefault="00C94CC9" w:rsidP="00336E76">
            <w:pPr>
              <w:jc w:val="center"/>
              <w:rPr>
                <w:bCs/>
                <w:sz w:val="20"/>
                <w:szCs w:val="20"/>
              </w:rPr>
            </w:pPr>
            <w:r w:rsidRPr="00C94CC9">
              <w:rPr>
                <w:color w:val="000000"/>
                <w:sz w:val="20"/>
                <w:szCs w:val="20"/>
              </w:rPr>
              <w:t>25.9</w:t>
            </w:r>
          </w:p>
        </w:tc>
        <w:tc>
          <w:tcPr>
            <w:tcW w:w="855" w:type="dxa"/>
            <w:tcBorders>
              <w:top w:val="single" w:sz="4" w:space="0" w:color="7F7F7F" w:themeColor="text1" w:themeTint="80"/>
              <w:bottom w:val="nil"/>
            </w:tcBorders>
            <w:vAlign w:val="center"/>
          </w:tcPr>
          <w:p w:rsidR="00C94CC9" w:rsidRPr="00C94CC9" w:rsidRDefault="00C94CC9" w:rsidP="00336E76">
            <w:pPr>
              <w:jc w:val="center"/>
              <w:rPr>
                <w:color w:val="000000"/>
                <w:sz w:val="20"/>
                <w:szCs w:val="20"/>
              </w:rPr>
            </w:pPr>
            <w:r w:rsidRPr="00C94CC9">
              <w:rPr>
                <w:color w:val="000000"/>
                <w:sz w:val="20"/>
                <w:szCs w:val="20"/>
              </w:rPr>
              <w:t>46.3</w:t>
            </w:r>
          </w:p>
        </w:tc>
        <w:tc>
          <w:tcPr>
            <w:tcW w:w="855" w:type="dxa"/>
            <w:tcBorders>
              <w:top w:val="single" w:sz="4" w:space="0" w:color="7F7F7F" w:themeColor="text1" w:themeTint="80"/>
              <w:bottom w:val="nil"/>
            </w:tcBorders>
            <w:shd w:val="clear" w:color="auto" w:fill="auto"/>
            <w:vAlign w:val="center"/>
          </w:tcPr>
          <w:p w:rsidR="00C94CC9" w:rsidRPr="00C94CC9" w:rsidRDefault="00C94CC9" w:rsidP="00336E76">
            <w:pPr>
              <w:tabs>
                <w:tab w:val="decimal" w:pos="262"/>
              </w:tabs>
              <w:jc w:val="center"/>
              <w:rPr>
                <w:bCs/>
                <w:sz w:val="20"/>
                <w:szCs w:val="20"/>
              </w:rPr>
            </w:pPr>
            <w:r w:rsidRPr="00C94CC9">
              <w:rPr>
                <w:color w:val="000000"/>
                <w:sz w:val="20"/>
                <w:szCs w:val="20"/>
              </w:rPr>
              <w:t>5.6</w:t>
            </w:r>
          </w:p>
        </w:tc>
        <w:tc>
          <w:tcPr>
            <w:tcW w:w="782" w:type="dxa"/>
            <w:tcBorders>
              <w:top w:val="single" w:sz="4" w:space="0" w:color="7F7F7F" w:themeColor="text1" w:themeTint="80"/>
              <w:bottom w:val="nil"/>
            </w:tcBorders>
            <w:shd w:val="clear" w:color="auto" w:fill="auto"/>
            <w:vAlign w:val="center"/>
          </w:tcPr>
          <w:p w:rsidR="00C94CC9" w:rsidRPr="00C94CC9" w:rsidRDefault="00C94CC9" w:rsidP="00336E76">
            <w:pPr>
              <w:ind w:left="-23" w:right="-2"/>
              <w:jc w:val="right"/>
              <w:rPr>
                <w:bCs/>
                <w:sz w:val="20"/>
                <w:szCs w:val="20"/>
              </w:rPr>
            </w:pPr>
            <w:r w:rsidRPr="00C94CC9">
              <w:rPr>
                <w:color w:val="000000"/>
                <w:sz w:val="20"/>
                <w:szCs w:val="20"/>
              </w:rPr>
              <w:t>12.1%</w:t>
            </w:r>
          </w:p>
        </w:tc>
        <w:tc>
          <w:tcPr>
            <w:tcW w:w="721" w:type="dxa"/>
            <w:tcBorders>
              <w:top w:val="single" w:sz="4" w:space="0" w:color="7F7F7F" w:themeColor="text1" w:themeTint="80"/>
              <w:bottom w:val="nil"/>
            </w:tcBorders>
            <w:shd w:val="clear" w:color="auto" w:fill="auto"/>
            <w:vAlign w:val="center"/>
          </w:tcPr>
          <w:p w:rsidR="00C94CC9" w:rsidRPr="00C94CC9" w:rsidRDefault="00C94CC9" w:rsidP="00336E76">
            <w:pPr>
              <w:jc w:val="right"/>
              <w:rPr>
                <w:bCs/>
                <w:sz w:val="20"/>
                <w:szCs w:val="20"/>
              </w:rPr>
            </w:pPr>
            <w:r w:rsidRPr="00C94CC9">
              <w:rPr>
                <w:color w:val="000000"/>
                <w:sz w:val="20"/>
                <w:szCs w:val="20"/>
              </w:rPr>
              <w:t>83.7</w:t>
            </w:r>
          </w:p>
        </w:tc>
      </w:tr>
      <w:tr w:rsidR="00C94CC9" w:rsidTr="00C823E6">
        <w:trPr>
          <w:cantSplit/>
          <w:trHeight w:val="288"/>
        </w:trPr>
        <w:tc>
          <w:tcPr>
            <w:tcW w:w="363" w:type="dxa"/>
            <w:vMerge/>
            <w:tcBorders>
              <w:left w:val="nil"/>
              <w:right w:val="single" w:sz="4" w:space="0" w:color="7F7F7F" w:themeColor="text1" w:themeTint="80"/>
            </w:tcBorders>
            <w:shd w:val="clear" w:color="auto" w:fill="auto"/>
            <w:noWrap/>
            <w:vAlign w:val="bottom"/>
          </w:tcPr>
          <w:p w:rsidR="00C94CC9" w:rsidRPr="00261D0D" w:rsidRDefault="00C94CC9" w:rsidP="00336E76">
            <w:pPr>
              <w:jc w:val="right"/>
              <w:rPr>
                <w:rFonts w:ascii="Calibri" w:hAnsi="Calibri" w:cs="Calibri"/>
                <w:bCs/>
                <w:szCs w:val="20"/>
              </w:rPr>
            </w:pPr>
          </w:p>
        </w:tc>
        <w:tc>
          <w:tcPr>
            <w:tcW w:w="943" w:type="dxa"/>
            <w:vMerge/>
            <w:tcBorders>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center"/>
          </w:tcPr>
          <w:p w:rsidR="00C94CC9" w:rsidRPr="00261D0D" w:rsidRDefault="00C94CC9" w:rsidP="00336E76">
            <w:pPr>
              <w:jc w:val="center"/>
              <w:rPr>
                <w:rFonts w:ascii="Calibri" w:hAnsi="Calibri" w:cs="Calibri"/>
                <w:bCs/>
                <w:szCs w:val="20"/>
              </w:rPr>
            </w:pPr>
          </w:p>
        </w:tc>
        <w:tc>
          <w:tcPr>
            <w:tcW w:w="1620" w:type="dxa"/>
            <w:tcBorders>
              <w:top w:val="nil"/>
              <w:left w:val="single" w:sz="4" w:space="0" w:color="7F7F7F" w:themeColor="text1" w:themeTint="80"/>
              <w:bottom w:val="single" w:sz="4" w:space="0" w:color="7F7F7F" w:themeColor="text1" w:themeTint="80"/>
            </w:tcBorders>
            <w:shd w:val="clear" w:color="auto" w:fill="auto"/>
            <w:noWrap/>
            <w:vAlign w:val="center"/>
          </w:tcPr>
          <w:p w:rsidR="00C94CC9" w:rsidRPr="00C94CC9" w:rsidRDefault="00C94CC9" w:rsidP="00C94CC9">
            <w:pPr>
              <w:ind w:right="-81"/>
              <w:rPr>
                <w:bCs/>
                <w:sz w:val="20"/>
                <w:szCs w:val="20"/>
              </w:rPr>
            </w:pPr>
            <w:r w:rsidRPr="00C94CC9">
              <w:rPr>
                <w:color w:val="000000"/>
                <w:sz w:val="20"/>
                <w:szCs w:val="20"/>
              </w:rPr>
              <w:t>Ex-Ante 2016</w:t>
            </w:r>
          </w:p>
        </w:tc>
        <w:tc>
          <w:tcPr>
            <w:tcW w:w="1170" w:type="dxa"/>
            <w:tcBorders>
              <w:top w:val="nil"/>
              <w:bottom w:val="single" w:sz="4" w:space="0" w:color="7F7F7F" w:themeColor="text1" w:themeTint="80"/>
            </w:tcBorders>
            <w:shd w:val="clear" w:color="auto" w:fill="auto"/>
            <w:vAlign w:val="center"/>
          </w:tcPr>
          <w:p w:rsidR="00C94CC9" w:rsidRPr="00C94CC9" w:rsidRDefault="00C94CC9" w:rsidP="00336E76">
            <w:pPr>
              <w:jc w:val="center"/>
              <w:rPr>
                <w:color w:val="000000"/>
                <w:sz w:val="20"/>
                <w:szCs w:val="20"/>
              </w:rPr>
            </w:pPr>
            <w:r w:rsidRPr="00C94CC9">
              <w:rPr>
                <w:color w:val="000000"/>
                <w:sz w:val="20"/>
                <w:szCs w:val="20"/>
              </w:rPr>
              <w:t>Aug Peak</w:t>
            </w:r>
          </w:p>
        </w:tc>
        <w:tc>
          <w:tcPr>
            <w:tcW w:w="720" w:type="dxa"/>
            <w:tcBorders>
              <w:top w:val="nil"/>
              <w:bottom w:val="single" w:sz="4" w:space="0" w:color="7F7F7F" w:themeColor="text1" w:themeTint="80"/>
            </w:tcBorders>
            <w:shd w:val="clear" w:color="auto" w:fill="auto"/>
            <w:noWrap/>
            <w:vAlign w:val="center"/>
          </w:tcPr>
          <w:p w:rsidR="00C94CC9" w:rsidRPr="00C94CC9" w:rsidRDefault="00C94CC9" w:rsidP="00336E76">
            <w:pPr>
              <w:jc w:val="center"/>
              <w:rPr>
                <w:bCs/>
                <w:sz w:val="20"/>
                <w:szCs w:val="20"/>
              </w:rPr>
            </w:pPr>
            <w:r w:rsidRPr="00C94CC9">
              <w:rPr>
                <w:color w:val="000000"/>
                <w:sz w:val="20"/>
                <w:szCs w:val="20"/>
              </w:rPr>
              <w:t>220</w:t>
            </w:r>
          </w:p>
        </w:tc>
        <w:tc>
          <w:tcPr>
            <w:tcW w:w="855" w:type="dxa"/>
            <w:tcBorders>
              <w:top w:val="nil"/>
              <w:bottom w:val="single" w:sz="4" w:space="0" w:color="7F7F7F" w:themeColor="text1" w:themeTint="80"/>
            </w:tcBorders>
            <w:vAlign w:val="center"/>
          </w:tcPr>
          <w:p w:rsidR="00C94CC9" w:rsidRPr="00C94CC9" w:rsidRDefault="00C94CC9" w:rsidP="00336E76">
            <w:pPr>
              <w:jc w:val="center"/>
              <w:rPr>
                <w:color w:val="000000"/>
                <w:sz w:val="20"/>
                <w:szCs w:val="20"/>
              </w:rPr>
            </w:pPr>
            <w:r w:rsidRPr="00C94CC9">
              <w:rPr>
                <w:color w:val="000000"/>
                <w:sz w:val="20"/>
                <w:szCs w:val="20"/>
              </w:rPr>
              <w:t>187.0</w:t>
            </w:r>
          </w:p>
        </w:tc>
        <w:tc>
          <w:tcPr>
            <w:tcW w:w="855" w:type="dxa"/>
            <w:tcBorders>
              <w:top w:val="nil"/>
              <w:bottom w:val="single" w:sz="4" w:space="0" w:color="7F7F7F" w:themeColor="text1" w:themeTint="80"/>
            </w:tcBorders>
            <w:shd w:val="clear" w:color="auto" w:fill="auto"/>
            <w:vAlign w:val="center"/>
          </w:tcPr>
          <w:p w:rsidR="00C94CC9" w:rsidRPr="00C94CC9" w:rsidRDefault="00C94CC9" w:rsidP="00336E76">
            <w:pPr>
              <w:jc w:val="center"/>
              <w:rPr>
                <w:bCs/>
                <w:sz w:val="20"/>
                <w:szCs w:val="20"/>
              </w:rPr>
            </w:pPr>
            <w:r w:rsidRPr="00C94CC9">
              <w:rPr>
                <w:color w:val="000000"/>
                <w:sz w:val="20"/>
                <w:szCs w:val="20"/>
              </w:rPr>
              <w:t>20.7</w:t>
            </w:r>
          </w:p>
        </w:tc>
        <w:tc>
          <w:tcPr>
            <w:tcW w:w="855" w:type="dxa"/>
            <w:tcBorders>
              <w:top w:val="nil"/>
              <w:bottom w:val="single" w:sz="4" w:space="0" w:color="7F7F7F" w:themeColor="text1" w:themeTint="80"/>
            </w:tcBorders>
            <w:vAlign w:val="center"/>
          </w:tcPr>
          <w:p w:rsidR="00C94CC9" w:rsidRPr="00C94CC9" w:rsidRDefault="00C94CC9" w:rsidP="00336E76">
            <w:pPr>
              <w:jc w:val="center"/>
              <w:rPr>
                <w:color w:val="000000"/>
                <w:sz w:val="20"/>
                <w:szCs w:val="20"/>
              </w:rPr>
            </w:pPr>
            <w:r w:rsidRPr="00C94CC9">
              <w:rPr>
                <w:color w:val="000000"/>
                <w:sz w:val="20"/>
                <w:szCs w:val="20"/>
              </w:rPr>
              <w:t>41.2</w:t>
            </w:r>
          </w:p>
        </w:tc>
        <w:tc>
          <w:tcPr>
            <w:tcW w:w="855" w:type="dxa"/>
            <w:tcBorders>
              <w:top w:val="nil"/>
              <w:bottom w:val="single" w:sz="4" w:space="0" w:color="7F7F7F" w:themeColor="text1" w:themeTint="80"/>
            </w:tcBorders>
            <w:shd w:val="clear" w:color="auto" w:fill="auto"/>
            <w:vAlign w:val="center"/>
          </w:tcPr>
          <w:p w:rsidR="00C94CC9" w:rsidRPr="00C94CC9" w:rsidRDefault="00C94CC9" w:rsidP="00336E76">
            <w:pPr>
              <w:tabs>
                <w:tab w:val="decimal" w:pos="262"/>
              </w:tabs>
              <w:jc w:val="center"/>
              <w:rPr>
                <w:bCs/>
                <w:sz w:val="20"/>
                <w:szCs w:val="20"/>
              </w:rPr>
            </w:pPr>
            <w:r w:rsidRPr="00C94CC9">
              <w:rPr>
                <w:color w:val="000000"/>
                <w:sz w:val="20"/>
                <w:szCs w:val="20"/>
              </w:rPr>
              <w:t>4.6</w:t>
            </w:r>
          </w:p>
        </w:tc>
        <w:tc>
          <w:tcPr>
            <w:tcW w:w="782" w:type="dxa"/>
            <w:tcBorders>
              <w:top w:val="nil"/>
              <w:bottom w:val="single" w:sz="4" w:space="0" w:color="7F7F7F" w:themeColor="text1" w:themeTint="80"/>
            </w:tcBorders>
            <w:shd w:val="clear" w:color="auto" w:fill="auto"/>
            <w:vAlign w:val="center"/>
          </w:tcPr>
          <w:p w:rsidR="00C94CC9" w:rsidRPr="00C94CC9" w:rsidRDefault="00C94CC9" w:rsidP="00336E76">
            <w:pPr>
              <w:ind w:left="-23" w:right="-2"/>
              <w:jc w:val="right"/>
              <w:rPr>
                <w:bCs/>
                <w:sz w:val="20"/>
                <w:szCs w:val="20"/>
              </w:rPr>
            </w:pPr>
            <w:r w:rsidRPr="00C94CC9">
              <w:rPr>
                <w:sz w:val="20"/>
                <w:szCs w:val="20"/>
              </w:rPr>
              <w:t>11.1%</w:t>
            </w:r>
          </w:p>
        </w:tc>
        <w:tc>
          <w:tcPr>
            <w:tcW w:w="721" w:type="dxa"/>
            <w:tcBorders>
              <w:top w:val="nil"/>
              <w:bottom w:val="single" w:sz="4" w:space="0" w:color="7F7F7F" w:themeColor="text1" w:themeTint="80"/>
            </w:tcBorders>
            <w:shd w:val="clear" w:color="auto" w:fill="auto"/>
            <w:vAlign w:val="center"/>
          </w:tcPr>
          <w:p w:rsidR="00C94CC9" w:rsidRPr="00C94CC9" w:rsidRDefault="00C94CC9" w:rsidP="00336E76">
            <w:pPr>
              <w:jc w:val="right"/>
              <w:rPr>
                <w:bCs/>
                <w:sz w:val="20"/>
                <w:szCs w:val="20"/>
              </w:rPr>
            </w:pPr>
            <w:r w:rsidRPr="00C94CC9">
              <w:rPr>
                <w:color w:val="000000"/>
                <w:sz w:val="20"/>
                <w:szCs w:val="20"/>
              </w:rPr>
              <w:t>81.3</w:t>
            </w:r>
          </w:p>
        </w:tc>
      </w:tr>
      <w:tr w:rsidR="00C94CC9" w:rsidRPr="00C94CC9" w:rsidTr="00C823E6">
        <w:trPr>
          <w:cantSplit/>
          <w:trHeight w:val="288"/>
        </w:trPr>
        <w:tc>
          <w:tcPr>
            <w:tcW w:w="363" w:type="dxa"/>
            <w:vMerge/>
            <w:tcBorders>
              <w:left w:val="nil"/>
              <w:right w:val="single" w:sz="4" w:space="0" w:color="7F7F7F" w:themeColor="text1" w:themeTint="80"/>
            </w:tcBorders>
            <w:shd w:val="clear" w:color="auto" w:fill="auto"/>
            <w:noWrap/>
            <w:vAlign w:val="bottom"/>
          </w:tcPr>
          <w:p w:rsidR="00C94CC9" w:rsidRPr="00C94CC9" w:rsidRDefault="00C94CC9" w:rsidP="00336E76">
            <w:pPr>
              <w:jc w:val="right"/>
              <w:rPr>
                <w:bCs/>
                <w:sz w:val="20"/>
                <w:szCs w:val="20"/>
              </w:rPr>
            </w:pPr>
          </w:p>
        </w:tc>
        <w:tc>
          <w:tcPr>
            <w:tcW w:w="943" w:type="dxa"/>
            <w:vMerge w:val="restar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center"/>
          </w:tcPr>
          <w:p w:rsidR="00C94CC9" w:rsidRPr="00C94CC9" w:rsidRDefault="00C94CC9" w:rsidP="00336E76">
            <w:pPr>
              <w:jc w:val="center"/>
              <w:rPr>
                <w:bCs/>
                <w:sz w:val="20"/>
                <w:szCs w:val="20"/>
              </w:rPr>
            </w:pPr>
            <w:r w:rsidRPr="00C94CC9">
              <w:rPr>
                <w:sz w:val="20"/>
                <w:szCs w:val="20"/>
              </w:rPr>
              <w:t>Previous</w:t>
            </w:r>
          </w:p>
        </w:tc>
        <w:tc>
          <w:tcPr>
            <w:tcW w:w="1620" w:type="dxa"/>
            <w:tcBorders>
              <w:top w:val="single" w:sz="4" w:space="0" w:color="7F7F7F" w:themeColor="text1" w:themeTint="80"/>
              <w:left w:val="single" w:sz="4" w:space="0" w:color="7F7F7F" w:themeColor="text1" w:themeTint="80"/>
              <w:bottom w:val="nil"/>
            </w:tcBorders>
            <w:shd w:val="clear" w:color="auto" w:fill="auto"/>
            <w:noWrap/>
            <w:vAlign w:val="center"/>
          </w:tcPr>
          <w:p w:rsidR="00C94CC9" w:rsidRPr="00C94CC9" w:rsidRDefault="00C94CC9" w:rsidP="00C94CC9">
            <w:pPr>
              <w:ind w:right="-81"/>
              <w:rPr>
                <w:bCs/>
                <w:sz w:val="20"/>
                <w:szCs w:val="20"/>
              </w:rPr>
            </w:pPr>
            <w:r w:rsidRPr="00C94CC9">
              <w:rPr>
                <w:sz w:val="20"/>
                <w:szCs w:val="20"/>
              </w:rPr>
              <w:t>Ex-Post 2014</w:t>
            </w:r>
          </w:p>
        </w:tc>
        <w:tc>
          <w:tcPr>
            <w:tcW w:w="1170" w:type="dxa"/>
            <w:tcBorders>
              <w:top w:val="single" w:sz="4" w:space="0" w:color="7F7F7F" w:themeColor="text1" w:themeTint="80"/>
              <w:bottom w:val="nil"/>
            </w:tcBorders>
            <w:shd w:val="clear" w:color="auto" w:fill="auto"/>
            <w:vAlign w:val="center"/>
          </w:tcPr>
          <w:p w:rsidR="00C94CC9" w:rsidRPr="00C94CC9" w:rsidRDefault="00C94CC9" w:rsidP="00336E76">
            <w:pPr>
              <w:ind w:left="-42" w:right="-46"/>
              <w:jc w:val="center"/>
              <w:rPr>
                <w:color w:val="000000"/>
                <w:sz w:val="20"/>
                <w:szCs w:val="20"/>
              </w:rPr>
            </w:pPr>
            <w:r w:rsidRPr="00C94CC9">
              <w:rPr>
                <w:color w:val="000000"/>
                <w:sz w:val="20"/>
                <w:szCs w:val="20"/>
              </w:rPr>
              <w:t>Avg. Event</w:t>
            </w:r>
            <w:r w:rsidRPr="00C94CC9">
              <w:rPr>
                <w:rStyle w:val="FootnoteReference"/>
                <w:sz w:val="20"/>
                <w:szCs w:val="20"/>
              </w:rPr>
              <w:footnoteReference w:id="7"/>
            </w:r>
          </w:p>
        </w:tc>
        <w:tc>
          <w:tcPr>
            <w:tcW w:w="720" w:type="dxa"/>
            <w:tcBorders>
              <w:top w:val="single" w:sz="4" w:space="0" w:color="7F7F7F" w:themeColor="text1" w:themeTint="80"/>
              <w:bottom w:val="nil"/>
            </w:tcBorders>
            <w:shd w:val="clear" w:color="auto" w:fill="auto"/>
            <w:noWrap/>
            <w:vAlign w:val="center"/>
          </w:tcPr>
          <w:p w:rsidR="00C94CC9" w:rsidRPr="00C94CC9" w:rsidRDefault="00C94CC9" w:rsidP="00336E76">
            <w:pPr>
              <w:jc w:val="center"/>
              <w:rPr>
                <w:bCs/>
                <w:sz w:val="20"/>
                <w:szCs w:val="20"/>
              </w:rPr>
            </w:pPr>
            <w:r w:rsidRPr="00C94CC9">
              <w:rPr>
                <w:color w:val="000000"/>
                <w:sz w:val="20"/>
                <w:szCs w:val="20"/>
              </w:rPr>
              <w:t>237</w:t>
            </w:r>
          </w:p>
        </w:tc>
        <w:tc>
          <w:tcPr>
            <w:tcW w:w="855" w:type="dxa"/>
            <w:tcBorders>
              <w:top w:val="single" w:sz="4" w:space="0" w:color="7F7F7F" w:themeColor="text1" w:themeTint="80"/>
              <w:bottom w:val="nil"/>
            </w:tcBorders>
            <w:vAlign w:val="center"/>
          </w:tcPr>
          <w:p w:rsidR="00C94CC9" w:rsidRPr="00C94CC9" w:rsidRDefault="00C94CC9" w:rsidP="00336E76">
            <w:pPr>
              <w:jc w:val="center"/>
              <w:rPr>
                <w:color w:val="000000"/>
                <w:sz w:val="20"/>
                <w:szCs w:val="20"/>
              </w:rPr>
            </w:pPr>
            <w:r w:rsidRPr="00C94CC9">
              <w:rPr>
                <w:color w:val="000000"/>
                <w:sz w:val="20"/>
                <w:szCs w:val="20"/>
              </w:rPr>
              <w:t>228.5</w:t>
            </w:r>
          </w:p>
        </w:tc>
        <w:tc>
          <w:tcPr>
            <w:tcW w:w="855" w:type="dxa"/>
            <w:tcBorders>
              <w:top w:val="single" w:sz="4" w:space="0" w:color="7F7F7F" w:themeColor="text1" w:themeTint="80"/>
              <w:bottom w:val="nil"/>
            </w:tcBorders>
            <w:shd w:val="clear" w:color="auto" w:fill="auto"/>
            <w:vAlign w:val="center"/>
          </w:tcPr>
          <w:p w:rsidR="00C94CC9" w:rsidRPr="00C94CC9" w:rsidRDefault="00C94CC9" w:rsidP="00336E76">
            <w:pPr>
              <w:jc w:val="center"/>
              <w:rPr>
                <w:bCs/>
                <w:sz w:val="20"/>
                <w:szCs w:val="20"/>
              </w:rPr>
            </w:pPr>
            <w:r w:rsidRPr="00C94CC9">
              <w:rPr>
                <w:color w:val="000000"/>
                <w:sz w:val="20"/>
                <w:szCs w:val="20"/>
              </w:rPr>
              <w:t>37.0</w:t>
            </w:r>
          </w:p>
        </w:tc>
        <w:tc>
          <w:tcPr>
            <w:tcW w:w="855" w:type="dxa"/>
            <w:tcBorders>
              <w:top w:val="single" w:sz="4" w:space="0" w:color="7F7F7F" w:themeColor="text1" w:themeTint="80"/>
              <w:bottom w:val="nil"/>
            </w:tcBorders>
            <w:vAlign w:val="center"/>
          </w:tcPr>
          <w:p w:rsidR="00C94CC9" w:rsidRPr="00C94CC9" w:rsidRDefault="00C94CC9" w:rsidP="00336E76">
            <w:pPr>
              <w:jc w:val="center"/>
              <w:rPr>
                <w:color w:val="000000"/>
                <w:sz w:val="20"/>
                <w:szCs w:val="20"/>
              </w:rPr>
            </w:pPr>
            <w:r w:rsidRPr="00C94CC9">
              <w:rPr>
                <w:color w:val="000000"/>
                <w:sz w:val="20"/>
                <w:szCs w:val="20"/>
              </w:rPr>
              <w:t>54.1</w:t>
            </w:r>
          </w:p>
        </w:tc>
        <w:tc>
          <w:tcPr>
            <w:tcW w:w="855" w:type="dxa"/>
            <w:tcBorders>
              <w:top w:val="single" w:sz="4" w:space="0" w:color="7F7F7F" w:themeColor="text1" w:themeTint="80"/>
              <w:bottom w:val="nil"/>
            </w:tcBorders>
            <w:shd w:val="clear" w:color="auto" w:fill="auto"/>
            <w:vAlign w:val="center"/>
          </w:tcPr>
          <w:p w:rsidR="00C94CC9" w:rsidRPr="00C94CC9" w:rsidRDefault="00C94CC9" w:rsidP="00336E76">
            <w:pPr>
              <w:tabs>
                <w:tab w:val="decimal" w:pos="262"/>
              </w:tabs>
              <w:jc w:val="center"/>
              <w:rPr>
                <w:bCs/>
                <w:sz w:val="20"/>
                <w:szCs w:val="20"/>
              </w:rPr>
            </w:pPr>
            <w:r w:rsidRPr="00C94CC9">
              <w:rPr>
                <w:color w:val="000000"/>
                <w:sz w:val="20"/>
                <w:szCs w:val="20"/>
              </w:rPr>
              <w:t>8.8</w:t>
            </w:r>
          </w:p>
        </w:tc>
        <w:tc>
          <w:tcPr>
            <w:tcW w:w="782" w:type="dxa"/>
            <w:tcBorders>
              <w:top w:val="single" w:sz="4" w:space="0" w:color="7F7F7F" w:themeColor="text1" w:themeTint="80"/>
              <w:bottom w:val="nil"/>
            </w:tcBorders>
            <w:shd w:val="clear" w:color="auto" w:fill="auto"/>
            <w:vAlign w:val="center"/>
          </w:tcPr>
          <w:p w:rsidR="00C94CC9" w:rsidRPr="00C94CC9" w:rsidRDefault="00C94CC9" w:rsidP="00336E76">
            <w:pPr>
              <w:ind w:left="-23"/>
              <w:jc w:val="right"/>
              <w:rPr>
                <w:bCs/>
                <w:sz w:val="20"/>
                <w:szCs w:val="20"/>
              </w:rPr>
            </w:pPr>
            <w:r w:rsidRPr="00C94CC9">
              <w:rPr>
                <w:color w:val="000000"/>
                <w:sz w:val="20"/>
                <w:szCs w:val="20"/>
              </w:rPr>
              <w:t>16.0%</w:t>
            </w:r>
          </w:p>
        </w:tc>
        <w:tc>
          <w:tcPr>
            <w:tcW w:w="721" w:type="dxa"/>
            <w:tcBorders>
              <w:top w:val="single" w:sz="4" w:space="0" w:color="7F7F7F" w:themeColor="text1" w:themeTint="80"/>
              <w:bottom w:val="nil"/>
            </w:tcBorders>
            <w:shd w:val="clear" w:color="auto" w:fill="auto"/>
            <w:vAlign w:val="center"/>
          </w:tcPr>
          <w:p w:rsidR="00C94CC9" w:rsidRPr="00C94CC9" w:rsidRDefault="00C94CC9" w:rsidP="00336E76">
            <w:pPr>
              <w:jc w:val="right"/>
              <w:rPr>
                <w:bCs/>
                <w:sz w:val="20"/>
                <w:szCs w:val="20"/>
              </w:rPr>
            </w:pPr>
            <w:r w:rsidRPr="00C94CC9">
              <w:rPr>
                <w:color w:val="000000"/>
                <w:sz w:val="20"/>
                <w:szCs w:val="20"/>
              </w:rPr>
              <w:t>87.0</w:t>
            </w:r>
          </w:p>
        </w:tc>
      </w:tr>
      <w:tr w:rsidR="00C94CC9" w:rsidRPr="00C94CC9" w:rsidTr="00C823E6">
        <w:trPr>
          <w:cantSplit/>
          <w:trHeight w:val="288"/>
        </w:trPr>
        <w:tc>
          <w:tcPr>
            <w:tcW w:w="363" w:type="dxa"/>
            <w:vMerge/>
            <w:tcBorders>
              <w:left w:val="nil"/>
              <w:bottom w:val="single" w:sz="4" w:space="0" w:color="7F7F7F" w:themeColor="text1" w:themeTint="80"/>
              <w:right w:val="single" w:sz="4" w:space="0" w:color="7F7F7F" w:themeColor="text1" w:themeTint="80"/>
            </w:tcBorders>
            <w:shd w:val="clear" w:color="auto" w:fill="auto"/>
            <w:noWrap/>
            <w:vAlign w:val="bottom"/>
          </w:tcPr>
          <w:p w:rsidR="00C94CC9" w:rsidRPr="00C94CC9" w:rsidRDefault="00C94CC9" w:rsidP="00336E76">
            <w:pPr>
              <w:jc w:val="right"/>
              <w:rPr>
                <w:bCs/>
                <w:sz w:val="20"/>
                <w:szCs w:val="20"/>
              </w:rPr>
            </w:pPr>
          </w:p>
        </w:tc>
        <w:tc>
          <w:tcPr>
            <w:tcW w:w="943" w:type="dxa"/>
            <w:vMerge/>
            <w:tcBorders>
              <w:left w:val="single" w:sz="4" w:space="0" w:color="7F7F7F" w:themeColor="text1" w:themeTint="80"/>
              <w:bottom w:val="single" w:sz="4" w:space="0" w:color="7F7F7F" w:themeColor="text1" w:themeTint="80"/>
              <w:right w:val="single" w:sz="4" w:space="0" w:color="7F7F7F" w:themeColor="text1" w:themeTint="80"/>
            </w:tcBorders>
            <w:shd w:val="clear" w:color="auto" w:fill="auto"/>
            <w:noWrap/>
            <w:vAlign w:val="bottom"/>
          </w:tcPr>
          <w:p w:rsidR="00C94CC9" w:rsidRPr="00C94CC9" w:rsidRDefault="00C94CC9" w:rsidP="00336E76">
            <w:pPr>
              <w:jc w:val="right"/>
              <w:rPr>
                <w:bCs/>
                <w:sz w:val="20"/>
                <w:szCs w:val="20"/>
              </w:rPr>
            </w:pPr>
          </w:p>
        </w:tc>
        <w:tc>
          <w:tcPr>
            <w:tcW w:w="1620" w:type="dxa"/>
            <w:tcBorders>
              <w:top w:val="nil"/>
              <w:left w:val="single" w:sz="4" w:space="0" w:color="7F7F7F" w:themeColor="text1" w:themeTint="80"/>
              <w:bottom w:val="single" w:sz="4" w:space="0" w:color="7F7F7F" w:themeColor="text1" w:themeTint="80"/>
            </w:tcBorders>
            <w:shd w:val="clear" w:color="auto" w:fill="auto"/>
            <w:noWrap/>
            <w:vAlign w:val="center"/>
          </w:tcPr>
          <w:p w:rsidR="00C94CC9" w:rsidRPr="00C94CC9" w:rsidRDefault="00C94CC9" w:rsidP="00C94CC9">
            <w:pPr>
              <w:ind w:right="-81"/>
              <w:rPr>
                <w:bCs/>
                <w:sz w:val="20"/>
                <w:szCs w:val="20"/>
              </w:rPr>
            </w:pPr>
            <w:r w:rsidRPr="00C94CC9">
              <w:rPr>
                <w:sz w:val="20"/>
                <w:szCs w:val="20"/>
              </w:rPr>
              <w:t>Ex-Ante 2015/16</w:t>
            </w:r>
          </w:p>
        </w:tc>
        <w:tc>
          <w:tcPr>
            <w:tcW w:w="1170" w:type="dxa"/>
            <w:tcBorders>
              <w:top w:val="nil"/>
              <w:bottom w:val="single" w:sz="4" w:space="0" w:color="7F7F7F" w:themeColor="text1" w:themeTint="80"/>
            </w:tcBorders>
            <w:shd w:val="clear" w:color="auto" w:fill="auto"/>
            <w:vAlign w:val="center"/>
          </w:tcPr>
          <w:p w:rsidR="00C94CC9" w:rsidRPr="00C94CC9" w:rsidRDefault="00C94CC9" w:rsidP="00336E76">
            <w:pPr>
              <w:jc w:val="center"/>
              <w:rPr>
                <w:sz w:val="20"/>
                <w:szCs w:val="20"/>
              </w:rPr>
            </w:pPr>
            <w:r w:rsidRPr="00C94CC9">
              <w:rPr>
                <w:color w:val="000000"/>
                <w:sz w:val="20"/>
                <w:szCs w:val="20"/>
              </w:rPr>
              <w:t>Aug Peak</w:t>
            </w:r>
          </w:p>
        </w:tc>
        <w:tc>
          <w:tcPr>
            <w:tcW w:w="720" w:type="dxa"/>
            <w:tcBorders>
              <w:top w:val="nil"/>
              <w:bottom w:val="single" w:sz="4" w:space="0" w:color="7F7F7F" w:themeColor="text1" w:themeTint="80"/>
            </w:tcBorders>
            <w:shd w:val="clear" w:color="auto" w:fill="auto"/>
            <w:noWrap/>
            <w:vAlign w:val="center"/>
          </w:tcPr>
          <w:p w:rsidR="00C94CC9" w:rsidRPr="00C94CC9" w:rsidRDefault="00C94CC9" w:rsidP="00336E76">
            <w:pPr>
              <w:jc w:val="center"/>
              <w:rPr>
                <w:bCs/>
                <w:sz w:val="20"/>
                <w:szCs w:val="20"/>
              </w:rPr>
            </w:pPr>
            <w:r w:rsidRPr="00C94CC9">
              <w:rPr>
                <w:sz w:val="20"/>
                <w:szCs w:val="20"/>
              </w:rPr>
              <w:t>284</w:t>
            </w:r>
          </w:p>
        </w:tc>
        <w:tc>
          <w:tcPr>
            <w:tcW w:w="855" w:type="dxa"/>
            <w:tcBorders>
              <w:top w:val="nil"/>
              <w:bottom w:val="single" w:sz="4" w:space="0" w:color="7F7F7F" w:themeColor="text1" w:themeTint="80"/>
            </w:tcBorders>
            <w:vAlign w:val="center"/>
          </w:tcPr>
          <w:p w:rsidR="00C94CC9" w:rsidRPr="00C94CC9" w:rsidRDefault="00C94CC9" w:rsidP="00336E76">
            <w:pPr>
              <w:jc w:val="center"/>
              <w:rPr>
                <w:sz w:val="20"/>
                <w:szCs w:val="20"/>
              </w:rPr>
            </w:pPr>
            <w:r w:rsidRPr="00C94CC9">
              <w:rPr>
                <w:color w:val="000000"/>
                <w:sz w:val="20"/>
                <w:szCs w:val="20"/>
              </w:rPr>
              <w:t>216.8</w:t>
            </w:r>
          </w:p>
        </w:tc>
        <w:tc>
          <w:tcPr>
            <w:tcW w:w="855" w:type="dxa"/>
            <w:tcBorders>
              <w:top w:val="nil"/>
              <w:bottom w:val="single" w:sz="4" w:space="0" w:color="7F7F7F" w:themeColor="text1" w:themeTint="80"/>
            </w:tcBorders>
            <w:shd w:val="clear" w:color="auto" w:fill="auto"/>
            <w:vAlign w:val="center"/>
          </w:tcPr>
          <w:p w:rsidR="00C94CC9" w:rsidRPr="00C94CC9" w:rsidRDefault="00C94CC9" w:rsidP="00336E76">
            <w:pPr>
              <w:jc w:val="center"/>
              <w:rPr>
                <w:bCs/>
                <w:sz w:val="20"/>
                <w:szCs w:val="20"/>
              </w:rPr>
            </w:pPr>
            <w:r w:rsidRPr="00C94CC9">
              <w:rPr>
                <w:sz w:val="20"/>
                <w:szCs w:val="20"/>
              </w:rPr>
              <w:t>36.6</w:t>
            </w:r>
          </w:p>
        </w:tc>
        <w:tc>
          <w:tcPr>
            <w:tcW w:w="855" w:type="dxa"/>
            <w:tcBorders>
              <w:top w:val="nil"/>
              <w:bottom w:val="single" w:sz="4" w:space="0" w:color="7F7F7F" w:themeColor="text1" w:themeTint="80"/>
            </w:tcBorders>
            <w:vAlign w:val="center"/>
          </w:tcPr>
          <w:p w:rsidR="00C94CC9" w:rsidRPr="00C94CC9" w:rsidRDefault="00C94CC9" w:rsidP="00336E76">
            <w:pPr>
              <w:jc w:val="center"/>
              <w:rPr>
                <w:sz w:val="20"/>
                <w:szCs w:val="20"/>
              </w:rPr>
            </w:pPr>
            <w:r w:rsidRPr="00C94CC9">
              <w:rPr>
                <w:color w:val="000000"/>
                <w:sz w:val="20"/>
                <w:szCs w:val="20"/>
              </w:rPr>
              <w:t>61.5</w:t>
            </w:r>
          </w:p>
        </w:tc>
        <w:tc>
          <w:tcPr>
            <w:tcW w:w="855" w:type="dxa"/>
            <w:tcBorders>
              <w:top w:val="nil"/>
              <w:bottom w:val="single" w:sz="4" w:space="0" w:color="7F7F7F" w:themeColor="text1" w:themeTint="80"/>
            </w:tcBorders>
            <w:shd w:val="clear" w:color="auto" w:fill="auto"/>
            <w:vAlign w:val="center"/>
          </w:tcPr>
          <w:p w:rsidR="00C94CC9" w:rsidRPr="00C94CC9" w:rsidRDefault="00C94CC9" w:rsidP="00336E76">
            <w:pPr>
              <w:tabs>
                <w:tab w:val="decimal" w:pos="262"/>
              </w:tabs>
              <w:jc w:val="center"/>
              <w:rPr>
                <w:bCs/>
                <w:sz w:val="20"/>
                <w:szCs w:val="20"/>
              </w:rPr>
            </w:pPr>
            <w:r w:rsidRPr="00C94CC9">
              <w:rPr>
                <w:sz w:val="20"/>
                <w:szCs w:val="20"/>
              </w:rPr>
              <w:t>10.4</w:t>
            </w:r>
          </w:p>
        </w:tc>
        <w:tc>
          <w:tcPr>
            <w:tcW w:w="782" w:type="dxa"/>
            <w:tcBorders>
              <w:top w:val="nil"/>
              <w:bottom w:val="single" w:sz="4" w:space="0" w:color="7F7F7F" w:themeColor="text1" w:themeTint="80"/>
            </w:tcBorders>
            <w:shd w:val="clear" w:color="auto" w:fill="auto"/>
            <w:vAlign w:val="center"/>
          </w:tcPr>
          <w:p w:rsidR="00C94CC9" w:rsidRPr="00C94CC9" w:rsidRDefault="00C94CC9" w:rsidP="00336E76">
            <w:pPr>
              <w:ind w:left="-23"/>
              <w:jc w:val="right"/>
              <w:rPr>
                <w:bCs/>
                <w:sz w:val="20"/>
                <w:szCs w:val="20"/>
              </w:rPr>
            </w:pPr>
            <w:r w:rsidRPr="00C94CC9">
              <w:rPr>
                <w:sz w:val="20"/>
                <w:szCs w:val="20"/>
              </w:rPr>
              <w:t>16.9%</w:t>
            </w:r>
          </w:p>
        </w:tc>
        <w:tc>
          <w:tcPr>
            <w:tcW w:w="721" w:type="dxa"/>
            <w:tcBorders>
              <w:top w:val="nil"/>
              <w:bottom w:val="single" w:sz="4" w:space="0" w:color="7F7F7F" w:themeColor="text1" w:themeTint="80"/>
            </w:tcBorders>
            <w:shd w:val="clear" w:color="auto" w:fill="auto"/>
            <w:vAlign w:val="center"/>
          </w:tcPr>
          <w:p w:rsidR="00C94CC9" w:rsidRPr="00C94CC9" w:rsidRDefault="00C94CC9" w:rsidP="00336E76">
            <w:pPr>
              <w:jc w:val="right"/>
              <w:rPr>
                <w:bCs/>
                <w:sz w:val="20"/>
                <w:szCs w:val="20"/>
              </w:rPr>
            </w:pPr>
            <w:r w:rsidRPr="00C94CC9">
              <w:rPr>
                <w:sz w:val="20"/>
                <w:szCs w:val="20"/>
              </w:rPr>
              <w:t>81.5</w:t>
            </w:r>
          </w:p>
        </w:tc>
      </w:tr>
    </w:tbl>
    <w:p w:rsidR="00D5210C" w:rsidRDefault="00D5210C" w:rsidP="00C94CC9">
      <w:pPr>
        <w:pStyle w:val="BodyText"/>
        <w:spacing w:after="0" w:line="276" w:lineRule="auto"/>
        <w:rPr>
          <w:color w:val="0000FF"/>
        </w:rPr>
      </w:pPr>
    </w:p>
    <w:p w:rsidR="00ED7741" w:rsidRPr="004B2046" w:rsidRDefault="00ED7741" w:rsidP="008F2D07">
      <w:pPr>
        <w:pStyle w:val="Heading1"/>
        <w:spacing w:after="0" w:line="276" w:lineRule="auto"/>
        <w:rPr>
          <w:rFonts w:ascii="Times New Roman" w:hAnsi="Times New Roman" w:cs="Times New Roman"/>
          <w:color w:val="000000" w:themeColor="text1"/>
        </w:rPr>
      </w:pPr>
      <w:bookmarkStart w:id="70" w:name="_Toc259624194"/>
      <w:bookmarkStart w:id="71" w:name="_Toc259628871"/>
      <w:bookmarkStart w:id="72" w:name="_Toc289248346"/>
      <w:bookmarkStart w:id="73" w:name="_Toc351990567"/>
      <w:bookmarkStart w:id="74" w:name="_Toc352084144"/>
      <w:bookmarkStart w:id="75" w:name="_Toc447179776"/>
      <w:r w:rsidRPr="004B2046">
        <w:rPr>
          <w:rFonts w:ascii="Times New Roman" w:hAnsi="Times New Roman" w:cs="Times New Roman"/>
          <w:color w:val="000000" w:themeColor="text1"/>
        </w:rPr>
        <w:t>Summary of SDG&amp;E’s Critical Peak Pricing Default Report</w:t>
      </w:r>
      <w:bookmarkEnd w:id="70"/>
      <w:bookmarkEnd w:id="71"/>
      <w:bookmarkEnd w:id="72"/>
      <w:bookmarkEnd w:id="73"/>
      <w:bookmarkEnd w:id="74"/>
      <w:bookmarkEnd w:id="75"/>
    </w:p>
    <w:p w:rsidR="004829BE" w:rsidRPr="004B2046" w:rsidRDefault="004829BE" w:rsidP="008F2D07">
      <w:pPr>
        <w:pStyle w:val="Heading2"/>
        <w:spacing w:after="0" w:line="276" w:lineRule="auto"/>
        <w:rPr>
          <w:rFonts w:ascii="Times New Roman" w:hAnsi="Times New Roman" w:cs="Times New Roman"/>
          <w:color w:val="000000" w:themeColor="text1"/>
        </w:rPr>
      </w:pPr>
      <w:bookmarkStart w:id="76" w:name="_Toc447179777"/>
      <w:r w:rsidRPr="004B2046">
        <w:rPr>
          <w:rFonts w:ascii="Times New Roman" w:hAnsi="Times New Roman" w:cs="Times New Roman"/>
          <w:color w:val="000000" w:themeColor="text1"/>
        </w:rPr>
        <w:t>CPP Rate Description</w:t>
      </w:r>
      <w:bookmarkEnd w:id="76"/>
    </w:p>
    <w:p w:rsidR="004829BE" w:rsidRPr="004B2046" w:rsidRDefault="004829BE" w:rsidP="008F2D07">
      <w:pPr>
        <w:spacing w:line="276" w:lineRule="auto"/>
        <w:rPr>
          <w:b/>
          <w:color w:val="000000" w:themeColor="text1"/>
        </w:rPr>
      </w:pPr>
    </w:p>
    <w:p w:rsidR="0079002F" w:rsidRPr="008227A8" w:rsidRDefault="00FC0F37" w:rsidP="00D5210C">
      <w:pPr>
        <w:spacing w:line="276" w:lineRule="auto"/>
        <w:ind w:firstLine="360"/>
        <w:rPr>
          <w:color w:val="000000" w:themeColor="text1"/>
        </w:rPr>
      </w:pPr>
      <w:r w:rsidRPr="008227A8">
        <w:rPr>
          <w:color w:val="000000" w:themeColor="text1"/>
        </w:rPr>
        <w:t xml:space="preserve">Critical Peak Pricing is an electric rate in which </w:t>
      </w:r>
      <w:r w:rsidR="00BE5EE5" w:rsidRPr="008227A8">
        <w:rPr>
          <w:color w:val="000000" w:themeColor="text1"/>
        </w:rPr>
        <w:t xml:space="preserve">the </w:t>
      </w:r>
      <w:r w:rsidRPr="008227A8">
        <w:rPr>
          <w:color w:val="000000" w:themeColor="text1"/>
        </w:rPr>
        <w:t xml:space="preserve">utility charges a higher price for consumption of electricity during peak hours on selected days, referred to as critical peak days or event days.  The higher price during peak hours on critical event days is designed to encourage reductions in demand and reflects the fact that electric demand during those hours drives a substantial portion of electric infrastructure costs. </w:t>
      </w:r>
      <w:r w:rsidR="00144779" w:rsidRPr="008227A8">
        <w:rPr>
          <w:color w:val="000000" w:themeColor="text1"/>
        </w:rPr>
        <w:t xml:space="preserve">The CPPD schedule is the default commodity rate for customers currently receiving bundled utility service whose maximum demand is equal to or exceeds or is expected to equal or exceed 20 kW for twelve consecutive months. </w:t>
      </w:r>
      <w:r w:rsidRPr="008227A8">
        <w:rPr>
          <w:color w:val="000000" w:themeColor="text1"/>
        </w:rPr>
        <w:t>At SDG&amp;E, customers are locked into the CPP rate for a full year if they do not opt out prior to going on the default rate</w:t>
      </w:r>
      <w:r w:rsidR="0079002F" w:rsidRPr="008227A8">
        <w:rPr>
          <w:color w:val="000000" w:themeColor="text1"/>
        </w:rPr>
        <w:t xml:space="preserve">; </w:t>
      </w:r>
      <w:r w:rsidR="00334B92" w:rsidRPr="008227A8">
        <w:rPr>
          <w:color w:val="000000" w:themeColor="text1"/>
        </w:rPr>
        <w:t>e</w:t>
      </w:r>
      <w:r w:rsidR="0079002F" w:rsidRPr="008227A8">
        <w:rPr>
          <w:color w:val="000000" w:themeColor="text1"/>
        </w:rPr>
        <w:t>vents for the SDG&amp;E CPP-D rate last from 11am-6pm and can be called on any day of the year.</w:t>
      </w:r>
    </w:p>
    <w:p w:rsidR="00BE5EE5" w:rsidRPr="008227A8" w:rsidRDefault="0079002F" w:rsidP="00D5210C">
      <w:pPr>
        <w:spacing w:line="276" w:lineRule="auto"/>
        <w:ind w:firstLine="360"/>
        <w:rPr>
          <w:color w:val="000000" w:themeColor="text1"/>
        </w:rPr>
      </w:pPr>
      <w:r w:rsidRPr="008227A8">
        <w:rPr>
          <w:color w:val="000000" w:themeColor="text1"/>
        </w:rPr>
        <w:t>Al</w:t>
      </w:r>
      <w:r w:rsidR="00FC0F37" w:rsidRPr="008227A8">
        <w:rPr>
          <w:color w:val="000000" w:themeColor="text1"/>
        </w:rPr>
        <w:t xml:space="preserve">l customers </w:t>
      </w:r>
      <w:r w:rsidRPr="008227A8">
        <w:rPr>
          <w:color w:val="000000" w:themeColor="text1"/>
        </w:rPr>
        <w:t xml:space="preserve">have </w:t>
      </w:r>
      <w:r w:rsidR="00FC0F37" w:rsidRPr="008227A8">
        <w:rPr>
          <w:color w:val="000000" w:themeColor="text1"/>
        </w:rPr>
        <w:t>the ability to hedge part or all of their demand against higher CPP prices, a feature known as a capacity reservation (CR).</w:t>
      </w:r>
      <w:r w:rsidR="00BE5EE5" w:rsidRPr="008227A8">
        <w:rPr>
          <w:color w:val="000000" w:themeColor="text1"/>
        </w:rPr>
        <w:t xml:space="preserve"> The capacity reservation option, which is a type of insurance contract in which a customer pays a fee (paid per kW) to set a level of demand below which it will be charged the non-CPP, TOU price during event periods. </w:t>
      </w:r>
      <w:r w:rsidRPr="008227A8">
        <w:rPr>
          <w:color w:val="000000" w:themeColor="text1"/>
        </w:rPr>
        <w:t xml:space="preserve">The company </w:t>
      </w:r>
      <w:r w:rsidR="00BE5EE5" w:rsidRPr="008227A8">
        <w:rPr>
          <w:color w:val="000000" w:themeColor="text1"/>
        </w:rPr>
        <w:t>charges $6.33 per kW per month, year-round, for this option and the default level for customers is 50% of a customer’s maximum on-peak demand from the prior summer. Default CRLs are set to zero for those customers with no SDG&amp;E summer usage history.</w:t>
      </w:r>
    </w:p>
    <w:p w:rsidR="00334B92" w:rsidRPr="008227A8" w:rsidRDefault="00334B92" w:rsidP="00D5210C">
      <w:pPr>
        <w:spacing w:line="276" w:lineRule="auto"/>
        <w:ind w:firstLine="360"/>
        <w:rPr>
          <w:color w:val="000000" w:themeColor="text1"/>
        </w:rPr>
      </w:pPr>
      <w:r w:rsidRPr="008227A8">
        <w:rPr>
          <w:color w:val="000000" w:themeColor="text1"/>
        </w:rPr>
        <w:lastRenderedPageBreak/>
        <w:t xml:space="preserve">In addition, the program offers customers CPP bill protection during their default year, which ensures that the customer does not pay more for the energy commodity under CPP than they would have under the otherwise applicable tariff (OAT).  </w:t>
      </w:r>
    </w:p>
    <w:p w:rsidR="00ED7741" w:rsidRPr="004B2046" w:rsidRDefault="00ED7741" w:rsidP="00E1600F">
      <w:pPr>
        <w:pStyle w:val="Heading2"/>
        <w:spacing w:after="0" w:line="276" w:lineRule="auto"/>
        <w:rPr>
          <w:rFonts w:ascii="Times New Roman" w:hAnsi="Times New Roman" w:cs="Times New Roman"/>
          <w:color w:val="000000" w:themeColor="text1"/>
        </w:rPr>
      </w:pPr>
      <w:bookmarkStart w:id="77" w:name="_Toc259624197"/>
      <w:bookmarkStart w:id="78" w:name="_Toc257716973"/>
      <w:bookmarkStart w:id="79" w:name="_Toc259624198"/>
      <w:bookmarkStart w:id="80" w:name="_Toc259628874"/>
      <w:bookmarkStart w:id="81" w:name="_Toc289248349"/>
      <w:bookmarkStart w:id="82" w:name="_Toc351990570"/>
      <w:bookmarkStart w:id="83" w:name="_Toc352084147"/>
      <w:bookmarkStart w:id="84" w:name="_Toc447179778"/>
      <w:bookmarkEnd w:id="77"/>
      <w:r w:rsidRPr="004B2046">
        <w:rPr>
          <w:rFonts w:ascii="Times New Roman" w:hAnsi="Times New Roman" w:cs="Times New Roman"/>
          <w:color w:val="000000" w:themeColor="text1"/>
        </w:rPr>
        <w:t xml:space="preserve">CPP-D </w:t>
      </w:r>
      <w:r w:rsidR="00B84C76" w:rsidRPr="004B2046">
        <w:rPr>
          <w:rFonts w:ascii="Times New Roman" w:hAnsi="Times New Roman" w:cs="Times New Roman"/>
          <w:color w:val="000000" w:themeColor="text1"/>
        </w:rPr>
        <w:t xml:space="preserve">Ex-Post </w:t>
      </w:r>
      <w:r w:rsidRPr="004B2046">
        <w:rPr>
          <w:rFonts w:ascii="Times New Roman" w:hAnsi="Times New Roman" w:cs="Times New Roman"/>
          <w:color w:val="000000" w:themeColor="text1"/>
        </w:rPr>
        <w:t>Evaluation Methodology</w:t>
      </w:r>
      <w:bookmarkEnd w:id="78"/>
      <w:bookmarkEnd w:id="79"/>
      <w:bookmarkEnd w:id="80"/>
      <w:bookmarkEnd w:id="81"/>
      <w:bookmarkEnd w:id="82"/>
      <w:bookmarkEnd w:id="83"/>
      <w:bookmarkEnd w:id="84"/>
    </w:p>
    <w:p w:rsidR="00ED7741" w:rsidRPr="002535E2" w:rsidRDefault="00ED7741" w:rsidP="00E1600F">
      <w:pPr>
        <w:spacing w:line="276" w:lineRule="auto"/>
        <w:rPr>
          <w:color w:val="0000FF"/>
        </w:rPr>
      </w:pPr>
    </w:p>
    <w:p w:rsidR="003F693C" w:rsidRPr="008227A8" w:rsidRDefault="00A20E80" w:rsidP="00D5210C">
      <w:pPr>
        <w:spacing w:line="276" w:lineRule="auto"/>
        <w:ind w:firstLine="360"/>
        <w:jc w:val="both"/>
        <w:rPr>
          <w:color w:val="000000" w:themeColor="text1"/>
        </w:rPr>
      </w:pPr>
      <w:r w:rsidRPr="008227A8">
        <w:rPr>
          <w:color w:val="000000" w:themeColor="text1"/>
        </w:rPr>
        <w:t>To calculate load reductions for demand response programs, customers’ load patterns in the absence of higher event-day prices</w:t>
      </w:r>
      <w:r w:rsidRPr="008227A8">
        <w:rPr>
          <w:rFonts w:cs="Arial"/>
          <w:color w:val="000000" w:themeColor="text1"/>
        </w:rPr>
        <w:t>—</w:t>
      </w:r>
      <w:r w:rsidRPr="008227A8">
        <w:rPr>
          <w:color w:val="000000" w:themeColor="text1"/>
        </w:rPr>
        <w:t>the reference load</w:t>
      </w:r>
      <w:r w:rsidRPr="008227A8">
        <w:rPr>
          <w:rFonts w:cs="Arial"/>
          <w:color w:val="000000" w:themeColor="text1"/>
        </w:rPr>
        <w:t>—</w:t>
      </w:r>
      <w:r w:rsidRPr="008227A8">
        <w:rPr>
          <w:color w:val="000000" w:themeColor="text1"/>
        </w:rPr>
        <w:t>must be estimated. Load impacts are estimated for 2015 using a combination of customer specific regressions and difference-in-differences. For the majority of customers we estimate difference-in-differences panel regressions that make use of both an external control group and non-event day data. However, for CPP customers for which a similar control customer is unavailable, we estimate customer specific regressions</w:t>
      </w:r>
      <w:r w:rsidRPr="008227A8">
        <w:rPr>
          <w:rFonts w:cs="Arial"/>
          <w:color w:val="000000" w:themeColor="text1"/>
        </w:rPr>
        <w:t>—</w:t>
      </w:r>
      <w:r w:rsidRPr="008227A8">
        <w:rPr>
          <w:color w:val="000000" w:themeColor="text1"/>
        </w:rPr>
        <w:t>that is, we rely exclusively on each customer’s electricity usage patterns on non-event days to estimate reference load for event days.</w:t>
      </w:r>
    </w:p>
    <w:p w:rsidR="00A20E80" w:rsidRPr="008227A8" w:rsidRDefault="00A20E80" w:rsidP="00D5210C">
      <w:pPr>
        <w:spacing w:line="276" w:lineRule="auto"/>
        <w:ind w:firstLine="360"/>
        <w:jc w:val="both"/>
        <w:rPr>
          <w:color w:val="000000" w:themeColor="text1"/>
        </w:rPr>
      </w:pPr>
    </w:p>
    <w:p w:rsidR="003F693C" w:rsidRPr="008227A8" w:rsidRDefault="003F693C" w:rsidP="00D5210C">
      <w:pPr>
        <w:spacing w:line="276" w:lineRule="auto"/>
        <w:ind w:firstLine="360"/>
        <w:jc w:val="both"/>
        <w:rPr>
          <w:color w:val="000000" w:themeColor="text1"/>
        </w:rPr>
      </w:pPr>
      <w:r w:rsidRPr="008227A8">
        <w:rPr>
          <w:color w:val="000000" w:themeColor="text1"/>
        </w:rPr>
        <w:t xml:space="preserve">The subsections that follow describe the work to select a matching model and the subsequent control group selection.  </w:t>
      </w:r>
    </w:p>
    <w:p w:rsidR="00B163D2" w:rsidRPr="008227A8" w:rsidRDefault="00B163D2" w:rsidP="006454BA">
      <w:pPr>
        <w:pStyle w:val="Heading3"/>
        <w:tabs>
          <w:tab w:val="left" w:pos="360"/>
        </w:tabs>
        <w:ind w:left="360" w:hanging="360"/>
        <w:rPr>
          <w:rFonts w:ascii="Times New Roman" w:hAnsi="Times New Roman" w:cs="Times New Roman"/>
          <w:color w:val="000000" w:themeColor="text1"/>
        </w:rPr>
      </w:pPr>
      <w:bookmarkStart w:id="85" w:name="_Toc447179779"/>
      <w:r w:rsidRPr="008227A8">
        <w:rPr>
          <w:rFonts w:ascii="Times New Roman" w:hAnsi="Times New Roman" w:cs="Times New Roman"/>
          <w:color w:val="000000" w:themeColor="text1"/>
        </w:rPr>
        <w:t>Proxy Day Selection</w:t>
      </w:r>
      <w:bookmarkEnd w:id="85"/>
    </w:p>
    <w:p w:rsidR="00A86836" w:rsidRPr="008227A8" w:rsidRDefault="00A86836" w:rsidP="00A86836">
      <w:pPr>
        <w:spacing w:line="276" w:lineRule="auto"/>
        <w:ind w:firstLine="360"/>
        <w:jc w:val="both"/>
        <w:rPr>
          <w:color w:val="000000" w:themeColor="text1"/>
        </w:rPr>
      </w:pPr>
    </w:p>
    <w:p w:rsidR="00B163D2" w:rsidRPr="008227A8" w:rsidRDefault="00A86836" w:rsidP="00B073DC">
      <w:pPr>
        <w:spacing w:line="276" w:lineRule="auto"/>
        <w:ind w:firstLine="360"/>
        <w:jc w:val="both"/>
        <w:rPr>
          <w:color w:val="000000" w:themeColor="text1"/>
        </w:rPr>
      </w:pPr>
      <w:r w:rsidRPr="008227A8">
        <w:rPr>
          <w:color w:val="000000" w:themeColor="text1"/>
        </w:rPr>
        <w:t xml:space="preserve">Proxy event days are selected by matching historical events to non-event days based on system loads, temperature conditions, month and day of week.   CPP event days tend to differ from typical days.  System loads are typically higher, the days are hotter and they are more likely to fall on specific weekdays.  Most event days were matched to similar non-event days; however, comparable non-event days are not available for some of the days with the most extreme weather.  </w:t>
      </w:r>
    </w:p>
    <w:p w:rsidR="001501BC" w:rsidRPr="008227A8" w:rsidRDefault="001501BC" w:rsidP="00D5210C">
      <w:pPr>
        <w:pStyle w:val="Heading3"/>
        <w:ind w:left="360" w:hanging="360"/>
        <w:rPr>
          <w:rFonts w:ascii="Times New Roman" w:hAnsi="Times New Roman" w:cs="Times New Roman"/>
          <w:color w:val="000000" w:themeColor="text1"/>
        </w:rPr>
      </w:pPr>
      <w:bookmarkStart w:id="86" w:name="_Toc447179780"/>
      <w:r w:rsidRPr="008227A8">
        <w:rPr>
          <w:rFonts w:ascii="Times New Roman" w:hAnsi="Times New Roman" w:cs="Times New Roman"/>
          <w:color w:val="000000" w:themeColor="text1"/>
        </w:rPr>
        <w:t>Matching Model Selection</w:t>
      </w:r>
      <w:bookmarkEnd w:id="86"/>
    </w:p>
    <w:p w:rsidR="001501BC" w:rsidRPr="008227A8" w:rsidRDefault="001501BC" w:rsidP="001501BC">
      <w:pPr>
        <w:spacing w:line="276" w:lineRule="auto"/>
        <w:ind w:firstLine="360"/>
        <w:jc w:val="both"/>
        <w:rPr>
          <w:color w:val="000000" w:themeColor="text1"/>
        </w:rPr>
      </w:pPr>
    </w:p>
    <w:p w:rsidR="001501BC" w:rsidRPr="008227A8" w:rsidRDefault="001501BC" w:rsidP="00B073DC">
      <w:pPr>
        <w:spacing w:line="276" w:lineRule="auto"/>
        <w:ind w:firstLine="360"/>
        <w:jc w:val="both"/>
        <w:rPr>
          <w:color w:val="000000" w:themeColor="text1"/>
        </w:rPr>
      </w:pPr>
      <w:r w:rsidRPr="008227A8">
        <w:rPr>
          <w:color w:val="000000" w:themeColor="text1"/>
        </w:rPr>
        <w:t xml:space="preserve">Propensity score matching using a probit model was used to select valid control groups for each utility and relevant customer segment.  This method is a standard approach for identifying statistical look-alikes from a pool of control group candidates and is typically used to address self-selection based on observable differences between CPP participants and non-participants. </w:t>
      </w:r>
    </w:p>
    <w:p w:rsidR="00A15809" w:rsidRPr="008227A8" w:rsidRDefault="00A15809" w:rsidP="006454BA">
      <w:pPr>
        <w:pStyle w:val="Heading3"/>
        <w:spacing w:after="0" w:line="276" w:lineRule="auto"/>
        <w:ind w:left="720"/>
        <w:rPr>
          <w:rFonts w:ascii="Times New Roman" w:hAnsi="Times New Roman" w:cs="Times New Roman"/>
          <w:color w:val="000000" w:themeColor="text1"/>
        </w:rPr>
      </w:pPr>
      <w:bookmarkStart w:id="87" w:name="_Toc447179781"/>
      <w:r w:rsidRPr="008227A8">
        <w:rPr>
          <w:rFonts w:ascii="Times New Roman" w:hAnsi="Times New Roman" w:cs="Times New Roman"/>
          <w:color w:val="000000" w:themeColor="text1"/>
        </w:rPr>
        <w:t>Control group selection</w:t>
      </w:r>
      <w:bookmarkEnd w:id="87"/>
    </w:p>
    <w:p w:rsidR="00A15809" w:rsidRPr="008227A8" w:rsidRDefault="00A15809" w:rsidP="00A15809">
      <w:pPr>
        <w:rPr>
          <w:color w:val="000000" w:themeColor="text1"/>
        </w:rPr>
      </w:pPr>
    </w:p>
    <w:p w:rsidR="00430D2B" w:rsidRPr="008227A8" w:rsidRDefault="00430D2B" w:rsidP="00B073DC">
      <w:pPr>
        <w:spacing w:line="276" w:lineRule="auto"/>
        <w:ind w:firstLine="360"/>
        <w:rPr>
          <w:color w:val="000000" w:themeColor="text1"/>
        </w:rPr>
      </w:pPr>
      <w:r w:rsidRPr="008227A8">
        <w:rPr>
          <w:color w:val="000000" w:themeColor="text1"/>
        </w:rPr>
        <w:t xml:space="preserve">The control group was selected from customers who were not on CPP rates, but were on the otherwise applicable TOU tariff.  The best performing probit model and caliper were used to select customers from the control pool.  The majority of CPP customers were successfully matched i.e. 93% for SDG&amp;E.  Customers who were not matched were moved to the individual customer regression group.  </w:t>
      </w:r>
      <w:r w:rsidR="0000427D" w:rsidRPr="008227A8">
        <w:rPr>
          <w:color w:val="000000" w:themeColor="text1"/>
        </w:rPr>
        <w:t xml:space="preserve">Some control group customers were selected more than once—that </w:t>
      </w:r>
      <w:r w:rsidR="0000427D" w:rsidRPr="008227A8">
        <w:rPr>
          <w:color w:val="000000" w:themeColor="text1"/>
        </w:rPr>
        <w:lastRenderedPageBreak/>
        <w:t>is, if customer A was the best match for both customer B and customer C, it was chosen twice. Figure 3-1 shows load for the matched treatment and control customers on the average proxy event day. The loads match closely, particularly during event hours.</w:t>
      </w:r>
    </w:p>
    <w:p w:rsidR="00360E0E" w:rsidRDefault="00360E0E" w:rsidP="0033429B">
      <w:pPr>
        <w:spacing w:line="276" w:lineRule="auto"/>
        <w:ind w:firstLine="360"/>
        <w:rPr>
          <w:color w:val="000000" w:themeColor="text1"/>
        </w:rPr>
      </w:pPr>
    </w:p>
    <w:p w:rsidR="00360E0E" w:rsidRDefault="00360E0E" w:rsidP="00360E0E">
      <w:pPr>
        <w:pStyle w:val="TableCaption"/>
        <w:rPr>
          <w:color w:val="000000" w:themeColor="text1"/>
        </w:rPr>
      </w:pPr>
      <w:r>
        <w:rPr>
          <w:color w:val="000000" w:themeColor="text1"/>
          <w:sz w:val="20"/>
        </w:rPr>
        <w:t>Figure 3</w:t>
      </w:r>
      <w:r w:rsidRPr="004B2046">
        <w:rPr>
          <w:color w:val="000000" w:themeColor="text1"/>
          <w:sz w:val="20"/>
        </w:rPr>
        <w:t>-</w:t>
      </w:r>
      <w:r w:rsidR="0000427D">
        <w:rPr>
          <w:color w:val="000000" w:themeColor="text1"/>
          <w:sz w:val="20"/>
        </w:rPr>
        <w:t>1</w:t>
      </w:r>
      <w:r w:rsidRPr="004B2046">
        <w:rPr>
          <w:color w:val="000000" w:themeColor="text1"/>
          <w:sz w:val="20"/>
        </w:rPr>
        <w:t xml:space="preserve">: </w:t>
      </w:r>
      <w:r w:rsidRPr="00360E0E">
        <w:rPr>
          <w:color w:val="000000" w:themeColor="text1"/>
          <w:sz w:val="20"/>
        </w:rPr>
        <w:t>Comparison of Matched Treatment and Control Group Load on Average Proxy Event Day</w:t>
      </w:r>
    </w:p>
    <w:p w:rsidR="00430D2B" w:rsidRDefault="0000427D" w:rsidP="00360E0E">
      <w:pPr>
        <w:spacing w:line="276" w:lineRule="auto"/>
        <w:jc w:val="center"/>
        <w:rPr>
          <w:color w:val="000000" w:themeColor="text1"/>
        </w:rPr>
      </w:pPr>
      <w:r>
        <w:rPr>
          <w:noProof/>
          <w:color w:val="000000" w:themeColor="text1"/>
        </w:rPr>
        <w:drawing>
          <wp:inline distT="0" distB="0" distL="0" distR="0" wp14:anchorId="1416A274" wp14:editId="43630353">
            <wp:extent cx="4038600" cy="28575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47061" cy="2863487"/>
                    </a:xfrm>
                    <a:prstGeom prst="rect">
                      <a:avLst/>
                    </a:prstGeom>
                    <a:noFill/>
                    <a:ln>
                      <a:noFill/>
                    </a:ln>
                  </pic:spPr>
                </pic:pic>
              </a:graphicData>
            </a:graphic>
          </wp:inline>
        </w:drawing>
      </w:r>
    </w:p>
    <w:p w:rsidR="00430D2B" w:rsidRDefault="00430D2B" w:rsidP="0033429B">
      <w:pPr>
        <w:spacing w:line="276" w:lineRule="auto"/>
        <w:ind w:firstLine="360"/>
        <w:rPr>
          <w:color w:val="000000" w:themeColor="text1"/>
        </w:rPr>
      </w:pPr>
    </w:p>
    <w:p w:rsidR="006454BA" w:rsidRPr="004B2046" w:rsidRDefault="006454BA" w:rsidP="0033429B">
      <w:pPr>
        <w:spacing w:line="276" w:lineRule="auto"/>
        <w:ind w:firstLine="360"/>
        <w:rPr>
          <w:color w:val="000000" w:themeColor="text1"/>
        </w:rPr>
      </w:pPr>
    </w:p>
    <w:p w:rsidR="00DD4A30" w:rsidRPr="004B2046" w:rsidRDefault="00DD4A30" w:rsidP="006454BA">
      <w:pPr>
        <w:pStyle w:val="Heading3"/>
        <w:spacing w:after="0" w:line="276" w:lineRule="auto"/>
        <w:ind w:left="630" w:hanging="630"/>
        <w:rPr>
          <w:rFonts w:ascii="Times New Roman" w:hAnsi="Times New Roman" w:cs="Times New Roman"/>
          <w:color w:val="000000" w:themeColor="text1"/>
        </w:rPr>
      </w:pPr>
      <w:bookmarkStart w:id="88" w:name="_Toc447179782"/>
      <w:r w:rsidRPr="004B2046">
        <w:rPr>
          <w:rFonts w:ascii="Times New Roman" w:hAnsi="Times New Roman" w:cs="Times New Roman"/>
          <w:color w:val="000000" w:themeColor="text1"/>
        </w:rPr>
        <w:t>Difference-in-difference</w:t>
      </w:r>
      <w:bookmarkEnd w:id="88"/>
      <w:r w:rsidRPr="004B2046">
        <w:rPr>
          <w:rFonts w:ascii="Times New Roman" w:hAnsi="Times New Roman" w:cs="Times New Roman"/>
          <w:color w:val="000000" w:themeColor="text1"/>
        </w:rPr>
        <w:t xml:space="preserve"> </w:t>
      </w:r>
    </w:p>
    <w:p w:rsidR="00A15809" w:rsidRPr="004B2046" w:rsidRDefault="00A15809" w:rsidP="00A15809">
      <w:pPr>
        <w:rPr>
          <w:color w:val="000000" w:themeColor="text1"/>
        </w:rPr>
      </w:pPr>
    </w:p>
    <w:p w:rsidR="001A4590" w:rsidRPr="008227A8" w:rsidRDefault="001A4590" w:rsidP="00B073DC">
      <w:pPr>
        <w:spacing w:line="276" w:lineRule="auto"/>
        <w:ind w:firstLine="360"/>
        <w:rPr>
          <w:color w:val="000000" w:themeColor="text1"/>
        </w:rPr>
      </w:pPr>
      <w:r w:rsidRPr="008227A8">
        <w:rPr>
          <w:color w:val="000000" w:themeColor="text1"/>
        </w:rPr>
        <w:t xml:space="preserve">Using </w:t>
      </w:r>
      <w:r w:rsidR="00FE2F21" w:rsidRPr="008227A8">
        <w:rPr>
          <w:color w:val="000000" w:themeColor="text1"/>
        </w:rPr>
        <w:t>the matched control groups, 2015</w:t>
      </w:r>
      <w:r w:rsidRPr="008227A8">
        <w:rPr>
          <w:color w:val="000000" w:themeColor="text1"/>
        </w:rPr>
        <w:t xml:space="preserve"> </w:t>
      </w:r>
      <w:r w:rsidR="008C46A8" w:rsidRPr="008227A8">
        <w:rPr>
          <w:color w:val="000000" w:themeColor="text1"/>
        </w:rPr>
        <w:t>ex-post</w:t>
      </w:r>
      <w:r w:rsidRPr="008227A8">
        <w:rPr>
          <w:color w:val="000000" w:themeColor="text1"/>
        </w:rPr>
        <w:t xml:space="preserve"> CPP load impacts were estimated for the majority of customers with the difference-in-differences approach. </w:t>
      </w:r>
    </w:p>
    <w:p w:rsidR="001A4590" w:rsidRPr="008227A8" w:rsidRDefault="001A4590" w:rsidP="00B073DC">
      <w:pPr>
        <w:spacing w:line="276" w:lineRule="auto"/>
        <w:ind w:firstLine="360"/>
        <w:rPr>
          <w:color w:val="000000" w:themeColor="text1"/>
        </w:rPr>
      </w:pPr>
    </w:p>
    <w:p w:rsidR="0033429B" w:rsidRPr="008227A8" w:rsidRDefault="001A4590" w:rsidP="00B073DC">
      <w:pPr>
        <w:spacing w:line="276" w:lineRule="auto"/>
        <w:ind w:firstLine="360"/>
        <w:rPr>
          <w:color w:val="000000" w:themeColor="text1"/>
        </w:rPr>
      </w:pPr>
      <w:r w:rsidRPr="008227A8">
        <w:rPr>
          <w:color w:val="000000" w:themeColor="text1"/>
        </w:rPr>
        <w:t xml:space="preserve"> </w:t>
      </w:r>
      <w:r w:rsidR="00FE2F21" w:rsidRPr="008227A8">
        <w:rPr>
          <w:color w:val="000000" w:themeColor="text1"/>
        </w:rPr>
        <w:t>The difference-in-differences calculation refines the impact estimates by netting out the small differences between the two groups observed during proxy event days (when CPP prices were not in effect for either group).</w:t>
      </w:r>
    </w:p>
    <w:p w:rsidR="00FE2F21" w:rsidRPr="008227A8" w:rsidRDefault="00FE2F21" w:rsidP="00B073DC">
      <w:pPr>
        <w:spacing w:line="276" w:lineRule="auto"/>
        <w:ind w:firstLine="360"/>
        <w:rPr>
          <w:color w:val="000000" w:themeColor="text1"/>
        </w:rPr>
      </w:pPr>
    </w:p>
    <w:p w:rsidR="000117DA" w:rsidRDefault="0033429B" w:rsidP="000117DA">
      <w:pPr>
        <w:pStyle w:val="BodyBeforeBullet"/>
      </w:pPr>
      <w:r w:rsidRPr="008227A8">
        <w:rPr>
          <w:color w:val="000000" w:themeColor="text1"/>
        </w:rPr>
        <w:t xml:space="preserve">The regression analysis </w:t>
      </w:r>
      <w:r w:rsidR="00C84460">
        <w:rPr>
          <w:color w:val="000000" w:themeColor="text1"/>
        </w:rPr>
        <w:t xml:space="preserve">in the table below was </w:t>
      </w:r>
      <w:r w:rsidRPr="008227A8">
        <w:rPr>
          <w:color w:val="000000" w:themeColor="text1"/>
        </w:rPr>
        <w:t xml:space="preserve">employed </w:t>
      </w:r>
      <w:r w:rsidR="00C84460">
        <w:rPr>
          <w:color w:val="000000" w:themeColor="text1"/>
        </w:rPr>
        <w:t xml:space="preserve">to net out the differences between the participant and control customers. The model includes </w:t>
      </w:r>
      <w:r w:rsidRPr="008227A8">
        <w:rPr>
          <w:color w:val="000000" w:themeColor="text1"/>
        </w:rPr>
        <w:t xml:space="preserve"> customer fixed effects and time effects</w:t>
      </w:r>
      <w:r w:rsidR="00C84460">
        <w:rPr>
          <w:color w:val="000000" w:themeColor="text1"/>
        </w:rPr>
        <w:t xml:space="preserve"> </w:t>
      </w:r>
      <w:r w:rsidRPr="008227A8">
        <w:rPr>
          <w:color w:val="000000" w:themeColor="text1"/>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7848"/>
      </w:tblGrid>
      <w:tr w:rsidR="000117DA" w:rsidTr="00324486">
        <w:trPr>
          <w:trHeight w:val="432"/>
        </w:trPr>
        <w:tc>
          <w:tcPr>
            <w:tcW w:w="1728" w:type="dxa"/>
            <w:tcMar>
              <w:top w:w="144" w:type="dxa"/>
              <w:left w:w="115" w:type="dxa"/>
              <w:bottom w:w="144" w:type="dxa"/>
              <w:right w:w="115" w:type="dxa"/>
            </w:tcMar>
            <w:vAlign w:val="center"/>
          </w:tcPr>
          <w:p w:rsidR="000117DA" w:rsidRDefault="000117DA" w:rsidP="00324486">
            <w:pPr>
              <w:pStyle w:val="BodyParagraph"/>
              <w:spacing w:after="0"/>
              <w:jc w:val="center"/>
            </w:pPr>
            <w:r>
              <w:t>Avg. Event Equation:</w:t>
            </w:r>
          </w:p>
        </w:tc>
        <w:tc>
          <w:tcPr>
            <w:tcW w:w="7848" w:type="dxa"/>
            <w:tcMar>
              <w:top w:w="144" w:type="dxa"/>
              <w:left w:w="115" w:type="dxa"/>
              <w:bottom w:w="144" w:type="dxa"/>
              <w:right w:w="115" w:type="dxa"/>
            </w:tcMar>
            <w:vAlign w:val="center"/>
          </w:tcPr>
          <w:p w:rsidR="000117DA" w:rsidRPr="009560DB" w:rsidRDefault="0024252A" w:rsidP="00324486">
            <w:pPr>
              <w:pStyle w:val="BodyParagraph"/>
              <w:spacing w:after="0"/>
              <w:jc w:val="both"/>
              <w:rPr>
                <w:i/>
                <w:szCs w:val="18"/>
              </w:rPr>
            </w:pPr>
            <m:oMathPara>
              <m:oMathParaPr>
                <m:jc m:val="left"/>
              </m:oMathParaPr>
              <m:oMath>
                <m:sSub>
                  <m:sSubPr>
                    <m:ctrlPr>
                      <w:rPr>
                        <w:rFonts w:ascii="Cambria Math" w:hAnsi="Cambria Math"/>
                        <w:i/>
                        <w:szCs w:val="18"/>
                      </w:rPr>
                    </m:ctrlPr>
                  </m:sSubPr>
                  <m:e>
                    <m:r>
                      <w:rPr>
                        <w:rFonts w:ascii="Cambria Math" w:hAnsi="Cambria Math"/>
                        <w:szCs w:val="18"/>
                      </w:rPr>
                      <m:t>kW</m:t>
                    </m:r>
                  </m:e>
                  <m:sub>
                    <m:r>
                      <w:rPr>
                        <w:rFonts w:ascii="Cambria Math" w:hAnsi="Cambria Math"/>
                        <w:szCs w:val="18"/>
                      </w:rPr>
                      <m:t>i,t</m:t>
                    </m:r>
                  </m:sub>
                </m:sSub>
                <m:r>
                  <w:rPr>
                    <w:rFonts w:ascii="Cambria Math" w:hAnsi="Cambria Math"/>
                    <w:szCs w:val="18"/>
                  </w:rPr>
                  <m:t>=a+b∙</m:t>
                </m:r>
                <m:sSub>
                  <m:sSubPr>
                    <m:ctrlPr>
                      <w:rPr>
                        <w:rFonts w:ascii="Cambria Math" w:hAnsi="Cambria Math"/>
                        <w:i/>
                        <w:szCs w:val="18"/>
                      </w:rPr>
                    </m:ctrlPr>
                  </m:sSubPr>
                  <m:e>
                    <m:r>
                      <w:rPr>
                        <w:rFonts w:ascii="Cambria Math" w:hAnsi="Cambria Math"/>
                        <w:szCs w:val="18"/>
                      </w:rPr>
                      <m:t>Treatment</m:t>
                    </m:r>
                  </m:e>
                  <m:sub>
                    <m:r>
                      <w:rPr>
                        <w:rFonts w:ascii="Cambria Math" w:hAnsi="Cambria Math"/>
                        <w:szCs w:val="18"/>
                      </w:rPr>
                      <m:t>i</m:t>
                    </m:r>
                  </m:sub>
                </m:sSub>
                <m:r>
                  <w:rPr>
                    <w:rFonts w:ascii="Cambria Math" w:hAnsi="Cambria Math"/>
                    <w:szCs w:val="18"/>
                  </w:rPr>
                  <m:t>+c∙</m:t>
                </m:r>
                <m:sSub>
                  <m:sSubPr>
                    <m:ctrlPr>
                      <w:rPr>
                        <w:rFonts w:ascii="Cambria Math" w:hAnsi="Cambria Math"/>
                        <w:i/>
                        <w:szCs w:val="18"/>
                      </w:rPr>
                    </m:ctrlPr>
                  </m:sSubPr>
                  <m:e>
                    <m:r>
                      <w:rPr>
                        <w:rFonts w:ascii="Cambria Math" w:hAnsi="Cambria Math"/>
                        <w:szCs w:val="18"/>
                      </w:rPr>
                      <m:t>Event</m:t>
                    </m:r>
                  </m:e>
                  <m:sub>
                    <m:r>
                      <w:rPr>
                        <w:rFonts w:ascii="Cambria Math" w:hAnsi="Cambria Math"/>
                        <w:szCs w:val="18"/>
                      </w:rPr>
                      <m:t>t</m:t>
                    </m:r>
                  </m:sub>
                </m:sSub>
                <m:r>
                  <w:rPr>
                    <w:rFonts w:ascii="Cambria Math" w:hAnsi="Cambria Math"/>
                    <w:szCs w:val="18"/>
                  </w:rPr>
                  <m:t>+d∙</m:t>
                </m:r>
                <m:d>
                  <m:dPr>
                    <m:ctrlPr>
                      <w:rPr>
                        <w:rFonts w:ascii="Cambria Math" w:hAnsi="Cambria Math"/>
                        <w:i/>
                        <w:szCs w:val="18"/>
                      </w:rPr>
                    </m:ctrlPr>
                  </m:dPr>
                  <m:e>
                    <m:sSub>
                      <m:sSubPr>
                        <m:ctrlPr>
                          <w:rPr>
                            <w:rFonts w:ascii="Cambria Math" w:hAnsi="Cambria Math"/>
                            <w:i/>
                            <w:szCs w:val="18"/>
                          </w:rPr>
                        </m:ctrlPr>
                      </m:sSubPr>
                      <m:e>
                        <m:r>
                          <w:rPr>
                            <w:rFonts w:ascii="Cambria Math" w:hAnsi="Cambria Math"/>
                            <w:szCs w:val="18"/>
                          </w:rPr>
                          <m:t>Treatment</m:t>
                        </m:r>
                      </m:e>
                      <m:sub>
                        <m:r>
                          <w:rPr>
                            <w:rFonts w:ascii="Cambria Math" w:hAnsi="Cambria Math"/>
                            <w:szCs w:val="18"/>
                          </w:rPr>
                          <m:t>i</m:t>
                        </m:r>
                      </m:sub>
                    </m:sSub>
                    <m:r>
                      <w:rPr>
                        <w:rFonts w:ascii="Cambria Math" w:hAnsi="Cambria Math"/>
                        <w:szCs w:val="18"/>
                      </w:rPr>
                      <m:t>∙</m:t>
                    </m:r>
                    <m:sSub>
                      <m:sSubPr>
                        <m:ctrlPr>
                          <w:rPr>
                            <w:rFonts w:ascii="Cambria Math" w:hAnsi="Cambria Math"/>
                            <w:i/>
                            <w:szCs w:val="18"/>
                          </w:rPr>
                        </m:ctrlPr>
                      </m:sSubPr>
                      <m:e>
                        <m:r>
                          <w:rPr>
                            <w:rFonts w:ascii="Cambria Math" w:hAnsi="Cambria Math"/>
                            <w:szCs w:val="18"/>
                          </w:rPr>
                          <m:t>Event</m:t>
                        </m:r>
                      </m:e>
                      <m:sub>
                        <m:r>
                          <w:rPr>
                            <w:rFonts w:ascii="Cambria Math" w:hAnsi="Cambria Math"/>
                            <w:szCs w:val="18"/>
                          </w:rPr>
                          <m:t>t</m:t>
                        </m:r>
                      </m:sub>
                    </m:sSub>
                  </m:e>
                </m:d>
                <m:r>
                  <w:rPr>
                    <w:rFonts w:ascii="Cambria Math" w:hAnsi="Cambria Math"/>
                    <w:szCs w:val="18"/>
                  </w:rPr>
                  <m:t xml:space="preserve">+ </m:t>
                </m:r>
                <m:sSub>
                  <m:sSubPr>
                    <m:ctrlPr>
                      <w:rPr>
                        <w:rFonts w:ascii="Cambria Math" w:hAnsi="Cambria Math"/>
                        <w:i/>
                        <w:szCs w:val="18"/>
                      </w:rPr>
                    </m:ctrlPr>
                  </m:sSubPr>
                  <m:e>
                    <m:r>
                      <w:rPr>
                        <w:rFonts w:ascii="Cambria Math" w:hAnsi="Cambria Math"/>
                        <w:szCs w:val="18"/>
                      </w:rPr>
                      <m:t>u</m:t>
                    </m:r>
                  </m:e>
                  <m:sub>
                    <m:r>
                      <w:rPr>
                        <w:rFonts w:ascii="Cambria Math" w:hAnsi="Cambria Math"/>
                        <w:szCs w:val="18"/>
                      </w:rPr>
                      <m:t>t</m:t>
                    </m:r>
                  </m:sub>
                </m:sSub>
                <m:r>
                  <w:rPr>
                    <w:rFonts w:ascii="Cambria Math" w:hAnsi="Cambria Math"/>
                    <w:szCs w:val="18"/>
                  </w:rPr>
                  <m:t>+</m:t>
                </m:r>
                <m:sSub>
                  <m:sSubPr>
                    <m:ctrlPr>
                      <w:rPr>
                        <w:rFonts w:ascii="Cambria Math" w:hAnsi="Cambria Math"/>
                        <w:i/>
                        <w:szCs w:val="18"/>
                      </w:rPr>
                    </m:ctrlPr>
                  </m:sSubPr>
                  <m:e>
                    <m:r>
                      <w:rPr>
                        <w:rFonts w:ascii="Cambria Math" w:hAnsi="Cambria Math"/>
                        <w:szCs w:val="18"/>
                      </w:rPr>
                      <m:t>v</m:t>
                    </m:r>
                  </m:e>
                  <m:sub>
                    <m:r>
                      <w:rPr>
                        <w:rFonts w:ascii="Cambria Math" w:hAnsi="Cambria Math"/>
                        <w:szCs w:val="18"/>
                      </w:rPr>
                      <m:t>i</m:t>
                    </m:r>
                  </m:sub>
                </m:sSub>
                <m:r>
                  <w:rPr>
                    <w:rFonts w:ascii="Cambria Math" w:hAnsi="Cambria Math"/>
                    <w:szCs w:val="18"/>
                  </w:rPr>
                  <m:t>+</m:t>
                </m:r>
                <m:sSub>
                  <m:sSubPr>
                    <m:ctrlPr>
                      <w:rPr>
                        <w:rFonts w:ascii="Cambria Math" w:hAnsi="Cambria Math"/>
                        <w:i/>
                        <w:szCs w:val="18"/>
                      </w:rPr>
                    </m:ctrlPr>
                  </m:sSubPr>
                  <m:e>
                    <m:r>
                      <w:rPr>
                        <w:rFonts w:ascii="Cambria Math" w:hAnsi="Cambria Math"/>
                        <w:szCs w:val="18"/>
                      </w:rPr>
                      <m:t>ε</m:t>
                    </m:r>
                  </m:e>
                  <m:sub>
                    <m:r>
                      <w:rPr>
                        <w:rFonts w:ascii="Cambria Math" w:hAnsi="Cambria Math"/>
                        <w:szCs w:val="18"/>
                      </w:rPr>
                      <m:t>i,t</m:t>
                    </m:r>
                  </m:sub>
                </m:sSub>
                <m:r>
                  <w:rPr>
                    <w:rFonts w:ascii="Cambria Math" w:hAnsi="Cambria Math"/>
                    <w:szCs w:val="18"/>
                  </w:rPr>
                  <m:t xml:space="preserve"> </m:t>
                </m:r>
                <m:r>
                  <m:rPr>
                    <m:sty m:val="p"/>
                  </m:rPr>
                  <w:rPr>
                    <w:rFonts w:ascii="Cambria Math" w:hAnsi="Cambria Math"/>
                    <w:szCs w:val="18"/>
                  </w:rPr>
                  <m:t xml:space="preserve">for </m:t>
                </m:r>
                <m:r>
                  <w:rPr>
                    <w:rFonts w:ascii="Cambria Math" w:hAnsi="Cambria Math"/>
                    <w:szCs w:val="18"/>
                  </w:rPr>
                  <m:t xml:space="preserve">i ∈ </m:t>
                </m:r>
                <m:d>
                  <m:dPr>
                    <m:begChr m:val="{"/>
                    <m:endChr m:val="}"/>
                    <m:ctrlPr>
                      <w:rPr>
                        <w:rFonts w:ascii="Cambria Math" w:hAnsi="Cambria Math"/>
                        <w:i/>
                        <w:szCs w:val="18"/>
                      </w:rPr>
                    </m:ctrlPr>
                  </m:dPr>
                  <m:e>
                    <m:r>
                      <w:rPr>
                        <w:rFonts w:ascii="Cambria Math" w:hAnsi="Cambria Math"/>
                        <w:szCs w:val="18"/>
                      </w:rPr>
                      <m:t>1,…,</m:t>
                    </m:r>
                    <m:sSub>
                      <m:sSubPr>
                        <m:ctrlPr>
                          <w:rPr>
                            <w:rFonts w:ascii="Cambria Math" w:hAnsi="Cambria Math"/>
                            <w:i/>
                            <w:szCs w:val="18"/>
                          </w:rPr>
                        </m:ctrlPr>
                      </m:sSubPr>
                      <m:e>
                        <m:r>
                          <w:rPr>
                            <w:rFonts w:ascii="Cambria Math" w:hAnsi="Cambria Math"/>
                            <w:szCs w:val="18"/>
                          </w:rPr>
                          <m:t>n</m:t>
                        </m:r>
                      </m:e>
                      <m:sub>
                        <m:r>
                          <w:rPr>
                            <w:rFonts w:ascii="Cambria Math" w:hAnsi="Cambria Math"/>
                            <w:szCs w:val="18"/>
                          </w:rPr>
                          <m:t>i</m:t>
                        </m:r>
                      </m:sub>
                    </m:sSub>
                  </m:e>
                </m:d>
                <m:r>
                  <w:rPr>
                    <w:rFonts w:ascii="Cambria Math" w:hAnsi="Cambria Math"/>
                    <w:szCs w:val="18"/>
                  </w:rPr>
                  <m:t xml:space="preserve"> </m:t>
                </m:r>
                <m:r>
                  <m:rPr>
                    <m:sty m:val="p"/>
                  </m:rPr>
                  <w:rPr>
                    <w:rFonts w:ascii="Cambria Math" w:hAnsi="Cambria Math"/>
                    <w:szCs w:val="18"/>
                  </w:rPr>
                  <m:t xml:space="preserve">and </m:t>
                </m:r>
                <m:r>
                  <w:rPr>
                    <w:rFonts w:ascii="Cambria Math" w:hAnsi="Cambria Math"/>
                    <w:szCs w:val="18"/>
                  </w:rPr>
                  <m:t xml:space="preserve">t ∈ </m:t>
                </m:r>
                <m:d>
                  <m:dPr>
                    <m:begChr m:val="{"/>
                    <m:endChr m:val="}"/>
                    <m:ctrlPr>
                      <w:rPr>
                        <w:rFonts w:ascii="Cambria Math" w:hAnsi="Cambria Math"/>
                        <w:i/>
                        <w:szCs w:val="18"/>
                      </w:rPr>
                    </m:ctrlPr>
                  </m:dPr>
                  <m:e>
                    <m:r>
                      <w:rPr>
                        <w:rFonts w:ascii="Cambria Math" w:hAnsi="Cambria Math"/>
                        <w:szCs w:val="18"/>
                      </w:rPr>
                      <m:t>1,…,</m:t>
                    </m:r>
                    <m:sSub>
                      <m:sSubPr>
                        <m:ctrlPr>
                          <w:rPr>
                            <w:rFonts w:ascii="Cambria Math" w:hAnsi="Cambria Math"/>
                            <w:i/>
                            <w:szCs w:val="18"/>
                          </w:rPr>
                        </m:ctrlPr>
                      </m:sSubPr>
                      <m:e>
                        <m:r>
                          <w:rPr>
                            <w:rFonts w:ascii="Cambria Math" w:hAnsi="Cambria Math"/>
                            <w:szCs w:val="18"/>
                          </w:rPr>
                          <m:t>n</m:t>
                        </m:r>
                      </m:e>
                      <m:sub>
                        <m:r>
                          <w:rPr>
                            <w:rFonts w:ascii="Cambria Math" w:hAnsi="Cambria Math"/>
                            <w:szCs w:val="18"/>
                          </w:rPr>
                          <m:t>t</m:t>
                        </m:r>
                      </m:sub>
                    </m:sSub>
                  </m:e>
                </m:d>
              </m:oMath>
            </m:oMathPara>
          </w:p>
        </w:tc>
      </w:tr>
      <w:tr w:rsidR="000117DA" w:rsidTr="00324486">
        <w:trPr>
          <w:trHeight w:val="432"/>
        </w:trPr>
        <w:tc>
          <w:tcPr>
            <w:tcW w:w="1728" w:type="dxa"/>
            <w:tcMar>
              <w:top w:w="144" w:type="dxa"/>
              <w:left w:w="115" w:type="dxa"/>
              <w:bottom w:w="144" w:type="dxa"/>
              <w:right w:w="115" w:type="dxa"/>
            </w:tcMar>
            <w:vAlign w:val="center"/>
          </w:tcPr>
          <w:p w:rsidR="000117DA" w:rsidRDefault="000117DA" w:rsidP="00324486">
            <w:pPr>
              <w:pStyle w:val="BodyParagraph"/>
              <w:spacing w:after="0"/>
              <w:jc w:val="center"/>
            </w:pPr>
            <w:r>
              <w:t>Individual Event Equation:</w:t>
            </w:r>
          </w:p>
        </w:tc>
        <w:tc>
          <w:tcPr>
            <w:tcW w:w="7848" w:type="dxa"/>
            <w:tcMar>
              <w:top w:w="144" w:type="dxa"/>
              <w:left w:w="115" w:type="dxa"/>
              <w:bottom w:w="144" w:type="dxa"/>
              <w:right w:w="115" w:type="dxa"/>
            </w:tcMar>
            <w:vAlign w:val="center"/>
          </w:tcPr>
          <w:p w:rsidR="000117DA" w:rsidRPr="00BA1B39" w:rsidRDefault="0024252A" w:rsidP="00324486">
            <w:pPr>
              <w:pStyle w:val="BodyParagraph"/>
              <w:spacing w:after="0"/>
              <w:jc w:val="both"/>
              <w:rPr>
                <w:szCs w:val="18"/>
              </w:rPr>
            </w:pPr>
            <m:oMathPara>
              <m:oMathParaPr>
                <m:jc m:val="left"/>
              </m:oMathParaPr>
              <m:oMath>
                <m:sSub>
                  <m:sSubPr>
                    <m:ctrlPr>
                      <w:rPr>
                        <w:rFonts w:ascii="Cambria Math" w:hAnsi="Cambria Math"/>
                        <w:i/>
                        <w:szCs w:val="18"/>
                      </w:rPr>
                    </m:ctrlPr>
                  </m:sSubPr>
                  <m:e>
                    <m:r>
                      <w:rPr>
                        <w:rFonts w:ascii="Cambria Math" w:hAnsi="Cambria Math"/>
                        <w:szCs w:val="18"/>
                      </w:rPr>
                      <m:t>kW</m:t>
                    </m:r>
                  </m:e>
                  <m:sub>
                    <m:r>
                      <w:rPr>
                        <w:rFonts w:ascii="Cambria Math" w:hAnsi="Cambria Math"/>
                        <w:szCs w:val="18"/>
                      </w:rPr>
                      <m:t>i,t</m:t>
                    </m:r>
                  </m:sub>
                </m:sSub>
                <m:r>
                  <w:rPr>
                    <w:rFonts w:ascii="Cambria Math" w:hAnsi="Cambria Math"/>
                    <w:szCs w:val="18"/>
                  </w:rPr>
                  <m:t>=a+b∙</m:t>
                </m:r>
                <m:sSub>
                  <m:sSubPr>
                    <m:ctrlPr>
                      <w:rPr>
                        <w:rFonts w:ascii="Cambria Math" w:hAnsi="Cambria Math"/>
                        <w:i/>
                        <w:szCs w:val="18"/>
                      </w:rPr>
                    </m:ctrlPr>
                  </m:sSubPr>
                  <m:e>
                    <m:r>
                      <w:rPr>
                        <w:rFonts w:ascii="Cambria Math" w:hAnsi="Cambria Math"/>
                        <w:szCs w:val="18"/>
                      </w:rPr>
                      <m:t>Treatment</m:t>
                    </m:r>
                  </m:e>
                  <m:sub>
                    <m:r>
                      <w:rPr>
                        <w:rFonts w:ascii="Cambria Math" w:hAnsi="Cambria Math"/>
                        <w:szCs w:val="18"/>
                      </w:rPr>
                      <m:t>i</m:t>
                    </m:r>
                  </m:sub>
                </m:sSub>
                <m:r>
                  <w:rPr>
                    <w:rFonts w:ascii="Cambria Math" w:hAnsi="Cambria Math"/>
                    <w:szCs w:val="18"/>
                  </w:rPr>
                  <m:t>+</m:t>
                </m:r>
                <m:nary>
                  <m:naryPr>
                    <m:chr m:val="∑"/>
                    <m:limLoc m:val="undOvr"/>
                    <m:ctrlPr>
                      <w:rPr>
                        <w:rFonts w:ascii="Cambria Math" w:hAnsi="Cambria Math"/>
                        <w:i/>
                        <w:szCs w:val="18"/>
                      </w:rPr>
                    </m:ctrlPr>
                  </m:naryPr>
                  <m:sub>
                    <m:r>
                      <w:rPr>
                        <w:rFonts w:ascii="Cambria Math" w:hAnsi="Cambria Math"/>
                        <w:szCs w:val="18"/>
                      </w:rPr>
                      <m:t>n=1</m:t>
                    </m:r>
                  </m:sub>
                  <m:sup>
                    <m:r>
                      <w:rPr>
                        <w:rFonts w:ascii="Cambria Math" w:hAnsi="Cambria Math"/>
                        <w:szCs w:val="18"/>
                      </w:rPr>
                      <m:t>max</m:t>
                    </m:r>
                  </m:sup>
                  <m:e>
                    <m:sSub>
                      <m:sSubPr>
                        <m:ctrlPr>
                          <w:rPr>
                            <w:rFonts w:ascii="Cambria Math" w:hAnsi="Cambria Math"/>
                            <w:i/>
                            <w:szCs w:val="18"/>
                          </w:rPr>
                        </m:ctrlPr>
                      </m:sSubPr>
                      <m:e>
                        <m:r>
                          <w:rPr>
                            <w:rFonts w:ascii="Cambria Math" w:hAnsi="Cambria Math"/>
                            <w:szCs w:val="18"/>
                          </w:rPr>
                          <m:t>c</m:t>
                        </m:r>
                      </m:e>
                      <m:sub>
                        <m:r>
                          <w:rPr>
                            <w:rFonts w:ascii="Cambria Math" w:hAnsi="Cambria Math"/>
                            <w:szCs w:val="18"/>
                          </w:rPr>
                          <m:t>n</m:t>
                        </m:r>
                      </m:sub>
                    </m:sSub>
                    <m:r>
                      <w:rPr>
                        <w:rFonts w:ascii="Cambria Math" w:hAnsi="Cambria Math"/>
                        <w:szCs w:val="18"/>
                      </w:rPr>
                      <m:t>∙</m:t>
                    </m:r>
                    <m:sSub>
                      <m:sSubPr>
                        <m:ctrlPr>
                          <w:rPr>
                            <w:rFonts w:ascii="Cambria Math" w:hAnsi="Cambria Math"/>
                            <w:i/>
                            <w:szCs w:val="18"/>
                          </w:rPr>
                        </m:ctrlPr>
                      </m:sSubPr>
                      <m:e>
                        <m:r>
                          <w:rPr>
                            <w:rFonts w:ascii="Cambria Math" w:hAnsi="Cambria Math"/>
                            <w:szCs w:val="18"/>
                          </w:rPr>
                          <m:t>Event</m:t>
                        </m:r>
                      </m:e>
                      <m:sub>
                        <m:r>
                          <w:rPr>
                            <w:rFonts w:ascii="Cambria Math" w:hAnsi="Cambria Math"/>
                            <w:szCs w:val="18"/>
                          </w:rPr>
                          <m:t>n</m:t>
                        </m:r>
                      </m:sub>
                    </m:sSub>
                  </m:e>
                </m:nary>
                <m:r>
                  <w:rPr>
                    <w:rFonts w:ascii="Cambria Math" w:hAnsi="Cambria Math"/>
                    <w:szCs w:val="18"/>
                  </w:rPr>
                  <m:t>+</m:t>
                </m:r>
                <m:nary>
                  <m:naryPr>
                    <m:chr m:val="∑"/>
                    <m:limLoc m:val="undOvr"/>
                    <m:ctrlPr>
                      <w:rPr>
                        <w:rFonts w:ascii="Cambria Math" w:hAnsi="Cambria Math"/>
                        <w:i/>
                        <w:szCs w:val="18"/>
                      </w:rPr>
                    </m:ctrlPr>
                  </m:naryPr>
                  <m:sub>
                    <m:r>
                      <w:rPr>
                        <w:rFonts w:ascii="Cambria Math" w:hAnsi="Cambria Math"/>
                        <w:szCs w:val="18"/>
                      </w:rPr>
                      <m:t>n=1</m:t>
                    </m:r>
                  </m:sub>
                  <m:sup>
                    <m:r>
                      <w:rPr>
                        <w:rFonts w:ascii="Cambria Math" w:hAnsi="Cambria Math"/>
                        <w:szCs w:val="18"/>
                      </w:rPr>
                      <m:t>max</m:t>
                    </m:r>
                  </m:sup>
                  <m:e>
                    <m:sSub>
                      <m:sSubPr>
                        <m:ctrlPr>
                          <w:rPr>
                            <w:rFonts w:ascii="Cambria Math" w:hAnsi="Cambria Math"/>
                            <w:i/>
                            <w:szCs w:val="18"/>
                          </w:rPr>
                        </m:ctrlPr>
                      </m:sSubPr>
                      <m:e>
                        <m:r>
                          <w:rPr>
                            <w:rFonts w:ascii="Cambria Math" w:hAnsi="Cambria Math"/>
                            <w:szCs w:val="18"/>
                          </w:rPr>
                          <m:t>d</m:t>
                        </m:r>
                      </m:e>
                      <m:sub>
                        <m:r>
                          <w:rPr>
                            <w:rFonts w:ascii="Cambria Math" w:hAnsi="Cambria Math"/>
                            <w:szCs w:val="18"/>
                          </w:rPr>
                          <m:t>n</m:t>
                        </m:r>
                      </m:sub>
                    </m:sSub>
                    <m:r>
                      <w:rPr>
                        <w:rFonts w:ascii="Cambria Math" w:hAnsi="Cambria Math"/>
                        <w:szCs w:val="18"/>
                      </w:rPr>
                      <m:t>∙</m:t>
                    </m:r>
                    <m:d>
                      <m:dPr>
                        <m:ctrlPr>
                          <w:rPr>
                            <w:rFonts w:ascii="Cambria Math" w:hAnsi="Cambria Math"/>
                            <w:i/>
                            <w:szCs w:val="18"/>
                          </w:rPr>
                        </m:ctrlPr>
                      </m:dPr>
                      <m:e>
                        <m:sSub>
                          <m:sSubPr>
                            <m:ctrlPr>
                              <w:rPr>
                                <w:rFonts w:ascii="Cambria Math" w:hAnsi="Cambria Math"/>
                                <w:i/>
                                <w:szCs w:val="18"/>
                              </w:rPr>
                            </m:ctrlPr>
                          </m:sSubPr>
                          <m:e>
                            <m:r>
                              <w:rPr>
                                <w:rFonts w:ascii="Cambria Math" w:hAnsi="Cambria Math"/>
                                <w:szCs w:val="18"/>
                              </w:rPr>
                              <m:t>Treatment</m:t>
                            </m:r>
                          </m:e>
                          <m:sub>
                            <m:r>
                              <w:rPr>
                                <w:rFonts w:ascii="Cambria Math" w:hAnsi="Cambria Math"/>
                                <w:szCs w:val="18"/>
                              </w:rPr>
                              <m:t>i</m:t>
                            </m:r>
                          </m:sub>
                        </m:sSub>
                        <m:r>
                          <w:rPr>
                            <w:rFonts w:ascii="Cambria Math" w:hAnsi="Cambria Math"/>
                            <w:szCs w:val="18"/>
                          </w:rPr>
                          <m:t>∙</m:t>
                        </m:r>
                        <m:sSub>
                          <m:sSubPr>
                            <m:ctrlPr>
                              <w:rPr>
                                <w:rFonts w:ascii="Cambria Math" w:hAnsi="Cambria Math"/>
                                <w:i/>
                                <w:szCs w:val="18"/>
                              </w:rPr>
                            </m:ctrlPr>
                          </m:sSubPr>
                          <m:e>
                            <m:r>
                              <w:rPr>
                                <w:rFonts w:ascii="Cambria Math" w:hAnsi="Cambria Math"/>
                                <w:szCs w:val="18"/>
                              </w:rPr>
                              <m:t>Event</m:t>
                            </m:r>
                          </m:e>
                          <m:sub>
                            <m:r>
                              <w:rPr>
                                <w:rFonts w:ascii="Cambria Math" w:hAnsi="Cambria Math"/>
                                <w:szCs w:val="18"/>
                              </w:rPr>
                              <m:t>n</m:t>
                            </m:r>
                          </m:sub>
                        </m:sSub>
                      </m:e>
                    </m:d>
                  </m:e>
                </m:nary>
                <m:r>
                  <w:rPr>
                    <w:rFonts w:ascii="Cambria Math" w:hAnsi="Cambria Math"/>
                    <w:szCs w:val="18"/>
                  </w:rPr>
                  <m:t xml:space="preserve">+ </m:t>
                </m:r>
                <m:sSub>
                  <m:sSubPr>
                    <m:ctrlPr>
                      <w:rPr>
                        <w:rFonts w:ascii="Cambria Math" w:hAnsi="Cambria Math"/>
                        <w:i/>
                        <w:szCs w:val="18"/>
                      </w:rPr>
                    </m:ctrlPr>
                  </m:sSubPr>
                  <m:e>
                    <m:r>
                      <w:rPr>
                        <w:rFonts w:ascii="Cambria Math" w:hAnsi="Cambria Math"/>
                        <w:szCs w:val="18"/>
                      </w:rPr>
                      <m:t>u</m:t>
                    </m:r>
                  </m:e>
                  <m:sub>
                    <m:r>
                      <w:rPr>
                        <w:rFonts w:ascii="Cambria Math" w:hAnsi="Cambria Math"/>
                        <w:szCs w:val="18"/>
                      </w:rPr>
                      <m:t>t</m:t>
                    </m:r>
                  </m:sub>
                </m:sSub>
                <m:r>
                  <w:rPr>
                    <w:rFonts w:ascii="Cambria Math" w:hAnsi="Cambria Math"/>
                    <w:szCs w:val="18"/>
                  </w:rPr>
                  <m:t>+</m:t>
                </m:r>
                <m:sSub>
                  <m:sSubPr>
                    <m:ctrlPr>
                      <w:rPr>
                        <w:rFonts w:ascii="Cambria Math" w:hAnsi="Cambria Math"/>
                        <w:i/>
                        <w:szCs w:val="18"/>
                      </w:rPr>
                    </m:ctrlPr>
                  </m:sSubPr>
                  <m:e>
                    <m:r>
                      <w:rPr>
                        <w:rFonts w:ascii="Cambria Math" w:hAnsi="Cambria Math"/>
                        <w:szCs w:val="18"/>
                      </w:rPr>
                      <m:t>v</m:t>
                    </m:r>
                  </m:e>
                  <m:sub>
                    <m:r>
                      <w:rPr>
                        <w:rFonts w:ascii="Cambria Math" w:hAnsi="Cambria Math"/>
                        <w:szCs w:val="18"/>
                      </w:rPr>
                      <m:t>i</m:t>
                    </m:r>
                  </m:sub>
                </m:sSub>
                <m:r>
                  <w:rPr>
                    <w:rFonts w:ascii="Cambria Math" w:hAnsi="Cambria Math"/>
                    <w:szCs w:val="18"/>
                  </w:rPr>
                  <m:t>+</m:t>
                </m:r>
                <m:sSub>
                  <m:sSubPr>
                    <m:ctrlPr>
                      <w:rPr>
                        <w:rFonts w:ascii="Cambria Math" w:hAnsi="Cambria Math"/>
                        <w:i/>
                        <w:szCs w:val="18"/>
                      </w:rPr>
                    </m:ctrlPr>
                  </m:sSubPr>
                  <m:e>
                    <m:r>
                      <w:rPr>
                        <w:rFonts w:ascii="Cambria Math" w:hAnsi="Cambria Math"/>
                        <w:szCs w:val="18"/>
                      </w:rPr>
                      <m:t>ε</m:t>
                    </m:r>
                  </m:e>
                  <m:sub>
                    <m:r>
                      <w:rPr>
                        <w:rFonts w:ascii="Cambria Math" w:hAnsi="Cambria Math"/>
                        <w:szCs w:val="18"/>
                      </w:rPr>
                      <m:t>i,t</m:t>
                    </m:r>
                  </m:sub>
                </m:sSub>
                <m:r>
                  <m:rPr>
                    <m:sty m:val="p"/>
                  </m:rPr>
                  <w:rPr>
                    <w:rFonts w:ascii="Cambria Math" w:hAnsi="Cambria Math"/>
                    <w:szCs w:val="18"/>
                  </w:rPr>
                  <m:t xml:space="preserve"> for </m:t>
                </m:r>
                <m:r>
                  <w:rPr>
                    <w:rFonts w:ascii="Cambria Math" w:hAnsi="Cambria Math"/>
                    <w:szCs w:val="18"/>
                  </w:rPr>
                  <m:t xml:space="preserve">i ∈ </m:t>
                </m:r>
                <m:d>
                  <m:dPr>
                    <m:begChr m:val="{"/>
                    <m:endChr m:val="}"/>
                    <m:ctrlPr>
                      <w:rPr>
                        <w:rFonts w:ascii="Cambria Math" w:hAnsi="Cambria Math"/>
                        <w:i/>
                        <w:szCs w:val="18"/>
                      </w:rPr>
                    </m:ctrlPr>
                  </m:dPr>
                  <m:e>
                    <m:r>
                      <w:rPr>
                        <w:rFonts w:ascii="Cambria Math" w:hAnsi="Cambria Math"/>
                        <w:szCs w:val="18"/>
                      </w:rPr>
                      <m:t>1,…,</m:t>
                    </m:r>
                    <m:sSub>
                      <m:sSubPr>
                        <m:ctrlPr>
                          <w:rPr>
                            <w:rFonts w:ascii="Cambria Math" w:hAnsi="Cambria Math"/>
                            <w:i/>
                            <w:szCs w:val="18"/>
                          </w:rPr>
                        </m:ctrlPr>
                      </m:sSubPr>
                      <m:e>
                        <m:r>
                          <w:rPr>
                            <w:rFonts w:ascii="Cambria Math" w:hAnsi="Cambria Math"/>
                            <w:szCs w:val="18"/>
                          </w:rPr>
                          <m:t>n</m:t>
                        </m:r>
                      </m:e>
                      <m:sub>
                        <m:r>
                          <w:rPr>
                            <w:rFonts w:ascii="Cambria Math" w:hAnsi="Cambria Math"/>
                            <w:szCs w:val="18"/>
                          </w:rPr>
                          <m:t>i</m:t>
                        </m:r>
                      </m:sub>
                    </m:sSub>
                  </m:e>
                </m:d>
                <m:r>
                  <w:rPr>
                    <w:rFonts w:ascii="Cambria Math" w:hAnsi="Cambria Math"/>
                    <w:szCs w:val="18"/>
                  </w:rPr>
                  <m:t xml:space="preserve"> </m:t>
                </m:r>
                <m:r>
                  <m:rPr>
                    <m:sty m:val="p"/>
                  </m:rPr>
                  <w:rPr>
                    <w:rFonts w:ascii="Cambria Math" w:hAnsi="Cambria Math"/>
                    <w:szCs w:val="18"/>
                  </w:rPr>
                  <m:t xml:space="preserve">and </m:t>
                </m:r>
                <m:r>
                  <w:rPr>
                    <w:rFonts w:ascii="Cambria Math" w:hAnsi="Cambria Math"/>
                    <w:szCs w:val="18"/>
                  </w:rPr>
                  <m:t xml:space="preserve">t ∈ </m:t>
                </m:r>
                <m:d>
                  <m:dPr>
                    <m:begChr m:val="{"/>
                    <m:endChr m:val="}"/>
                    <m:ctrlPr>
                      <w:rPr>
                        <w:rFonts w:ascii="Cambria Math" w:hAnsi="Cambria Math"/>
                        <w:i/>
                        <w:szCs w:val="18"/>
                      </w:rPr>
                    </m:ctrlPr>
                  </m:dPr>
                  <m:e>
                    <m:r>
                      <w:rPr>
                        <w:rFonts w:ascii="Cambria Math" w:hAnsi="Cambria Math"/>
                        <w:szCs w:val="18"/>
                      </w:rPr>
                      <m:t>1,…,</m:t>
                    </m:r>
                    <m:sSub>
                      <m:sSubPr>
                        <m:ctrlPr>
                          <w:rPr>
                            <w:rFonts w:ascii="Cambria Math" w:hAnsi="Cambria Math"/>
                            <w:i/>
                            <w:szCs w:val="18"/>
                          </w:rPr>
                        </m:ctrlPr>
                      </m:sSubPr>
                      <m:e>
                        <m:r>
                          <w:rPr>
                            <w:rFonts w:ascii="Cambria Math" w:hAnsi="Cambria Math"/>
                            <w:szCs w:val="18"/>
                          </w:rPr>
                          <m:t>n</m:t>
                        </m:r>
                      </m:e>
                      <m:sub>
                        <m:r>
                          <w:rPr>
                            <w:rFonts w:ascii="Cambria Math" w:hAnsi="Cambria Math"/>
                            <w:szCs w:val="18"/>
                          </w:rPr>
                          <m:t>t</m:t>
                        </m:r>
                      </m:sub>
                    </m:sSub>
                  </m:e>
                </m:d>
              </m:oMath>
            </m:oMathPara>
          </w:p>
        </w:tc>
      </w:tr>
    </w:tbl>
    <w:p w:rsidR="000117DA" w:rsidRDefault="000117DA" w:rsidP="00DD4A30">
      <w:pPr>
        <w:spacing w:line="276" w:lineRule="auto"/>
        <w:ind w:firstLine="360"/>
        <w:rPr>
          <w:color w:val="000000" w:themeColor="text1"/>
        </w:rPr>
      </w:pPr>
    </w:p>
    <w:p w:rsidR="00FE2F21" w:rsidRDefault="00FE2F21" w:rsidP="00DD4A30">
      <w:pPr>
        <w:spacing w:line="276" w:lineRule="auto"/>
        <w:ind w:firstLine="360"/>
        <w:rPr>
          <w:color w:val="000000" w:themeColor="text1"/>
        </w:rPr>
      </w:pPr>
    </w:p>
    <w:tbl>
      <w:tblPr>
        <w:tblStyle w:val="TableGrid"/>
        <w:tblpPr w:leftFromText="180" w:rightFromText="180" w:vertAnchor="text" w:horzAnchor="margin" w:tblpXSpec="right" w:tblpY="249"/>
        <w:tblW w:w="0" w:type="auto"/>
        <w:tblLook w:val="04A0" w:firstRow="1" w:lastRow="0" w:firstColumn="1" w:lastColumn="0" w:noHBand="0" w:noVBand="1"/>
      </w:tblPr>
      <w:tblGrid>
        <w:gridCol w:w="1124"/>
        <w:gridCol w:w="8159"/>
      </w:tblGrid>
      <w:tr w:rsidR="000117DA" w:rsidRPr="0047139E" w:rsidTr="006454BA">
        <w:trPr>
          <w:trHeight w:val="302"/>
        </w:trPr>
        <w:tc>
          <w:tcPr>
            <w:tcW w:w="1039" w:type="dxa"/>
            <w:tcBorders>
              <w:right w:val="single" w:sz="4" w:space="0" w:color="FFFFFF" w:themeColor="background1"/>
            </w:tcBorders>
            <w:shd w:val="clear" w:color="auto" w:fill="17365D" w:themeFill="text2" w:themeFillShade="BF"/>
          </w:tcPr>
          <w:p w:rsidR="000117DA" w:rsidRPr="0047139E" w:rsidRDefault="000117DA" w:rsidP="00324486">
            <w:pPr>
              <w:pStyle w:val="TableHeader"/>
            </w:pPr>
            <w:r w:rsidRPr="0047139E">
              <w:t>Variable</w:t>
            </w:r>
          </w:p>
        </w:tc>
        <w:tc>
          <w:tcPr>
            <w:tcW w:w="8159" w:type="dxa"/>
            <w:tcBorders>
              <w:left w:val="single" w:sz="4" w:space="0" w:color="FFFFFF" w:themeColor="background1"/>
            </w:tcBorders>
            <w:shd w:val="clear" w:color="auto" w:fill="17365D" w:themeFill="text2" w:themeFillShade="BF"/>
          </w:tcPr>
          <w:p w:rsidR="000117DA" w:rsidRPr="0047139E" w:rsidRDefault="000117DA" w:rsidP="00324486">
            <w:pPr>
              <w:pStyle w:val="TableHeader"/>
            </w:pPr>
            <w:r w:rsidRPr="0047139E">
              <w:t>Definition</w:t>
            </w:r>
          </w:p>
        </w:tc>
      </w:tr>
      <w:tr w:rsidR="000117DA" w:rsidRPr="008227A8" w:rsidTr="00324486">
        <w:trPr>
          <w:trHeight w:val="302"/>
        </w:trPr>
        <w:tc>
          <w:tcPr>
            <w:tcW w:w="1039" w:type="dxa"/>
            <w:vAlign w:val="center"/>
          </w:tcPr>
          <w:p w:rsidR="000117DA" w:rsidRPr="008227A8" w:rsidRDefault="000117DA" w:rsidP="00324486">
            <w:pPr>
              <w:pStyle w:val="BodyParagraph"/>
              <w:spacing w:after="0"/>
              <w:jc w:val="center"/>
              <w:rPr>
                <w:rFonts w:ascii="Cambria Math" w:hAnsi="Cambria Math"/>
                <w:i/>
                <w:color w:val="000000" w:themeColor="text1"/>
                <w:szCs w:val="18"/>
              </w:rPr>
            </w:pPr>
            <w:r w:rsidRPr="008227A8">
              <w:rPr>
                <w:rFonts w:ascii="Cambria Math" w:hAnsi="Cambria Math"/>
                <w:i/>
                <w:color w:val="000000" w:themeColor="text1"/>
                <w:szCs w:val="18"/>
              </w:rPr>
              <w:t>i, t, n</w:t>
            </w:r>
          </w:p>
        </w:tc>
        <w:tc>
          <w:tcPr>
            <w:tcW w:w="8159" w:type="dxa"/>
            <w:vAlign w:val="center"/>
          </w:tcPr>
          <w:p w:rsidR="000117DA" w:rsidRPr="008227A8" w:rsidRDefault="000117DA" w:rsidP="00324486">
            <w:pPr>
              <w:pStyle w:val="TableText"/>
              <w:rPr>
                <w:color w:val="000000" w:themeColor="text1"/>
              </w:rPr>
            </w:pPr>
            <w:r w:rsidRPr="008227A8">
              <w:rPr>
                <w:color w:val="000000" w:themeColor="text1"/>
              </w:rPr>
              <w:t xml:space="preserve">Indicate observations for each individual </w:t>
            </w:r>
            <w:r w:rsidRPr="008227A8">
              <w:rPr>
                <w:rFonts w:ascii="Times New Roman" w:hAnsi="Times New Roman"/>
                <w:i/>
                <w:color w:val="000000" w:themeColor="text1"/>
              </w:rPr>
              <w:t>i</w:t>
            </w:r>
            <w:r w:rsidRPr="008227A8">
              <w:rPr>
                <w:color w:val="000000" w:themeColor="text1"/>
              </w:rPr>
              <w:t xml:space="preserve">, date </w:t>
            </w:r>
            <w:r w:rsidRPr="008227A8">
              <w:rPr>
                <w:rFonts w:ascii="Times New Roman" w:hAnsi="Times New Roman"/>
                <w:i/>
                <w:color w:val="000000" w:themeColor="text1"/>
              </w:rPr>
              <w:t>t</w:t>
            </w:r>
            <w:r w:rsidRPr="008227A8">
              <w:rPr>
                <w:color w:val="000000" w:themeColor="text1"/>
              </w:rPr>
              <w:t xml:space="preserve"> and event number </w:t>
            </w:r>
            <w:r w:rsidRPr="008227A8">
              <w:rPr>
                <w:rFonts w:ascii="Times New Roman" w:hAnsi="Times New Roman"/>
                <w:i/>
                <w:color w:val="000000" w:themeColor="text1"/>
              </w:rPr>
              <w:t>n</w:t>
            </w:r>
            <w:r w:rsidRPr="008227A8">
              <w:rPr>
                <w:color w:val="000000" w:themeColor="text1"/>
              </w:rPr>
              <w:t xml:space="preserve">, where the number of events varies by utility and is denoted </w:t>
            </w:r>
            <w:r w:rsidRPr="008227A8">
              <w:rPr>
                <w:rFonts w:ascii="Times New Roman" w:hAnsi="Times New Roman"/>
                <w:i/>
                <w:color w:val="000000" w:themeColor="text1"/>
              </w:rPr>
              <w:t>max</w:t>
            </w:r>
          </w:p>
        </w:tc>
      </w:tr>
      <w:tr w:rsidR="000117DA" w:rsidRPr="008227A8" w:rsidTr="00324486">
        <w:trPr>
          <w:trHeight w:val="302"/>
        </w:trPr>
        <w:tc>
          <w:tcPr>
            <w:tcW w:w="1039" w:type="dxa"/>
            <w:vAlign w:val="center"/>
          </w:tcPr>
          <w:p w:rsidR="000117DA" w:rsidRPr="008227A8" w:rsidRDefault="000117DA" w:rsidP="00324486">
            <w:pPr>
              <w:pStyle w:val="BodyParagraph"/>
              <w:spacing w:after="0"/>
              <w:jc w:val="center"/>
              <w:rPr>
                <w:rFonts w:ascii="Cambria Math" w:hAnsi="Cambria Math"/>
                <w:i/>
                <w:color w:val="000000" w:themeColor="text1"/>
                <w:szCs w:val="18"/>
              </w:rPr>
            </w:pPr>
            <w:r w:rsidRPr="008227A8">
              <w:rPr>
                <w:rFonts w:ascii="Cambria Math" w:hAnsi="Cambria Math"/>
                <w:i/>
                <w:color w:val="000000" w:themeColor="text1"/>
                <w:szCs w:val="18"/>
              </w:rPr>
              <w:t>a</w:t>
            </w:r>
          </w:p>
        </w:tc>
        <w:tc>
          <w:tcPr>
            <w:tcW w:w="8159" w:type="dxa"/>
            <w:vAlign w:val="center"/>
          </w:tcPr>
          <w:p w:rsidR="000117DA" w:rsidRPr="008227A8" w:rsidRDefault="000117DA" w:rsidP="00324486">
            <w:pPr>
              <w:pStyle w:val="TableText"/>
              <w:rPr>
                <w:color w:val="000000" w:themeColor="text1"/>
              </w:rPr>
            </w:pPr>
            <w:r w:rsidRPr="008227A8">
              <w:rPr>
                <w:color w:val="000000" w:themeColor="text1"/>
              </w:rPr>
              <w:t>The model constant</w:t>
            </w:r>
          </w:p>
        </w:tc>
      </w:tr>
      <w:tr w:rsidR="000117DA" w:rsidRPr="008227A8" w:rsidTr="00324486">
        <w:trPr>
          <w:trHeight w:val="302"/>
        </w:trPr>
        <w:tc>
          <w:tcPr>
            <w:tcW w:w="1039" w:type="dxa"/>
            <w:vAlign w:val="center"/>
          </w:tcPr>
          <w:p w:rsidR="000117DA" w:rsidRPr="008227A8" w:rsidRDefault="000117DA" w:rsidP="00324486">
            <w:pPr>
              <w:pStyle w:val="BodyParagraph"/>
              <w:spacing w:after="0"/>
              <w:jc w:val="center"/>
              <w:rPr>
                <w:rFonts w:ascii="Cambria Math" w:hAnsi="Cambria Math"/>
                <w:i/>
                <w:color w:val="000000" w:themeColor="text1"/>
                <w:szCs w:val="18"/>
              </w:rPr>
            </w:pPr>
            <w:r w:rsidRPr="008227A8">
              <w:rPr>
                <w:rFonts w:ascii="Cambria Math" w:hAnsi="Cambria Math"/>
                <w:i/>
                <w:color w:val="000000" w:themeColor="text1"/>
                <w:szCs w:val="18"/>
              </w:rPr>
              <w:t>b</w:t>
            </w:r>
          </w:p>
        </w:tc>
        <w:tc>
          <w:tcPr>
            <w:tcW w:w="8159" w:type="dxa"/>
            <w:vAlign w:val="center"/>
          </w:tcPr>
          <w:p w:rsidR="000117DA" w:rsidRPr="008227A8" w:rsidRDefault="000117DA" w:rsidP="00324486">
            <w:pPr>
              <w:pStyle w:val="TableText"/>
              <w:rPr>
                <w:color w:val="000000" w:themeColor="text1"/>
              </w:rPr>
            </w:pPr>
            <w:r w:rsidRPr="008227A8">
              <w:rPr>
                <w:color w:val="000000" w:themeColor="text1"/>
              </w:rPr>
              <w:t>Pre-existing difference between treatment and control customers</w:t>
            </w:r>
          </w:p>
        </w:tc>
      </w:tr>
      <w:tr w:rsidR="000117DA" w:rsidRPr="008227A8" w:rsidTr="00324486">
        <w:trPr>
          <w:trHeight w:val="302"/>
        </w:trPr>
        <w:tc>
          <w:tcPr>
            <w:tcW w:w="1039" w:type="dxa"/>
            <w:vAlign w:val="center"/>
          </w:tcPr>
          <w:p w:rsidR="000117DA" w:rsidRPr="008227A8" w:rsidRDefault="000117DA" w:rsidP="00324486">
            <w:pPr>
              <w:pStyle w:val="BodyParagraph"/>
              <w:spacing w:after="0"/>
              <w:jc w:val="center"/>
              <w:rPr>
                <w:rFonts w:ascii="Cambria Math" w:hAnsi="Cambria Math"/>
                <w:i/>
                <w:color w:val="000000" w:themeColor="text1"/>
                <w:szCs w:val="18"/>
              </w:rPr>
            </w:pPr>
            <w:r w:rsidRPr="008227A8">
              <w:rPr>
                <w:rFonts w:ascii="Cambria Math" w:hAnsi="Cambria Math"/>
                <w:i/>
                <w:color w:val="000000" w:themeColor="text1"/>
                <w:szCs w:val="18"/>
              </w:rPr>
              <w:t>c</w:t>
            </w:r>
          </w:p>
        </w:tc>
        <w:tc>
          <w:tcPr>
            <w:tcW w:w="8159" w:type="dxa"/>
            <w:vAlign w:val="center"/>
          </w:tcPr>
          <w:p w:rsidR="000117DA" w:rsidRPr="008227A8" w:rsidRDefault="000117DA" w:rsidP="00324486">
            <w:pPr>
              <w:pStyle w:val="TableText"/>
              <w:rPr>
                <w:color w:val="000000" w:themeColor="text1"/>
              </w:rPr>
            </w:pPr>
            <w:r w:rsidRPr="008227A8">
              <w:rPr>
                <w:color w:val="000000" w:themeColor="text1"/>
              </w:rPr>
              <w:t>The difference between event and non-event days common to both CPP participants and control group members</w:t>
            </w:r>
            <w:r w:rsidRPr="008227A8">
              <w:rPr>
                <w:rStyle w:val="FootnoteReference"/>
                <w:color w:val="000000" w:themeColor="text1"/>
              </w:rPr>
              <w:footnoteReference w:id="8"/>
            </w:r>
          </w:p>
        </w:tc>
      </w:tr>
      <w:tr w:rsidR="000117DA" w:rsidRPr="008227A8" w:rsidTr="00324486">
        <w:trPr>
          <w:trHeight w:val="287"/>
        </w:trPr>
        <w:tc>
          <w:tcPr>
            <w:tcW w:w="1039" w:type="dxa"/>
            <w:vAlign w:val="center"/>
          </w:tcPr>
          <w:p w:rsidR="000117DA" w:rsidRPr="008227A8" w:rsidRDefault="000117DA" w:rsidP="00324486">
            <w:pPr>
              <w:pStyle w:val="BodyParagraph"/>
              <w:spacing w:after="0"/>
              <w:jc w:val="center"/>
              <w:rPr>
                <w:rFonts w:ascii="Cambria Math" w:hAnsi="Cambria Math"/>
                <w:i/>
                <w:color w:val="000000" w:themeColor="text1"/>
                <w:szCs w:val="18"/>
              </w:rPr>
            </w:pPr>
            <w:r w:rsidRPr="008227A8">
              <w:rPr>
                <w:rFonts w:ascii="Cambria Math" w:hAnsi="Cambria Math"/>
                <w:i/>
                <w:color w:val="000000" w:themeColor="text1"/>
                <w:szCs w:val="18"/>
              </w:rPr>
              <w:t>d</w:t>
            </w:r>
          </w:p>
        </w:tc>
        <w:tc>
          <w:tcPr>
            <w:tcW w:w="8159" w:type="dxa"/>
            <w:vAlign w:val="center"/>
          </w:tcPr>
          <w:p w:rsidR="000117DA" w:rsidRPr="008227A8" w:rsidRDefault="000117DA" w:rsidP="00324486">
            <w:pPr>
              <w:pStyle w:val="TableText"/>
              <w:rPr>
                <w:color w:val="000000" w:themeColor="text1"/>
              </w:rPr>
            </w:pPr>
            <w:r w:rsidRPr="008227A8">
              <w:rPr>
                <w:color w:val="000000" w:themeColor="text1"/>
              </w:rPr>
              <w:t>The net difference between CPP and control group customers during event days – this parameter represents the difference-in-differences</w:t>
            </w:r>
          </w:p>
        </w:tc>
      </w:tr>
      <w:tr w:rsidR="000117DA" w:rsidRPr="008227A8" w:rsidTr="00324486">
        <w:trPr>
          <w:trHeight w:val="603"/>
        </w:trPr>
        <w:tc>
          <w:tcPr>
            <w:tcW w:w="1039" w:type="dxa"/>
            <w:vAlign w:val="center"/>
          </w:tcPr>
          <w:p w:rsidR="000117DA" w:rsidRPr="008227A8" w:rsidRDefault="000117DA" w:rsidP="00324486">
            <w:pPr>
              <w:pStyle w:val="BodyParagraph"/>
              <w:spacing w:after="0"/>
              <w:jc w:val="center"/>
              <w:rPr>
                <w:rFonts w:ascii="Cambria Math" w:hAnsi="Cambria Math"/>
                <w:i/>
                <w:color w:val="000000" w:themeColor="text1"/>
                <w:szCs w:val="18"/>
              </w:rPr>
            </w:pPr>
            <w:r w:rsidRPr="008227A8">
              <w:rPr>
                <w:rFonts w:ascii="Cambria Math" w:hAnsi="Cambria Math"/>
                <w:i/>
                <w:color w:val="000000" w:themeColor="text1"/>
                <w:szCs w:val="18"/>
              </w:rPr>
              <w:t>u</w:t>
            </w:r>
          </w:p>
        </w:tc>
        <w:tc>
          <w:tcPr>
            <w:tcW w:w="8159" w:type="dxa"/>
            <w:vAlign w:val="center"/>
          </w:tcPr>
          <w:p w:rsidR="000117DA" w:rsidRPr="008227A8" w:rsidRDefault="000117DA" w:rsidP="00324486">
            <w:pPr>
              <w:pStyle w:val="TableText"/>
              <w:rPr>
                <w:color w:val="000000" w:themeColor="text1"/>
              </w:rPr>
            </w:pPr>
            <w:r w:rsidRPr="008227A8">
              <w:rPr>
                <w:color w:val="000000" w:themeColor="text1"/>
              </w:rPr>
              <w:t xml:space="preserve">Time effects for each date that control for unobserved factors that are common to all treatment and control customers but unique to the time period </w:t>
            </w:r>
          </w:p>
        </w:tc>
      </w:tr>
      <w:tr w:rsidR="000117DA" w:rsidRPr="008227A8" w:rsidTr="00324486">
        <w:trPr>
          <w:trHeight w:val="603"/>
        </w:trPr>
        <w:tc>
          <w:tcPr>
            <w:tcW w:w="1039" w:type="dxa"/>
            <w:vAlign w:val="center"/>
          </w:tcPr>
          <w:p w:rsidR="000117DA" w:rsidRPr="008227A8" w:rsidRDefault="000117DA" w:rsidP="00324486">
            <w:pPr>
              <w:pStyle w:val="BodyParagraph"/>
              <w:spacing w:after="0"/>
              <w:jc w:val="center"/>
              <w:rPr>
                <w:rFonts w:ascii="Cambria Math" w:hAnsi="Cambria Math"/>
                <w:i/>
                <w:color w:val="000000" w:themeColor="text1"/>
                <w:szCs w:val="18"/>
              </w:rPr>
            </w:pPr>
            <w:r w:rsidRPr="008227A8">
              <w:rPr>
                <w:rFonts w:ascii="Cambria Math" w:hAnsi="Cambria Math"/>
                <w:i/>
                <w:color w:val="000000" w:themeColor="text1"/>
                <w:szCs w:val="18"/>
              </w:rPr>
              <w:t>v</w:t>
            </w:r>
          </w:p>
        </w:tc>
        <w:tc>
          <w:tcPr>
            <w:tcW w:w="8159" w:type="dxa"/>
            <w:vAlign w:val="center"/>
          </w:tcPr>
          <w:p w:rsidR="000117DA" w:rsidRPr="008227A8" w:rsidRDefault="000117DA" w:rsidP="00324486">
            <w:pPr>
              <w:pStyle w:val="TableText"/>
              <w:rPr>
                <w:color w:val="000000" w:themeColor="text1"/>
              </w:rPr>
            </w:pPr>
            <w:r w:rsidRPr="008227A8">
              <w:rPr>
                <w:color w:val="000000" w:themeColor="text1"/>
              </w:rPr>
              <w:t>Customer fixed effects that control for unobserved factors that are time-invariant and unique to each customer; fixed effects do not control for fixed characteristics such as air conditioning that interact with time varying factors like weather</w:t>
            </w:r>
          </w:p>
        </w:tc>
      </w:tr>
      <w:tr w:rsidR="000117DA" w:rsidRPr="008227A8" w:rsidTr="00324486">
        <w:trPr>
          <w:trHeight w:val="302"/>
        </w:trPr>
        <w:tc>
          <w:tcPr>
            <w:tcW w:w="1039" w:type="dxa"/>
            <w:vAlign w:val="center"/>
          </w:tcPr>
          <w:p w:rsidR="000117DA" w:rsidRPr="008227A8" w:rsidRDefault="000117DA" w:rsidP="00324486">
            <w:pPr>
              <w:pStyle w:val="BodyParagraph"/>
              <w:spacing w:after="0"/>
              <w:jc w:val="center"/>
              <w:rPr>
                <w:rFonts w:ascii="Cambria Math" w:hAnsi="Cambria Math"/>
                <w:i/>
                <w:color w:val="000000" w:themeColor="text1"/>
                <w:szCs w:val="18"/>
              </w:rPr>
            </w:pPr>
            <w:r w:rsidRPr="008227A8">
              <w:rPr>
                <w:rFonts w:ascii="Cambria Math" w:hAnsi="Cambria Math"/>
                <w:i/>
                <w:color w:val="000000" w:themeColor="text1"/>
                <w:szCs w:val="18"/>
              </w:rPr>
              <w:t>Ε</w:t>
            </w:r>
          </w:p>
        </w:tc>
        <w:tc>
          <w:tcPr>
            <w:tcW w:w="8159" w:type="dxa"/>
            <w:vAlign w:val="center"/>
          </w:tcPr>
          <w:p w:rsidR="000117DA" w:rsidRPr="008227A8" w:rsidRDefault="000117DA" w:rsidP="00324486">
            <w:pPr>
              <w:pStyle w:val="TableText"/>
              <w:rPr>
                <w:color w:val="000000" w:themeColor="text1"/>
              </w:rPr>
            </w:pPr>
            <w:r w:rsidRPr="008227A8">
              <w:rPr>
                <w:color w:val="000000" w:themeColor="text1"/>
              </w:rPr>
              <w:t>The error for each individual customer and time period</w:t>
            </w:r>
          </w:p>
        </w:tc>
      </w:tr>
      <w:tr w:rsidR="000117DA" w:rsidRPr="008227A8" w:rsidTr="00324486">
        <w:trPr>
          <w:trHeight w:val="302"/>
        </w:trPr>
        <w:tc>
          <w:tcPr>
            <w:tcW w:w="1039" w:type="dxa"/>
            <w:vAlign w:val="center"/>
          </w:tcPr>
          <w:p w:rsidR="000117DA" w:rsidRPr="008227A8" w:rsidRDefault="000117DA" w:rsidP="00324486">
            <w:pPr>
              <w:pStyle w:val="BodyParagraph"/>
              <w:spacing w:after="0"/>
              <w:jc w:val="center"/>
              <w:rPr>
                <w:rFonts w:ascii="Cambria Math" w:hAnsi="Cambria Math"/>
                <w:i/>
                <w:color w:val="000000" w:themeColor="text1"/>
                <w:szCs w:val="18"/>
              </w:rPr>
            </w:pPr>
            <w:r w:rsidRPr="008227A8">
              <w:rPr>
                <w:rFonts w:ascii="Cambria Math" w:hAnsi="Cambria Math"/>
                <w:i/>
                <w:color w:val="000000" w:themeColor="text1"/>
                <w:szCs w:val="18"/>
              </w:rPr>
              <w:t>Treatment</w:t>
            </w:r>
          </w:p>
        </w:tc>
        <w:tc>
          <w:tcPr>
            <w:tcW w:w="8159" w:type="dxa"/>
            <w:vAlign w:val="center"/>
          </w:tcPr>
          <w:p w:rsidR="000117DA" w:rsidRPr="008227A8" w:rsidRDefault="000117DA" w:rsidP="00324486">
            <w:pPr>
              <w:pStyle w:val="TableText"/>
              <w:rPr>
                <w:color w:val="000000" w:themeColor="text1"/>
              </w:rPr>
            </w:pPr>
            <w:r w:rsidRPr="008227A8">
              <w:rPr>
                <w:color w:val="000000" w:themeColor="text1"/>
              </w:rPr>
              <w:t>A binary indicator or whether or not the customer is part of the treatment (CPP) or control group</w:t>
            </w:r>
          </w:p>
        </w:tc>
      </w:tr>
      <w:tr w:rsidR="000117DA" w:rsidRPr="008227A8" w:rsidTr="00324486">
        <w:trPr>
          <w:trHeight w:val="302"/>
        </w:trPr>
        <w:tc>
          <w:tcPr>
            <w:tcW w:w="1039" w:type="dxa"/>
            <w:vAlign w:val="center"/>
          </w:tcPr>
          <w:p w:rsidR="000117DA" w:rsidRPr="008227A8" w:rsidRDefault="000117DA" w:rsidP="00324486">
            <w:pPr>
              <w:pStyle w:val="BodyParagraph"/>
              <w:spacing w:after="0"/>
              <w:jc w:val="center"/>
              <w:rPr>
                <w:rFonts w:ascii="Cambria Math" w:hAnsi="Cambria Math"/>
                <w:i/>
                <w:color w:val="000000" w:themeColor="text1"/>
                <w:szCs w:val="18"/>
              </w:rPr>
            </w:pPr>
            <w:r w:rsidRPr="008227A8">
              <w:rPr>
                <w:rFonts w:ascii="Cambria Math" w:hAnsi="Cambria Math"/>
                <w:i/>
                <w:color w:val="000000" w:themeColor="text1"/>
                <w:szCs w:val="18"/>
              </w:rPr>
              <w:t>Event</w:t>
            </w:r>
          </w:p>
        </w:tc>
        <w:tc>
          <w:tcPr>
            <w:tcW w:w="8159" w:type="dxa"/>
            <w:vAlign w:val="center"/>
          </w:tcPr>
          <w:p w:rsidR="000117DA" w:rsidRPr="008227A8" w:rsidRDefault="000117DA" w:rsidP="00324486">
            <w:pPr>
              <w:pStyle w:val="TableText"/>
              <w:rPr>
                <w:color w:val="000000" w:themeColor="text1"/>
              </w:rPr>
            </w:pPr>
            <w:r w:rsidRPr="008227A8">
              <w:rPr>
                <w:color w:val="000000" w:themeColor="text1"/>
              </w:rPr>
              <w:t>A binary indicator of whether an event occurred that day – impacts are only observed if the customer is on CPP (</w:t>
            </w:r>
            <w:r w:rsidRPr="008227A8">
              <w:rPr>
                <w:rFonts w:ascii="Times New Roman" w:hAnsi="Times New Roman"/>
                <w:i/>
                <w:color w:val="000000" w:themeColor="text1"/>
              </w:rPr>
              <w:t>Treatment</w:t>
            </w:r>
            <w:r w:rsidRPr="008227A8">
              <w:rPr>
                <w:color w:val="000000" w:themeColor="text1"/>
              </w:rPr>
              <w:t xml:space="preserve"> = 1) and it was an event day</w:t>
            </w:r>
          </w:p>
        </w:tc>
      </w:tr>
    </w:tbl>
    <w:p w:rsidR="008D6FBB" w:rsidRPr="008227A8" w:rsidRDefault="008D6FBB" w:rsidP="00DD4A30">
      <w:pPr>
        <w:spacing w:line="276" w:lineRule="auto"/>
        <w:ind w:firstLine="360"/>
        <w:rPr>
          <w:color w:val="000000" w:themeColor="text1"/>
        </w:rPr>
      </w:pPr>
    </w:p>
    <w:p w:rsidR="008F1D53" w:rsidRPr="008227A8" w:rsidRDefault="008F1D53" w:rsidP="00241E2F">
      <w:pPr>
        <w:pStyle w:val="Heading3"/>
        <w:spacing w:after="0" w:line="276" w:lineRule="auto"/>
        <w:ind w:left="720"/>
        <w:rPr>
          <w:rFonts w:ascii="Times New Roman" w:hAnsi="Times New Roman" w:cs="Times New Roman"/>
          <w:color w:val="000000" w:themeColor="text1"/>
          <w:szCs w:val="24"/>
        </w:rPr>
      </w:pPr>
      <w:bookmarkStart w:id="89" w:name="_Toc447179783"/>
      <w:r w:rsidRPr="008227A8">
        <w:rPr>
          <w:rFonts w:ascii="Times New Roman" w:hAnsi="Times New Roman" w:cs="Times New Roman"/>
          <w:color w:val="000000" w:themeColor="text1"/>
          <w:szCs w:val="24"/>
        </w:rPr>
        <w:t>Individual Customers Regressions</w:t>
      </w:r>
      <w:bookmarkEnd w:id="89"/>
      <w:r w:rsidRPr="008227A8">
        <w:rPr>
          <w:rFonts w:ascii="Times New Roman" w:hAnsi="Times New Roman" w:cs="Times New Roman"/>
          <w:color w:val="000000" w:themeColor="text1"/>
          <w:szCs w:val="24"/>
        </w:rPr>
        <w:t xml:space="preserve"> </w:t>
      </w:r>
    </w:p>
    <w:p w:rsidR="008F1D53" w:rsidRPr="008227A8" w:rsidRDefault="008F1D53" w:rsidP="008F1D53">
      <w:pPr>
        <w:pStyle w:val="BodyParagraph"/>
        <w:spacing w:after="0" w:line="276" w:lineRule="auto"/>
        <w:rPr>
          <w:rFonts w:ascii="Times New Roman" w:hAnsi="Times New Roman"/>
          <w:color w:val="000000" w:themeColor="text1"/>
          <w:sz w:val="24"/>
          <w:szCs w:val="24"/>
        </w:rPr>
      </w:pPr>
    </w:p>
    <w:p w:rsidR="006A3632" w:rsidRPr="008227A8" w:rsidRDefault="006A3632" w:rsidP="00B073DC">
      <w:pPr>
        <w:pStyle w:val="BodyParagraph"/>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 xml:space="preserve">This type of analysis consists of applying regression models to the hourly load data for each individual customer.  The estimated coefficients vary for each customer, as does the amount of data used for each customer.  The fact that each customer has its own parameters automatically accounts for variables that are constant for each customer, such as industry and geographic location. </w:t>
      </w:r>
    </w:p>
    <w:p w:rsidR="006A3632" w:rsidRPr="008227A8" w:rsidRDefault="006A3632" w:rsidP="00B073DC">
      <w:pPr>
        <w:pStyle w:val="BodyParagraph"/>
        <w:spacing w:after="0" w:line="276" w:lineRule="auto"/>
        <w:ind w:firstLine="360"/>
        <w:rPr>
          <w:rFonts w:ascii="Times New Roman" w:hAnsi="Times New Roman"/>
          <w:color w:val="000000" w:themeColor="text1"/>
          <w:sz w:val="24"/>
          <w:szCs w:val="24"/>
        </w:rPr>
      </w:pPr>
    </w:p>
    <w:p w:rsidR="006A3632" w:rsidRPr="008227A8" w:rsidRDefault="006A3632" w:rsidP="00B073DC">
      <w:pPr>
        <w:pStyle w:val="BodyParagraph"/>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Customer specific regressions were only used for customers who an adequate control group match could not be found.</w:t>
      </w:r>
    </w:p>
    <w:p w:rsidR="000327F0" w:rsidRPr="008227A8" w:rsidRDefault="000327F0" w:rsidP="00573A4D">
      <w:pPr>
        <w:pStyle w:val="Heading2"/>
        <w:spacing w:after="0" w:line="276" w:lineRule="auto"/>
        <w:rPr>
          <w:rFonts w:ascii="Times New Roman" w:hAnsi="Times New Roman" w:cs="Times New Roman"/>
          <w:color w:val="000000" w:themeColor="text1"/>
          <w:szCs w:val="24"/>
        </w:rPr>
      </w:pPr>
      <w:r w:rsidRPr="008227A8">
        <w:rPr>
          <w:rFonts w:ascii="Times New Roman" w:hAnsi="Times New Roman" w:cs="Times New Roman"/>
          <w:color w:val="000000" w:themeColor="text1"/>
        </w:rPr>
        <w:tab/>
        <w:t xml:space="preserve"> </w:t>
      </w:r>
      <w:bookmarkStart w:id="90" w:name="_Toc447179784"/>
      <w:r w:rsidRPr="008227A8">
        <w:rPr>
          <w:rFonts w:ascii="Times New Roman" w:hAnsi="Times New Roman" w:cs="Times New Roman"/>
          <w:color w:val="000000" w:themeColor="text1"/>
          <w:szCs w:val="24"/>
        </w:rPr>
        <w:t>CPP-D Ex-Post Load Impacts Estimates</w:t>
      </w:r>
      <w:bookmarkEnd w:id="90"/>
    </w:p>
    <w:p w:rsidR="00573A4D" w:rsidRPr="008227A8" w:rsidRDefault="00573A4D" w:rsidP="00573A4D">
      <w:pPr>
        <w:pStyle w:val="BodyParagraph"/>
        <w:spacing w:after="0" w:line="276" w:lineRule="auto"/>
        <w:rPr>
          <w:rFonts w:ascii="Times New Roman" w:hAnsi="Times New Roman"/>
          <w:color w:val="000000" w:themeColor="text1"/>
          <w:sz w:val="24"/>
          <w:szCs w:val="24"/>
        </w:rPr>
      </w:pPr>
    </w:p>
    <w:p w:rsidR="00241E2F" w:rsidRPr="008227A8" w:rsidRDefault="00241E2F" w:rsidP="00241E2F">
      <w:pPr>
        <w:pStyle w:val="BodyParagraph"/>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 xml:space="preserve">This section summarizes the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load impact evaluation for customers on SDG&amp;E’s CPP tariff. SDG&amp;E called five CPP events in 2015. The first event occurred on August 27 and the last was held on September 11. On average, there were 1,207 accounts enrolled on SDG&amp;E’s tariff in 2015. </w:t>
      </w:r>
    </w:p>
    <w:p w:rsidR="00241E2F" w:rsidRPr="008227A8" w:rsidRDefault="00241E2F" w:rsidP="00241E2F">
      <w:pPr>
        <w:pStyle w:val="BodyParagraph"/>
        <w:spacing w:after="0" w:line="276" w:lineRule="auto"/>
        <w:ind w:firstLine="360"/>
        <w:rPr>
          <w:rFonts w:ascii="Times New Roman" w:hAnsi="Times New Roman"/>
          <w:color w:val="000000" w:themeColor="text1"/>
          <w:sz w:val="24"/>
          <w:szCs w:val="24"/>
        </w:rPr>
      </w:pPr>
      <w:r w:rsidRPr="00826B23">
        <w:rPr>
          <w:rFonts w:ascii="Times New Roman" w:hAnsi="Times New Roman"/>
          <w:color w:val="000000" w:themeColor="text1"/>
          <w:sz w:val="22"/>
        </w:rPr>
        <w:lastRenderedPageBreak/>
        <w:t>Table 3-1</w:t>
      </w:r>
      <w:r w:rsidRPr="008227A8">
        <w:rPr>
          <w:rFonts w:ascii="Times New Roman" w:hAnsi="Times New Roman"/>
          <w:color w:val="000000" w:themeColor="text1"/>
          <w:sz w:val="24"/>
          <w:szCs w:val="24"/>
        </w:rPr>
        <w:t xml:space="preserve"> shows the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load impact estimates for each event day and for the average event in 2015. On the average event day, the average participant reduced peak period load by 8.3%, or 21.0 kW. In aggregate, SDG&amp;E’s CPP customers reduced load by 25.3 MW on average across the five events in 2015.</w:t>
      </w:r>
    </w:p>
    <w:p w:rsidR="00241E2F" w:rsidRPr="008227A8" w:rsidRDefault="00241E2F" w:rsidP="00241E2F">
      <w:pPr>
        <w:pStyle w:val="BodyParagraph"/>
        <w:spacing w:after="0" w:line="276" w:lineRule="auto"/>
        <w:ind w:firstLine="360"/>
        <w:rPr>
          <w:rFonts w:ascii="Times New Roman" w:hAnsi="Times New Roman"/>
          <w:color w:val="000000" w:themeColor="text1"/>
          <w:sz w:val="24"/>
          <w:szCs w:val="24"/>
        </w:rPr>
      </w:pPr>
    </w:p>
    <w:p w:rsidR="00C20677" w:rsidRPr="00C20677" w:rsidRDefault="00241E2F" w:rsidP="00C20677">
      <w:pPr>
        <w:pStyle w:val="TableFigureCaption"/>
      </w:pPr>
      <w:r w:rsidRPr="00241E2F">
        <w:rPr>
          <w:rFonts w:ascii="Times New Roman" w:hAnsi="Times New Roman"/>
        </w:rPr>
        <w:t xml:space="preserve">Table 3-1: Default CPP </w:t>
      </w:r>
      <w:r w:rsidR="008C46A8">
        <w:rPr>
          <w:rFonts w:ascii="Times New Roman" w:hAnsi="Times New Roman"/>
        </w:rPr>
        <w:t>Ex-Post</w:t>
      </w:r>
      <w:r w:rsidRPr="00241E2F">
        <w:rPr>
          <w:rFonts w:ascii="Times New Roman" w:hAnsi="Times New Roman"/>
        </w:rPr>
        <w:t xml:space="preserve"> Load Impact Estimates by Event Day</w:t>
      </w:r>
      <w:r w:rsidRPr="00241E2F">
        <w:rPr>
          <w:rFonts w:ascii="Times New Roman" w:hAnsi="Times New Roman"/>
        </w:rPr>
        <w:br/>
        <w:t>SDG&amp;E 2015 CPP Events (11 AM to 6 PM)</w:t>
      </w:r>
    </w:p>
    <w:tbl>
      <w:tblPr>
        <w:tblW w:w="4963" w:type="pct"/>
        <w:jc w:val="center"/>
        <w:tblInd w:w="-2808" w:type="dxa"/>
        <w:tblLook w:val="04A0" w:firstRow="1" w:lastRow="0" w:firstColumn="1" w:lastColumn="0" w:noHBand="0" w:noVBand="1"/>
      </w:tblPr>
      <w:tblGrid>
        <w:gridCol w:w="994"/>
        <w:gridCol w:w="672"/>
        <w:gridCol w:w="926"/>
        <w:gridCol w:w="1037"/>
        <w:gridCol w:w="1028"/>
        <w:gridCol w:w="1028"/>
        <w:gridCol w:w="1006"/>
        <w:gridCol w:w="1007"/>
        <w:gridCol w:w="733"/>
        <w:gridCol w:w="1074"/>
      </w:tblGrid>
      <w:tr w:rsidR="00C20677" w:rsidRPr="00E50E4E" w:rsidTr="00C20677">
        <w:trPr>
          <w:trHeight w:val="1020"/>
          <w:jc w:val="center"/>
        </w:trPr>
        <w:tc>
          <w:tcPr>
            <w:tcW w:w="529" w:type="pct"/>
            <w:vMerge w:val="restart"/>
            <w:tcBorders>
              <w:top w:val="single" w:sz="4" w:space="0" w:color="auto"/>
              <w:left w:val="single" w:sz="4" w:space="0" w:color="auto"/>
              <w:bottom w:val="single" w:sz="4" w:space="0" w:color="auto"/>
              <w:right w:val="single" w:sz="4" w:space="0" w:color="FFFFFF" w:themeColor="background1"/>
            </w:tcBorders>
            <w:shd w:val="clear" w:color="auto" w:fill="002060"/>
            <w:vAlign w:val="center"/>
            <w:hideMark/>
          </w:tcPr>
          <w:p w:rsidR="00241E2F" w:rsidRPr="00C20677" w:rsidRDefault="00241E2F" w:rsidP="00336E76">
            <w:pPr>
              <w:jc w:val="center"/>
              <w:rPr>
                <w:b/>
                <w:bCs/>
                <w:color w:val="FFFFFF"/>
                <w:sz w:val="18"/>
                <w:szCs w:val="18"/>
              </w:rPr>
            </w:pPr>
            <w:r w:rsidRPr="00C20677">
              <w:rPr>
                <w:b/>
                <w:bCs/>
                <w:color w:val="FFFFFF"/>
                <w:sz w:val="18"/>
                <w:szCs w:val="18"/>
              </w:rPr>
              <w:t>Event Date</w:t>
            </w:r>
          </w:p>
        </w:tc>
        <w:tc>
          <w:tcPr>
            <w:tcW w:w="360" w:type="pct"/>
            <w:vMerge w:val="restart"/>
            <w:tcBorders>
              <w:top w:val="single" w:sz="4" w:space="0" w:color="auto"/>
              <w:left w:val="single" w:sz="4" w:space="0" w:color="FFFFFF" w:themeColor="background1"/>
              <w:bottom w:val="single" w:sz="4" w:space="0" w:color="auto"/>
              <w:right w:val="single" w:sz="4" w:space="0" w:color="FFFFFF" w:themeColor="background1"/>
            </w:tcBorders>
            <w:shd w:val="clear" w:color="auto" w:fill="002060"/>
            <w:vAlign w:val="center"/>
            <w:hideMark/>
          </w:tcPr>
          <w:p w:rsidR="00241E2F" w:rsidRPr="00C20677" w:rsidRDefault="00241E2F" w:rsidP="00336E76">
            <w:pPr>
              <w:jc w:val="center"/>
              <w:rPr>
                <w:b/>
                <w:bCs/>
                <w:color w:val="FFFFFF"/>
                <w:sz w:val="18"/>
                <w:szCs w:val="18"/>
              </w:rPr>
            </w:pPr>
            <w:r w:rsidRPr="00C20677">
              <w:rPr>
                <w:b/>
                <w:bCs/>
                <w:color w:val="FFFFFF"/>
                <w:sz w:val="18"/>
                <w:szCs w:val="18"/>
              </w:rPr>
              <w:t>Day of Week</w:t>
            </w:r>
          </w:p>
        </w:tc>
        <w:tc>
          <w:tcPr>
            <w:tcW w:w="487" w:type="pct"/>
            <w:vMerge w:val="restart"/>
            <w:tcBorders>
              <w:top w:val="single" w:sz="4" w:space="0" w:color="auto"/>
              <w:left w:val="single" w:sz="4" w:space="0" w:color="FFFFFF" w:themeColor="background1"/>
              <w:bottom w:val="single" w:sz="4" w:space="0" w:color="auto"/>
              <w:right w:val="single" w:sz="4" w:space="0" w:color="FFFFFF" w:themeColor="background1"/>
            </w:tcBorders>
            <w:shd w:val="clear" w:color="auto" w:fill="002060"/>
            <w:vAlign w:val="center"/>
            <w:hideMark/>
          </w:tcPr>
          <w:p w:rsidR="00241E2F" w:rsidRPr="00C20677" w:rsidRDefault="00241E2F" w:rsidP="00336E76">
            <w:pPr>
              <w:jc w:val="center"/>
              <w:rPr>
                <w:b/>
                <w:bCs/>
                <w:color w:val="FFFFFF"/>
                <w:sz w:val="18"/>
                <w:szCs w:val="18"/>
              </w:rPr>
            </w:pPr>
            <w:r w:rsidRPr="00C20677">
              <w:rPr>
                <w:b/>
                <w:bCs/>
                <w:color w:val="FFFFFF"/>
                <w:sz w:val="18"/>
                <w:szCs w:val="18"/>
              </w:rPr>
              <w:t>Accounts</w:t>
            </w:r>
          </w:p>
        </w:tc>
        <w:tc>
          <w:tcPr>
            <w:tcW w:w="552"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2060"/>
            <w:vAlign w:val="center"/>
            <w:hideMark/>
          </w:tcPr>
          <w:p w:rsidR="00241E2F" w:rsidRPr="00C20677" w:rsidRDefault="00241E2F" w:rsidP="00336E76">
            <w:pPr>
              <w:jc w:val="center"/>
              <w:rPr>
                <w:b/>
                <w:bCs/>
                <w:color w:val="FFFFFF"/>
                <w:sz w:val="18"/>
                <w:szCs w:val="18"/>
              </w:rPr>
            </w:pPr>
            <w:r w:rsidRPr="00C20677">
              <w:rPr>
                <w:b/>
                <w:bCs/>
                <w:color w:val="FFFFFF"/>
                <w:sz w:val="18"/>
                <w:szCs w:val="18"/>
              </w:rPr>
              <w:t>Avg. Customer Reference Load</w:t>
            </w:r>
          </w:p>
        </w:tc>
        <w:tc>
          <w:tcPr>
            <w:tcW w:w="547"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2060"/>
            <w:vAlign w:val="center"/>
            <w:hideMark/>
          </w:tcPr>
          <w:p w:rsidR="00241E2F" w:rsidRPr="00C20677" w:rsidRDefault="00241E2F" w:rsidP="00336E76">
            <w:pPr>
              <w:jc w:val="center"/>
              <w:rPr>
                <w:b/>
                <w:bCs/>
                <w:color w:val="FFFFFF"/>
                <w:sz w:val="18"/>
                <w:szCs w:val="18"/>
              </w:rPr>
            </w:pPr>
            <w:r w:rsidRPr="00C20677">
              <w:rPr>
                <w:b/>
                <w:bCs/>
                <w:color w:val="FFFFFF"/>
                <w:sz w:val="18"/>
                <w:szCs w:val="18"/>
              </w:rPr>
              <w:t>Avg. Customer Load w/ DR</w:t>
            </w:r>
          </w:p>
        </w:tc>
        <w:tc>
          <w:tcPr>
            <w:tcW w:w="547"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2060"/>
            <w:vAlign w:val="center"/>
            <w:hideMark/>
          </w:tcPr>
          <w:p w:rsidR="00241E2F" w:rsidRPr="00C20677" w:rsidRDefault="00241E2F" w:rsidP="00336E76">
            <w:pPr>
              <w:jc w:val="center"/>
              <w:rPr>
                <w:b/>
                <w:bCs/>
                <w:color w:val="FFFFFF"/>
                <w:sz w:val="18"/>
                <w:szCs w:val="18"/>
              </w:rPr>
            </w:pPr>
            <w:r w:rsidRPr="00C20677">
              <w:rPr>
                <w:b/>
                <w:bCs/>
                <w:color w:val="FFFFFF"/>
                <w:sz w:val="18"/>
                <w:szCs w:val="18"/>
              </w:rPr>
              <w:t>Average Customer</w:t>
            </w:r>
          </w:p>
          <w:p w:rsidR="00241E2F" w:rsidRPr="00C20677" w:rsidRDefault="00241E2F" w:rsidP="00336E76">
            <w:pPr>
              <w:jc w:val="center"/>
              <w:rPr>
                <w:b/>
                <w:bCs/>
                <w:color w:val="FFFFFF"/>
                <w:sz w:val="18"/>
                <w:szCs w:val="18"/>
              </w:rPr>
            </w:pPr>
            <w:r w:rsidRPr="00C20677">
              <w:rPr>
                <w:b/>
                <w:bCs/>
                <w:color w:val="FFFFFF"/>
                <w:sz w:val="18"/>
                <w:szCs w:val="18"/>
              </w:rPr>
              <w:t>Impact</w:t>
            </w:r>
          </w:p>
        </w:tc>
        <w:tc>
          <w:tcPr>
            <w:tcW w:w="529"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2060"/>
            <w:vAlign w:val="center"/>
            <w:hideMark/>
          </w:tcPr>
          <w:p w:rsidR="00241E2F" w:rsidRPr="00C20677" w:rsidRDefault="00241E2F" w:rsidP="00336E76">
            <w:pPr>
              <w:jc w:val="center"/>
              <w:rPr>
                <w:b/>
                <w:bCs/>
                <w:color w:val="FFFFFF"/>
                <w:sz w:val="18"/>
                <w:szCs w:val="18"/>
              </w:rPr>
            </w:pPr>
            <w:r w:rsidRPr="00C20677">
              <w:rPr>
                <w:b/>
                <w:bCs/>
                <w:color w:val="FFFFFF"/>
                <w:sz w:val="18"/>
                <w:szCs w:val="18"/>
              </w:rPr>
              <w:t>Aggregate Impact</w:t>
            </w:r>
          </w:p>
        </w:tc>
        <w:tc>
          <w:tcPr>
            <w:tcW w:w="486"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2060"/>
            <w:vAlign w:val="center"/>
            <w:hideMark/>
          </w:tcPr>
          <w:p w:rsidR="00241E2F" w:rsidRPr="00C20677" w:rsidRDefault="00241E2F" w:rsidP="00336E76">
            <w:pPr>
              <w:jc w:val="center"/>
              <w:rPr>
                <w:b/>
                <w:bCs/>
                <w:color w:val="FFFFFF"/>
                <w:sz w:val="18"/>
                <w:szCs w:val="18"/>
              </w:rPr>
            </w:pPr>
            <w:r w:rsidRPr="00C20677">
              <w:rPr>
                <w:b/>
                <w:bCs/>
                <w:color w:val="FFFFFF"/>
                <w:sz w:val="18"/>
                <w:szCs w:val="18"/>
              </w:rPr>
              <w:t>% Reduction</w:t>
            </w:r>
          </w:p>
        </w:tc>
        <w:tc>
          <w:tcPr>
            <w:tcW w:w="392" w:type="pc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002060"/>
            <w:vAlign w:val="center"/>
            <w:hideMark/>
          </w:tcPr>
          <w:p w:rsidR="00241E2F" w:rsidRPr="00C20677" w:rsidRDefault="00241E2F" w:rsidP="00336E76">
            <w:pPr>
              <w:jc w:val="center"/>
              <w:rPr>
                <w:b/>
                <w:bCs/>
                <w:color w:val="FFFFFF"/>
                <w:sz w:val="18"/>
                <w:szCs w:val="18"/>
              </w:rPr>
            </w:pPr>
            <w:r w:rsidRPr="00C20677">
              <w:rPr>
                <w:b/>
                <w:bCs/>
                <w:color w:val="FFFFFF"/>
                <w:sz w:val="18"/>
                <w:szCs w:val="18"/>
              </w:rPr>
              <w:t>Avg. Temp.</w:t>
            </w:r>
          </w:p>
        </w:tc>
        <w:tc>
          <w:tcPr>
            <w:tcW w:w="571" w:type="pct"/>
            <w:tcBorders>
              <w:top w:val="single" w:sz="4" w:space="0" w:color="auto"/>
              <w:left w:val="single" w:sz="4" w:space="0" w:color="FFFFFF" w:themeColor="background1"/>
              <w:bottom w:val="single" w:sz="4" w:space="0" w:color="FFFFFF" w:themeColor="background1"/>
              <w:right w:val="single" w:sz="4" w:space="0" w:color="auto"/>
            </w:tcBorders>
            <w:shd w:val="clear" w:color="auto" w:fill="002060"/>
            <w:vAlign w:val="center"/>
            <w:hideMark/>
          </w:tcPr>
          <w:p w:rsidR="00241E2F" w:rsidRPr="00C20677" w:rsidRDefault="00241E2F" w:rsidP="00336E76">
            <w:pPr>
              <w:jc w:val="center"/>
              <w:rPr>
                <w:b/>
                <w:bCs/>
                <w:color w:val="FFFFFF"/>
                <w:sz w:val="18"/>
                <w:szCs w:val="18"/>
              </w:rPr>
            </w:pPr>
            <w:r w:rsidRPr="00C20677">
              <w:rPr>
                <w:b/>
                <w:bCs/>
                <w:color w:val="FFFFFF"/>
                <w:sz w:val="18"/>
                <w:szCs w:val="18"/>
              </w:rPr>
              <w:t>Daily Maximum Temp.</w:t>
            </w:r>
          </w:p>
        </w:tc>
      </w:tr>
      <w:tr w:rsidR="00C20677" w:rsidRPr="00E50E4E" w:rsidTr="00C20677">
        <w:trPr>
          <w:trHeight w:val="300"/>
          <w:jc w:val="center"/>
        </w:trPr>
        <w:tc>
          <w:tcPr>
            <w:tcW w:w="529" w:type="pct"/>
            <w:vMerge/>
            <w:tcBorders>
              <w:top w:val="single" w:sz="4" w:space="0" w:color="auto"/>
              <w:left w:val="single" w:sz="4" w:space="0" w:color="auto"/>
              <w:bottom w:val="single" w:sz="4" w:space="0" w:color="auto"/>
              <w:right w:val="single" w:sz="4" w:space="0" w:color="FFFFFF" w:themeColor="background1"/>
            </w:tcBorders>
            <w:shd w:val="clear" w:color="auto" w:fill="002060"/>
            <w:vAlign w:val="center"/>
            <w:hideMark/>
          </w:tcPr>
          <w:p w:rsidR="00241E2F" w:rsidRPr="00C20677" w:rsidRDefault="00241E2F" w:rsidP="00336E76">
            <w:pPr>
              <w:rPr>
                <w:b/>
                <w:bCs/>
                <w:color w:val="FFFFFF"/>
                <w:sz w:val="18"/>
                <w:szCs w:val="18"/>
              </w:rPr>
            </w:pPr>
          </w:p>
        </w:tc>
        <w:tc>
          <w:tcPr>
            <w:tcW w:w="360" w:type="pct"/>
            <w:vMerge/>
            <w:tcBorders>
              <w:top w:val="single" w:sz="4" w:space="0" w:color="auto"/>
              <w:left w:val="single" w:sz="4" w:space="0" w:color="FFFFFF" w:themeColor="background1"/>
              <w:bottom w:val="single" w:sz="4" w:space="0" w:color="auto"/>
              <w:right w:val="single" w:sz="4" w:space="0" w:color="FFFFFF" w:themeColor="background1"/>
            </w:tcBorders>
            <w:shd w:val="clear" w:color="auto" w:fill="002060"/>
            <w:vAlign w:val="center"/>
            <w:hideMark/>
          </w:tcPr>
          <w:p w:rsidR="00241E2F" w:rsidRPr="00C20677" w:rsidRDefault="00241E2F" w:rsidP="00336E76">
            <w:pPr>
              <w:rPr>
                <w:b/>
                <w:bCs/>
                <w:color w:val="FFFFFF"/>
                <w:sz w:val="18"/>
                <w:szCs w:val="18"/>
              </w:rPr>
            </w:pPr>
          </w:p>
        </w:tc>
        <w:tc>
          <w:tcPr>
            <w:tcW w:w="487" w:type="pct"/>
            <w:vMerge/>
            <w:tcBorders>
              <w:top w:val="single" w:sz="4" w:space="0" w:color="auto"/>
              <w:left w:val="single" w:sz="4" w:space="0" w:color="FFFFFF" w:themeColor="background1"/>
              <w:bottom w:val="single" w:sz="4" w:space="0" w:color="auto"/>
              <w:right w:val="single" w:sz="4" w:space="0" w:color="FFFFFF" w:themeColor="background1"/>
            </w:tcBorders>
            <w:shd w:val="clear" w:color="auto" w:fill="002060"/>
            <w:vAlign w:val="center"/>
            <w:hideMark/>
          </w:tcPr>
          <w:p w:rsidR="00241E2F" w:rsidRPr="00C20677" w:rsidRDefault="00241E2F" w:rsidP="00336E76">
            <w:pPr>
              <w:rPr>
                <w:b/>
                <w:bCs/>
                <w:color w:val="FFFFFF"/>
                <w:sz w:val="18"/>
                <w:szCs w:val="18"/>
              </w:rPr>
            </w:pPr>
          </w:p>
        </w:tc>
        <w:tc>
          <w:tcPr>
            <w:tcW w:w="552"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2060"/>
            <w:noWrap/>
            <w:vAlign w:val="center"/>
            <w:hideMark/>
          </w:tcPr>
          <w:p w:rsidR="00241E2F" w:rsidRPr="00C20677" w:rsidRDefault="00241E2F" w:rsidP="00336E76">
            <w:pPr>
              <w:jc w:val="center"/>
              <w:rPr>
                <w:b/>
                <w:color w:val="FFFFFF"/>
                <w:sz w:val="18"/>
                <w:szCs w:val="18"/>
              </w:rPr>
            </w:pPr>
            <w:r w:rsidRPr="00C20677">
              <w:rPr>
                <w:b/>
                <w:color w:val="FFFFFF"/>
                <w:sz w:val="18"/>
                <w:szCs w:val="18"/>
              </w:rPr>
              <w:t>(kW)</w:t>
            </w:r>
          </w:p>
        </w:tc>
        <w:tc>
          <w:tcPr>
            <w:tcW w:w="547"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2060"/>
            <w:noWrap/>
            <w:vAlign w:val="center"/>
            <w:hideMark/>
          </w:tcPr>
          <w:p w:rsidR="00241E2F" w:rsidRPr="00C20677" w:rsidRDefault="00241E2F" w:rsidP="00336E76">
            <w:pPr>
              <w:jc w:val="center"/>
              <w:rPr>
                <w:b/>
                <w:color w:val="FFFFFF"/>
                <w:sz w:val="18"/>
                <w:szCs w:val="18"/>
              </w:rPr>
            </w:pPr>
            <w:r w:rsidRPr="00C20677">
              <w:rPr>
                <w:b/>
                <w:color w:val="FFFFFF"/>
                <w:sz w:val="18"/>
                <w:szCs w:val="18"/>
              </w:rPr>
              <w:t>(kW)</w:t>
            </w:r>
          </w:p>
        </w:tc>
        <w:tc>
          <w:tcPr>
            <w:tcW w:w="547"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2060"/>
            <w:noWrap/>
            <w:vAlign w:val="center"/>
            <w:hideMark/>
          </w:tcPr>
          <w:p w:rsidR="00241E2F" w:rsidRPr="00C20677" w:rsidRDefault="00241E2F" w:rsidP="00336E76">
            <w:pPr>
              <w:jc w:val="center"/>
              <w:rPr>
                <w:b/>
                <w:color w:val="FFFFFF"/>
                <w:sz w:val="18"/>
                <w:szCs w:val="18"/>
              </w:rPr>
            </w:pPr>
            <w:r w:rsidRPr="00C20677">
              <w:rPr>
                <w:b/>
                <w:color w:val="FFFFFF"/>
                <w:sz w:val="18"/>
                <w:szCs w:val="18"/>
              </w:rPr>
              <w:t>(kW)</w:t>
            </w:r>
          </w:p>
        </w:tc>
        <w:tc>
          <w:tcPr>
            <w:tcW w:w="529"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2060"/>
            <w:noWrap/>
            <w:vAlign w:val="center"/>
            <w:hideMark/>
          </w:tcPr>
          <w:p w:rsidR="00241E2F" w:rsidRPr="00C20677" w:rsidRDefault="00241E2F" w:rsidP="00336E76">
            <w:pPr>
              <w:jc w:val="center"/>
              <w:rPr>
                <w:b/>
                <w:color w:val="FFFFFF"/>
                <w:sz w:val="18"/>
                <w:szCs w:val="18"/>
              </w:rPr>
            </w:pPr>
            <w:r w:rsidRPr="00C20677">
              <w:rPr>
                <w:b/>
                <w:color w:val="FFFFFF"/>
                <w:sz w:val="18"/>
                <w:szCs w:val="18"/>
              </w:rPr>
              <w:t>(MW)</w:t>
            </w:r>
          </w:p>
        </w:tc>
        <w:tc>
          <w:tcPr>
            <w:tcW w:w="486"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2060"/>
            <w:noWrap/>
            <w:vAlign w:val="center"/>
            <w:hideMark/>
          </w:tcPr>
          <w:p w:rsidR="00241E2F" w:rsidRPr="00C20677" w:rsidRDefault="00241E2F" w:rsidP="00336E76">
            <w:pPr>
              <w:jc w:val="center"/>
              <w:rPr>
                <w:b/>
                <w:color w:val="FFFFFF"/>
                <w:sz w:val="18"/>
                <w:szCs w:val="18"/>
              </w:rPr>
            </w:pPr>
            <w:r w:rsidRPr="00C20677">
              <w:rPr>
                <w:b/>
                <w:color w:val="FFFFFF"/>
                <w:sz w:val="18"/>
                <w:szCs w:val="18"/>
              </w:rPr>
              <w:t>%</w:t>
            </w:r>
          </w:p>
        </w:tc>
        <w:tc>
          <w:tcPr>
            <w:tcW w:w="392" w:type="pct"/>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002060"/>
            <w:noWrap/>
            <w:vAlign w:val="center"/>
            <w:hideMark/>
          </w:tcPr>
          <w:p w:rsidR="00241E2F" w:rsidRPr="00C20677" w:rsidRDefault="00241E2F" w:rsidP="00336E76">
            <w:pPr>
              <w:jc w:val="center"/>
              <w:rPr>
                <w:b/>
                <w:color w:val="FFFFFF"/>
                <w:sz w:val="18"/>
                <w:szCs w:val="18"/>
              </w:rPr>
            </w:pPr>
            <w:r w:rsidRPr="00C20677">
              <w:rPr>
                <w:b/>
                <w:color w:val="FFFFFF"/>
                <w:sz w:val="18"/>
                <w:szCs w:val="18"/>
              </w:rPr>
              <w:t>°F</w:t>
            </w:r>
          </w:p>
        </w:tc>
        <w:tc>
          <w:tcPr>
            <w:tcW w:w="571" w:type="pct"/>
            <w:tcBorders>
              <w:top w:val="single" w:sz="4" w:space="0" w:color="FFFFFF" w:themeColor="background1"/>
              <w:left w:val="single" w:sz="4" w:space="0" w:color="FFFFFF" w:themeColor="background1"/>
              <w:bottom w:val="single" w:sz="4" w:space="0" w:color="auto"/>
              <w:right w:val="single" w:sz="4" w:space="0" w:color="auto"/>
            </w:tcBorders>
            <w:shd w:val="clear" w:color="auto" w:fill="002060"/>
            <w:noWrap/>
            <w:vAlign w:val="center"/>
            <w:hideMark/>
          </w:tcPr>
          <w:p w:rsidR="00241E2F" w:rsidRPr="00C20677" w:rsidRDefault="00241E2F" w:rsidP="00336E76">
            <w:pPr>
              <w:jc w:val="center"/>
              <w:rPr>
                <w:b/>
                <w:color w:val="FFFFFF"/>
                <w:sz w:val="18"/>
                <w:szCs w:val="18"/>
              </w:rPr>
            </w:pPr>
            <w:r w:rsidRPr="00C20677">
              <w:rPr>
                <w:b/>
                <w:color w:val="FFFFFF"/>
                <w:sz w:val="18"/>
                <w:szCs w:val="18"/>
              </w:rPr>
              <w:t>°F</w:t>
            </w:r>
          </w:p>
        </w:tc>
      </w:tr>
      <w:tr w:rsidR="00C20677" w:rsidRPr="00E50E4E" w:rsidTr="00C20677">
        <w:trPr>
          <w:trHeight w:val="300"/>
          <w:jc w:val="center"/>
        </w:trPr>
        <w:tc>
          <w:tcPr>
            <w:tcW w:w="529" w:type="pct"/>
            <w:tcBorders>
              <w:top w:val="nil"/>
              <w:left w:val="single" w:sz="4" w:space="0" w:color="auto"/>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8/27/2015</w:t>
            </w:r>
          </w:p>
        </w:tc>
        <w:tc>
          <w:tcPr>
            <w:tcW w:w="360"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Thu</w:t>
            </w:r>
          </w:p>
        </w:tc>
        <w:tc>
          <w:tcPr>
            <w:tcW w:w="48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1,207</w:t>
            </w:r>
          </w:p>
        </w:tc>
        <w:tc>
          <w:tcPr>
            <w:tcW w:w="552"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240.6</w:t>
            </w:r>
          </w:p>
        </w:tc>
        <w:tc>
          <w:tcPr>
            <w:tcW w:w="54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223.1</w:t>
            </w:r>
          </w:p>
        </w:tc>
        <w:tc>
          <w:tcPr>
            <w:tcW w:w="54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17.5</w:t>
            </w:r>
          </w:p>
        </w:tc>
        <w:tc>
          <w:tcPr>
            <w:tcW w:w="529"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21.1</w:t>
            </w:r>
          </w:p>
        </w:tc>
        <w:tc>
          <w:tcPr>
            <w:tcW w:w="486"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7.3%</w:t>
            </w:r>
          </w:p>
        </w:tc>
        <w:tc>
          <w:tcPr>
            <w:tcW w:w="392"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88.5</w:t>
            </w:r>
          </w:p>
        </w:tc>
        <w:tc>
          <w:tcPr>
            <w:tcW w:w="571"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91.2</w:t>
            </w:r>
          </w:p>
        </w:tc>
      </w:tr>
      <w:tr w:rsidR="00C20677" w:rsidRPr="00E50E4E" w:rsidTr="00C20677">
        <w:trPr>
          <w:trHeight w:val="300"/>
          <w:jc w:val="center"/>
        </w:trPr>
        <w:tc>
          <w:tcPr>
            <w:tcW w:w="529" w:type="pct"/>
            <w:tcBorders>
              <w:top w:val="nil"/>
              <w:left w:val="single" w:sz="4" w:space="0" w:color="auto"/>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8/28/2015</w:t>
            </w:r>
          </w:p>
        </w:tc>
        <w:tc>
          <w:tcPr>
            <w:tcW w:w="360"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Fri</w:t>
            </w:r>
          </w:p>
        </w:tc>
        <w:tc>
          <w:tcPr>
            <w:tcW w:w="48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1,206</w:t>
            </w:r>
          </w:p>
        </w:tc>
        <w:tc>
          <w:tcPr>
            <w:tcW w:w="552"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240.8</w:t>
            </w:r>
          </w:p>
        </w:tc>
        <w:tc>
          <w:tcPr>
            <w:tcW w:w="54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219.5</w:t>
            </w:r>
          </w:p>
        </w:tc>
        <w:tc>
          <w:tcPr>
            <w:tcW w:w="54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21.3</w:t>
            </w:r>
          </w:p>
        </w:tc>
        <w:tc>
          <w:tcPr>
            <w:tcW w:w="529"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25.7</w:t>
            </w:r>
          </w:p>
        </w:tc>
        <w:tc>
          <w:tcPr>
            <w:tcW w:w="486"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8.8%</w:t>
            </w:r>
          </w:p>
        </w:tc>
        <w:tc>
          <w:tcPr>
            <w:tcW w:w="392"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91.2</w:t>
            </w:r>
          </w:p>
        </w:tc>
        <w:tc>
          <w:tcPr>
            <w:tcW w:w="571"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92.2</w:t>
            </w:r>
          </w:p>
        </w:tc>
      </w:tr>
      <w:tr w:rsidR="00C20677" w:rsidRPr="00E50E4E" w:rsidTr="00C20677">
        <w:trPr>
          <w:trHeight w:val="300"/>
          <w:jc w:val="center"/>
        </w:trPr>
        <w:tc>
          <w:tcPr>
            <w:tcW w:w="529" w:type="pct"/>
            <w:tcBorders>
              <w:top w:val="nil"/>
              <w:left w:val="single" w:sz="4" w:space="0" w:color="auto"/>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9/9/2015</w:t>
            </w:r>
          </w:p>
        </w:tc>
        <w:tc>
          <w:tcPr>
            <w:tcW w:w="360"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Wed</w:t>
            </w:r>
          </w:p>
        </w:tc>
        <w:tc>
          <w:tcPr>
            <w:tcW w:w="48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1,209</w:t>
            </w:r>
          </w:p>
        </w:tc>
        <w:tc>
          <w:tcPr>
            <w:tcW w:w="552"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270.7</w:t>
            </w:r>
          </w:p>
        </w:tc>
        <w:tc>
          <w:tcPr>
            <w:tcW w:w="54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241.0</w:t>
            </w:r>
          </w:p>
        </w:tc>
        <w:tc>
          <w:tcPr>
            <w:tcW w:w="54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29.7</w:t>
            </w:r>
          </w:p>
        </w:tc>
        <w:tc>
          <w:tcPr>
            <w:tcW w:w="529"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35.9</w:t>
            </w:r>
          </w:p>
        </w:tc>
        <w:tc>
          <w:tcPr>
            <w:tcW w:w="486"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11.0%</w:t>
            </w:r>
          </w:p>
        </w:tc>
        <w:tc>
          <w:tcPr>
            <w:tcW w:w="392"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94.6</w:t>
            </w:r>
          </w:p>
        </w:tc>
        <w:tc>
          <w:tcPr>
            <w:tcW w:w="571"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95.9</w:t>
            </w:r>
          </w:p>
        </w:tc>
      </w:tr>
      <w:tr w:rsidR="00C20677" w:rsidRPr="00E50E4E" w:rsidTr="00C20677">
        <w:trPr>
          <w:trHeight w:val="300"/>
          <w:jc w:val="center"/>
        </w:trPr>
        <w:tc>
          <w:tcPr>
            <w:tcW w:w="529" w:type="pct"/>
            <w:tcBorders>
              <w:top w:val="nil"/>
              <w:left w:val="single" w:sz="4" w:space="0" w:color="auto"/>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9/10/2015</w:t>
            </w:r>
          </w:p>
        </w:tc>
        <w:tc>
          <w:tcPr>
            <w:tcW w:w="360"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Thu</w:t>
            </w:r>
          </w:p>
        </w:tc>
        <w:tc>
          <w:tcPr>
            <w:tcW w:w="48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1,209</w:t>
            </w:r>
          </w:p>
        </w:tc>
        <w:tc>
          <w:tcPr>
            <w:tcW w:w="552"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267.4</w:t>
            </w:r>
          </w:p>
        </w:tc>
        <w:tc>
          <w:tcPr>
            <w:tcW w:w="54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244.6</w:t>
            </w:r>
          </w:p>
        </w:tc>
        <w:tc>
          <w:tcPr>
            <w:tcW w:w="54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22.8</w:t>
            </w:r>
          </w:p>
        </w:tc>
        <w:tc>
          <w:tcPr>
            <w:tcW w:w="529"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27.5</w:t>
            </w:r>
          </w:p>
        </w:tc>
        <w:tc>
          <w:tcPr>
            <w:tcW w:w="486"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8.5%</w:t>
            </w:r>
          </w:p>
        </w:tc>
        <w:tc>
          <w:tcPr>
            <w:tcW w:w="392"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92.6</w:t>
            </w:r>
          </w:p>
        </w:tc>
        <w:tc>
          <w:tcPr>
            <w:tcW w:w="571"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95.1</w:t>
            </w:r>
          </w:p>
        </w:tc>
      </w:tr>
      <w:tr w:rsidR="00C20677" w:rsidRPr="00E50E4E" w:rsidTr="00C20677">
        <w:trPr>
          <w:trHeight w:val="300"/>
          <w:jc w:val="center"/>
        </w:trPr>
        <w:tc>
          <w:tcPr>
            <w:tcW w:w="529" w:type="pct"/>
            <w:tcBorders>
              <w:top w:val="nil"/>
              <w:left w:val="single" w:sz="4" w:space="0" w:color="auto"/>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9/11/2015</w:t>
            </w:r>
          </w:p>
        </w:tc>
        <w:tc>
          <w:tcPr>
            <w:tcW w:w="360"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Fri</w:t>
            </w:r>
          </w:p>
        </w:tc>
        <w:tc>
          <w:tcPr>
            <w:tcW w:w="48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1,208</w:t>
            </w:r>
          </w:p>
        </w:tc>
        <w:tc>
          <w:tcPr>
            <w:tcW w:w="552"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245.8</w:t>
            </w:r>
          </w:p>
        </w:tc>
        <w:tc>
          <w:tcPr>
            <w:tcW w:w="54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232.2</w:t>
            </w:r>
          </w:p>
        </w:tc>
        <w:tc>
          <w:tcPr>
            <w:tcW w:w="54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13.5</w:t>
            </w:r>
          </w:p>
        </w:tc>
        <w:tc>
          <w:tcPr>
            <w:tcW w:w="529"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16.4</w:t>
            </w:r>
          </w:p>
        </w:tc>
        <w:tc>
          <w:tcPr>
            <w:tcW w:w="486"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5.5%</w:t>
            </w:r>
          </w:p>
        </w:tc>
        <w:tc>
          <w:tcPr>
            <w:tcW w:w="392"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87.3</w:t>
            </w:r>
          </w:p>
        </w:tc>
        <w:tc>
          <w:tcPr>
            <w:tcW w:w="571"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sz w:val="18"/>
                <w:szCs w:val="18"/>
              </w:rPr>
            </w:pPr>
            <w:r w:rsidRPr="00C20677">
              <w:rPr>
                <w:sz w:val="18"/>
                <w:szCs w:val="18"/>
              </w:rPr>
              <w:t>89.7</w:t>
            </w:r>
          </w:p>
        </w:tc>
      </w:tr>
      <w:tr w:rsidR="00C20677" w:rsidRPr="00E50E4E" w:rsidTr="00C20677">
        <w:trPr>
          <w:trHeight w:val="300"/>
          <w:jc w:val="center"/>
        </w:trPr>
        <w:tc>
          <w:tcPr>
            <w:tcW w:w="888"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41E2F" w:rsidRPr="00C20677" w:rsidRDefault="00241E2F" w:rsidP="00336E76">
            <w:pPr>
              <w:jc w:val="center"/>
              <w:rPr>
                <w:b/>
                <w:bCs/>
                <w:sz w:val="18"/>
                <w:szCs w:val="18"/>
              </w:rPr>
            </w:pPr>
            <w:r w:rsidRPr="00C20677">
              <w:rPr>
                <w:b/>
                <w:bCs/>
                <w:sz w:val="18"/>
                <w:szCs w:val="18"/>
              </w:rPr>
              <w:t>Avg. Event</w:t>
            </w:r>
          </w:p>
        </w:tc>
        <w:tc>
          <w:tcPr>
            <w:tcW w:w="48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b/>
                <w:bCs/>
                <w:sz w:val="18"/>
                <w:szCs w:val="18"/>
              </w:rPr>
            </w:pPr>
            <w:r w:rsidRPr="00C20677">
              <w:rPr>
                <w:b/>
                <w:bCs/>
                <w:sz w:val="18"/>
                <w:szCs w:val="18"/>
              </w:rPr>
              <w:t>1,207</w:t>
            </w:r>
          </w:p>
        </w:tc>
        <w:tc>
          <w:tcPr>
            <w:tcW w:w="552"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b/>
                <w:bCs/>
                <w:sz w:val="18"/>
                <w:szCs w:val="18"/>
              </w:rPr>
            </w:pPr>
            <w:r w:rsidRPr="00C20677">
              <w:rPr>
                <w:b/>
                <w:bCs/>
                <w:sz w:val="18"/>
                <w:szCs w:val="18"/>
              </w:rPr>
              <w:t>253.1</w:t>
            </w:r>
          </w:p>
        </w:tc>
        <w:tc>
          <w:tcPr>
            <w:tcW w:w="54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b/>
                <w:bCs/>
                <w:sz w:val="18"/>
                <w:szCs w:val="18"/>
              </w:rPr>
            </w:pPr>
            <w:r w:rsidRPr="00C20677">
              <w:rPr>
                <w:b/>
                <w:bCs/>
                <w:sz w:val="18"/>
                <w:szCs w:val="18"/>
              </w:rPr>
              <w:t>232.1</w:t>
            </w:r>
          </w:p>
        </w:tc>
        <w:tc>
          <w:tcPr>
            <w:tcW w:w="547"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b/>
                <w:bCs/>
                <w:sz w:val="18"/>
                <w:szCs w:val="18"/>
              </w:rPr>
            </w:pPr>
            <w:r w:rsidRPr="00C20677">
              <w:rPr>
                <w:b/>
                <w:bCs/>
                <w:sz w:val="18"/>
                <w:szCs w:val="18"/>
              </w:rPr>
              <w:t>21.0</w:t>
            </w:r>
          </w:p>
        </w:tc>
        <w:tc>
          <w:tcPr>
            <w:tcW w:w="529"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b/>
                <w:bCs/>
                <w:sz w:val="18"/>
                <w:szCs w:val="18"/>
              </w:rPr>
            </w:pPr>
            <w:r w:rsidRPr="00C20677">
              <w:rPr>
                <w:b/>
                <w:bCs/>
                <w:sz w:val="18"/>
                <w:szCs w:val="18"/>
              </w:rPr>
              <w:t>25.3</w:t>
            </w:r>
          </w:p>
        </w:tc>
        <w:tc>
          <w:tcPr>
            <w:tcW w:w="486"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b/>
                <w:bCs/>
                <w:sz w:val="18"/>
                <w:szCs w:val="18"/>
              </w:rPr>
            </w:pPr>
            <w:r w:rsidRPr="00C20677">
              <w:rPr>
                <w:b/>
                <w:bCs/>
                <w:sz w:val="18"/>
                <w:szCs w:val="18"/>
              </w:rPr>
              <w:t>8.3%</w:t>
            </w:r>
          </w:p>
        </w:tc>
        <w:tc>
          <w:tcPr>
            <w:tcW w:w="392"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b/>
                <w:bCs/>
                <w:sz w:val="18"/>
                <w:szCs w:val="18"/>
              </w:rPr>
            </w:pPr>
            <w:r w:rsidRPr="00C20677">
              <w:rPr>
                <w:b/>
                <w:bCs/>
                <w:sz w:val="18"/>
                <w:szCs w:val="18"/>
              </w:rPr>
              <w:t>90.8</w:t>
            </w:r>
          </w:p>
        </w:tc>
        <w:tc>
          <w:tcPr>
            <w:tcW w:w="571" w:type="pct"/>
            <w:tcBorders>
              <w:top w:val="nil"/>
              <w:left w:val="nil"/>
              <w:bottom w:val="single" w:sz="4" w:space="0" w:color="auto"/>
              <w:right w:val="single" w:sz="4" w:space="0" w:color="auto"/>
            </w:tcBorders>
            <w:shd w:val="clear" w:color="auto" w:fill="auto"/>
            <w:noWrap/>
            <w:vAlign w:val="bottom"/>
            <w:hideMark/>
          </w:tcPr>
          <w:p w:rsidR="00241E2F" w:rsidRPr="00C20677" w:rsidRDefault="00241E2F" w:rsidP="00336E76">
            <w:pPr>
              <w:jc w:val="center"/>
              <w:rPr>
                <w:b/>
                <w:bCs/>
                <w:sz w:val="18"/>
                <w:szCs w:val="18"/>
              </w:rPr>
            </w:pPr>
            <w:r w:rsidRPr="00C20677">
              <w:rPr>
                <w:b/>
                <w:bCs/>
                <w:sz w:val="18"/>
                <w:szCs w:val="18"/>
              </w:rPr>
              <w:t>91.6</w:t>
            </w:r>
          </w:p>
        </w:tc>
      </w:tr>
    </w:tbl>
    <w:p w:rsidR="000E252D" w:rsidRPr="00EB389F" w:rsidRDefault="00ED7741" w:rsidP="00EB389F">
      <w:pPr>
        <w:pStyle w:val="Heading2"/>
        <w:spacing w:after="0" w:line="276" w:lineRule="auto"/>
        <w:rPr>
          <w:rFonts w:ascii="Times New Roman" w:hAnsi="Times New Roman" w:cs="Times New Roman"/>
        </w:rPr>
      </w:pPr>
      <w:r w:rsidRPr="00EB389F">
        <w:rPr>
          <w:rFonts w:ascii="Times New Roman" w:hAnsi="Times New Roman" w:cs="Times New Roman"/>
          <w:color w:val="008000"/>
        </w:rPr>
        <w:t xml:space="preserve"> </w:t>
      </w:r>
      <w:bookmarkStart w:id="91" w:name="_Toc447179785"/>
      <w:r w:rsidR="000E252D" w:rsidRPr="00EB389F">
        <w:rPr>
          <w:rFonts w:ascii="Times New Roman" w:hAnsi="Times New Roman" w:cs="Times New Roman"/>
        </w:rPr>
        <w:t xml:space="preserve">CPP-D Ex-Ante </w:t>
      </w:r>
      <w:r w:rsidR="001F1158">
        <w:rPr>
          <w:rFonts w:ascii="Times New Roman" w:hAnsi="Times New Roman" w:cs="Times New Roman"/>
        </w:rPr>
        <w:t>Evaluation</w:t>
      </w:r>
      <w:r w:rsidR="000E252D" w:rsidRPr="00EB389F">
        <w:rPr>
          <w:rFonts w:ascii="Times New Roman" w:hAnsi="Times New Roman" w:cs="Times New Roman"/>
        </w:rPr>
        <w:t xml:space="preserve"> </w:t>
      </w:r>
      <w:r w:rsidR="00852AD2">
        <w:rPr>
          <w:rFonts w:ascii="Times New Roman" w:hAnsi="Times New Roman" w:cs="Times New Roman"/>
        </w:rPr>
        <w:t>Methodology</w:t>
      </w:r>
      <w:bookmarkEnd w:id="91"/>
    </w:p>
    <w:p w:rsidR="00ED7741" w:rsidRPr="004B2046" w:rsidRDefault="00ED7741" w:rsidP="00EB389F">
      <w:pPr>
        <w:spacing w:line="276" w:lineRule="auto"/>
        <w:rPr>
          <w:color w:val="000000" w:themeColor="text1"/>
        </w:rPr>
      </w:pPr>
    </w:p>
    <w:p w:rsidR="0071612D" w:rsidRPr="008227A8" w:rsidRDefault="00693B2B" w:rsidP="00B073DC">
      <w:pPr>
        <w:pStyle w:val="BodyParagraph"/>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 xml:space="preserve">Ex ante impacts are designed to reflect demand reduction capabilities under a standard set of peak hours, 1 to 6 PM for the summer season, under both 1-in-2 and 1-in-10 weather conditions.  </w:t>
      </w:r>
    </w:p>
    <w:p w:rsidR="00693B2B" w:rsidRPr="008227A8" w:rsidRDefault="00693B2B" w:rsidP="00B073DC">
      <w:pPr>
        <w:pStyle w:val="BodyParagraph"/>
        <w:spacing w:after="0" w:line="276" w:lineRule="auto"/>
        <w:ind w:firstLine="360"/>
        <w:rPr>
          <w:rFonts w:ascii="Times New Roman" w:hAnsi="Times New Roman"/>
          <w:color w:val="000000" w:themeColor="text1"/>
          <w:sz w:val="24"/>
          <w:szCs w:val="24"/>
        </w:rPr>
      </w:pPr>
    </w:p>
    <w:p w:rsidR="00FA23F8" w:rsidRPr="008227A8" w:rsidRDefault="00693B2B" w:rsidP="00B073DC">
      <w:pPr>
        <w:pStyle w:val="BodyParagraph"/>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 xml:space="preserve">The process to estimate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load impacts differed for large C&amp;I customers (peak demands above 200 kW) and small/medium customers (peak demands between 20 and 200 kW).  </w:t>
      </w:r>
      <w:r w:rsidR="00FA23F8" w:rsidRPr="008227A8">
        <w:rPr>
          <w:rFonts w:ascii="Times New Roman" w:hAnsi="Times New Roman"/>
          <w:color w:val="000000" w:themeColor="text1"/>
          <w:sz w:val="24"/>
          <w:szCs w:val="24"/>
        </w:rPr>
        <w:t xml:space="preserve">For large customers, the </w:t>
      </w:r>
      <w:r w:rsidR="008C46A8" w:rsidRPr="008227A8">
        <w:rPr>
          <w:rFonts w:ascii="Times New Roman" w:hAnsi="Times New Roman"/>
          <w:color w:val="000000" w:themeColor="text1"/>
          <w:sz w:val="24"/>
          <w:szCs w:val="24"/>
        </w:rPr>
        <w:t>ex-ante</w:t>
      </w:r>
      <w:r w:rsidR="00FA23F8" w:rsidRPr="008227A8">
        <w:rPr>
          <w:rFonts w:ascii="Times New Roman" w:hAnsi="Times New Roman"/>
          <w:color w:val="000000" w:themeColor="text1"/>
          <w:sz w:val="24"/>
          <w:szCs w:val="24"/>
        </w:rPr>
        <w:t xml:space="preserve"> estimation process began by re-estimating </w:t>
      </w:r>
      <w:r w:rsidR="008C46A8" w:rsidRPr="008227A8">
        <w:rPr>
          <w:rFonts w:ascii="Times New Roman" w:hAnsi="Times New Roman"/>
          <w:color w:val="000000" w:themeColor="text1"/>
          <w:sz w:val="24"/>
          <w:szCs w:val="24"/>
        </w:rPr>
        <w:t>ex-post</w:t>
      </w:r>
      <w:r w:rsidR="00FA23F8" w:rsidRPr="008227A8">
        <w:rPr>
          <w:rFonts w:ascii="Times New Roman" w:hAnsi="Times New Roman"/>
          <w:color w:val="000000" w:themeColor="text1"/>
          <w:sz w:val="24"/>
          <w:szCs w:val="24"/>
        </w:rPr>
        <w:t xml:space="preserve"> load impacts for customers with data for all events, using the same estimation model.</w:t>
      </w:r>
      <w:r w:rsidRPr="008227A8">
        <w:rPr>
          <w:rFonts w:ascii="Times New Roman" w:hAnsi="Times New Roman"/>
          <w:color w:val="000000" w:themeColor="text1"/>
          <w:sz w:val="24"/>
          <w:szCs w:val="24"/>
        </w:rPr>
        <w:t xml:space="preserve"> </w:t>
      </w:r>
      <w:r w:rsidR="000B18DE" w:rsidRPr="008227A8">
        <w:rPr>
          <w:rFonts w:ascii="Times New Roman" w:hAnsi="Times New Roman"/>
          <w:color w:val="000000" w:themeColor="text1"/>
          <w:sz w:val="24"/>
          <w:szCs w:val="24"/>
        </w:rPr>
        <w:t>T</w:t>
      </w:r>
      <w:r w:rsidRPr="008227A8">
        <w:rPr>
          <w:rFonts w:ascii="Times New Roman" w:hAnsi="Times New Roman"/>
          <w:color w:val="000000" w:themeColor="text1"/>
          <w:sz w:val="24"/>
          <w:szCs w:val="24"/>
        </w:rPr>
        <w:t xml:space="preserve">hen modeled reference loads for 1-in-2 and 1-in-10 weather conditions.  Reference loads are estimated separately for the large and small/medium C&amp;I customer classes.  </w:t>
      </w:r>
      <w:r w:rsidR="00FA23F8" w:rsidRPr="008227A8">
        <w:rPr>
          <w:rFonts w:ascii="Times New Roman" w:hAnsi="Times New Roman"/>
          <w:color w:val="000000" w:themeColor="text1"/>
          <w:sz w:val="24"/>
          <w:szCs w:val="24"/>
        </w:rPr>
        <w:t xml:space="preserve">For the large C&amp;I customer class, hourly default CPP customer load, by LCA, is modeled as a function of temperature and month. For the small/medium C&amp;I customer class, hourly load for a representative sample of small/medium C&amp;I customers is modeled by LCA as a function of temperature and month.  Temperature is represented by daily average of the first 17 hours (mean17), which is used to capture heat buildup in the daylight hours. </w:t>
      </w:r>
    </w:p>
    <w:p w:rsidR="00FA23F8" w:rsidRPr="008227A8" w:rsidRDefault="00367162" w:rsidP="00B073DC">
      <w:pPr>
        <w:pStyle w:val="BodyParagraph"/>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 xml:space="preserve">The next step in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estimation is modeling the relationship of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load impacts to temperature conditions. This step is only performed for large customers. Load impacts from 2014 and 2015 for large persistent customers were modeled as a function of temperature for each LCA. Just as in the reference load modeling, temperature is represented by mean17, which is used to capture heat buildup in the daylight hours.</w:t>
      </w:r>
    </w:p>
    <w:p w:rsidR="00DB72AA" w:rsidRPr="004B2046" w:rsidRDefault="00DB72AA" w:rsidP="00B73C4A">
      <w:pPr>
        <w:pStyle w:val="Heading2"/>
        <w:spacing w:after="0" w:line="276" w:lineRule="auto"/>
        <w:rPr>
          <w:rFonts w:ascii="Times New Roman" w:hAnsi="Times New Roman" w:cs="Times New Roman"/>
          <w:color w:val="000000" w:themeColor="text1"/>
        </w:rPr>
      </w:pPr>
      <w:r w:rsidRPr="004B2046">
        <w:rPr>
          <w:rFonts w:ascii="Times New Roman" w:hAnsi="Times New Roman" w:cs="Times New Roman"/>
          <w:color w:val="000000" w:themeColor="text1"/>
        </w:rPr>
        <w:lastRenderedPageBreak/>
        <w:t xml:space="preserve"> </w:t>
      </w:r>
      <w:bookmarkStart w:id="92" w:name="_Toc447179786"/>
      <w:r w:rsidRPr="004B2046">
        <w:rPr>
          <w:rFonts w:ascii="Times New Roman" w:hAnsi="Times New Roman" w:cs="Times New Roman"/>
          <w:color w:val="000000" w:themeColor="text1"/>
        </w:rPr>
        <w:t>CPP-D Ex-Ante Load Impacts Estimates</w:t>
      </w:r>
      <w:bookmarkEnd w:id="92"/>
    </w:p>
    <w:p w:rsidR="00B73C4A" w:rsidRPr="004B2046" w:rsidRDefault="00B73C4A" w:rsidP="00B73C4A">
      <w:pPr>
        <w:pStyle w:val="BodyParagraph"/>
        <w:spacing w:after="0" w:line="276" w:lineRule="auto"/>
        <w:ind w:firstLine="360"/>
        <w:rPr>
          <w:rFonts w:ascii="Times New Roman" w:hAnsi="Times New Roman"/>
          <w:color w:val="000000" w:themeColor="text1"/>
          <w:sz w:val="24"/>
          <w:szCs w:val="24"/>
        </w:rPr>
      </w:pPr>
    </w:p>
    <w:p w:rsidR="005402EF" w:rsidRPr="008227A8" w:rsidRDefault="005402EF" w:rsidP="005402EF">
      <w:pPr>
        <w:pStyle w:val="BodyParagraph"/>
        <w:spacing w:after="0" w:line="276" w:lineRule="auto"/>
        <w:ind w:firstLine="360"/>
        <w:rPr>
          <w:rFonts w:ascii="Times New Roman" w:hAnsi="Times New Roman"/>
          <w:color w:val="000000" w:themeColor="text1"/>
          <w:sz w:val="24"/>
          <w:szCs w:val="24"/>
        </w:rPr>
      </w:pPr>
      <w:bookmarkStart w:id="93" w:name="_Toc350876899"/>
      <w:bookmarkStart w:id="94" w:name="_Toc351370133"/>
      <w:bookmarkStart w:id="95" w:name="_Toc351480983"/>
      <w:bookmarkStart w:id="96" w:name="_Toc351990572"/>
      <w:bookmarkStart w:id="97" w:name="_Toc352084149"/>
      <w:r w:rsidRPr="008227A8">
        <w:rPr>
          <w:rFonts w:ascii="Times New Roman" w:hAnsi="Times New Roman"/>
          <w:color w:val="000000" w:themeColor="text1"/>
          <w:sz w:val="24"/>
          <w:szCs w:val="24"/>
        </w:rPr>
        <w:t xml:space="preserve">This section presents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load impact estimates for SDG&amp;E's non-residential CPP tariff. As discussed in Section 3, the main purpose of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load impact estimates is to reflect the load reduction capability of a demand response resource under a standard set of conditions that align with system planning. These estimates are used in assessing alternatives for meeting peak demand, cost-effectiveness comparisons and long-term planning. The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impact estimates for SDG&amp;E are based on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load impacts of CPP events that occurred in 2014 and 2015. In total, load impact estimates 11 events were used as input to the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model. All load impact estimates presented here are incremental to the effects of the underlying TOU rates.</w:t>
      </w:r>
    </w:p>
    <w:p w:rsidR="005402EF" w:rsidRPr="008227A8" w:rsidRDefault="005402EF" w:rsidP="005402EF">
      <w:pPr>
        <w:pStyle w:val="BodyParagraph"/>
        <w:spacing w:after="0" w:line="276" w:lineRule="auto"/>
        <w:ind w:firstLine="360"/>
        <w:rPr>
          <w:rFonts w:ascii="Times New Roman" w:hAnsi="Times New Roman"/>
          <w:color w:val="000000" w:themeColor="text1"/>
          <w:sz w:val="24"/>
          <w:szCs w:val="24"/>
        </w:rPr>
      </w:pPr>
    </w:p>
    <w:p w:rsidR="00B84C76" w:rsidRPr="008227A8" w:rsidRDefault="00B84C76" w:rsidP="005402EF">
      <w:pPr>
        <w:pStyle w:val="Heading3"/>
        <w:spacing w:after="0" w:line="276" w:lineRule="auto"/>
        <w:ind w:left="360" w:hanging="360"/>
        <w:rPr>
          <w:rFonts w:ascii="Times New Roman" w:hAnsi="Times New Roman" w:cs="Times New Roman"/>
          <w:color w:val="000000" w:themeColor="text1"/>
          <w:lang w:val="fr-FR"/>
        </w:rPr>
      </w:pPr>
      <w:bookmarkStart w:id="98" w:name="_Toc447179787"/>
      <w:r w:rsidRPr="008227A8">
        <w:rPr>
          <w:rFonts w:ascii="Times New Roman" w:hAnsi="Times New Roman" w:cs="Times New Roman"/>
          <w:color w:val="000000" w:themeColor="text1"/>
          <w:lang w:val="fr-FR"/>
        </w:rPr>
        <w:t xml:space="preserve">Large C&amp;I </w:t>
      </w:r>
      <w:r w:rsidR="0015465A" w:rsidRPr="008227A8">
        <w:rPr>
          <w:rFonts w:ascii="Times New Roman" w:hAnsi="Times New Roman" w:cs="Times New Roman"/>
          <w:color w:val="000000" w:themeColor="text1"/>
          <w:lang w:val="fr-FR"/>
        </w:rPr>
        <w:t>Ex-</w:t>
      </w:r>
      <w:r w:rsidR="0092514F" w:rsidRPr="008227A8">
        <w:rPr>
          <w:rFonts w:ascii="Times New Roman" w:hAnsi="Times New Roman" w:cs="Times New Roman"/>
          <w:color w:val="000000" w:themeColor="text1"/>
          <w:lang w:val="fr-FR"/>
        </w:rPr>
        <w:t>A</w:t>
      </w:r>
      <w:r w:rsidR="0015465A" w:rsidRPr="008227A8">
        <w:rPr>
          <w:rFonts w:ascii="Times New Roman" w:hAnsi="Times New Roman" w:cs="Times New Roman"/>
          <w:color w:val="000000" w:themeColor="text1"/>
          <w:lang w:val="fr-FR"/>
        </w:rPr>
        <w:t>nte</w:t>
      </w:r>
      <w:r w:rsidRPr="008227A8">
        <w:rPr>
          <w:rFonts w:ascii="Times New Roman" w:hAnsi="Times New Roman" w:cs="Times New Roman"/>
          <w:color w:val="000000" w:themeColor="text1"/>
          <w:lang w:val="fr-FR"/>
        </w:rPr>
        <w:t xml:space="preserve"> Impacts</w:t>
      </w:r>
      <w:bookmarkEnd w:id="93"/>
      <w:bookmarkEnd w:id="94"/>
      <w:bookmarkEnd w:id="95"/>
      <w:bookmarkEnd w:id="96"/>
      <w:bookmarkEnd w:id="97"/>
      <w:bookmarkEnd w:id="98"/>
    </w:p>
    <w:p w:rsidR="004855B6" w:rsidRPr="008227A8" w:rsidRDefault="004855B6" w:rsidP="00EB389F">
      <w:pPr>
        <w:pStyle w:val="BodyParagraph"/>
        <w:spacing w:after="0" w:line="276" w:lineRule="auto"/>
        <w:ind w:firstLine="720"/>
        <w:rPr>
          <w:rFonts w:ascii="Times New Roman" w:hAnsi="Times New Roman"/>
          <w:color w:val="000000" w:themeColor="text1"/>
          <w:sz w:val="24"/>
          <w:szCs w:val="24"/>
          <w:lang w:val="fr-FR"/>
        </w:rPr>
      </w:pPr>
    </w:p>
    <w:p w:rsidR="00DD6A09" w:rsidRPr="008227A8" w:rsidRDefault="005402EF" w:rsidP="00DD6A09">
      <w:pPr>
        <w:pStyle w:val="BodyParagraph"/>
        <w:spacing w:after="0" w:line="276" w:lineRule="auto"/>
        <w:ind w:firstLine="360"/>
        <w:rPr>
          <w:rFonts w:ascii="Times New Roman" w:hAnsi="Times New Roman"/>
          <w:color w:val="000000" w:themeColor="text1"/>
          <w:sz w:val="24"/>
          <w:szCs w:val="24"/>
        </w:rPr>
      </w:pPr>
      <w:bookmarkStart w:id="99" w:name="_Toc350876903"/>
      <w:bookmarkStart w:id="100" w:name="_Toc351370134"/>
      <w:bookmarkStart w:id="101" w:name="_Toc351480984"/>
      <w:r w:rsidRPr="008227A8">
        <w:rPr>
          <w:rFonts w:ascii="Times New Roman" w:hAnsi="Times New Roman"/>
          <w:color w:val="000000" w:themeColor="text1"/>
          <w:sz w:val="24"/>
          <w:szCs w:val="24"/>
        </w:rPr>
        <w:t xml:space="preserve">The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load impact estimates for large C&amp;I customers are based on a regression model that relates impacts to weather conditions using the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impacts and weather data for 2014 and 2015 to estimate model coefficients. </w:t>
      </w:r>
    </w:p>
    <w:p w:rsidR="005402EF" w:rsidRPr="008227A8" w:rsidRDefault="005402EF" w:rsidP="005402EF">
      <w:pPr>
        <w:pStyle w:val="BodyParagraph"/>
        <w:spacing w:after="0" w:line="276" w:lineRule="auto"/>
        <w:ind w:firstLine="360"/>
        <w:rPr>
          <w:rFonts w:ascii="Times New Roman" w:hAnsi="Times New Roman"/>
          <w:color w:val="000000" w:themeColor="text1"/>
          <w:sz w:val="24"/>
          <w:szCs w:val="24"/>
        </w:rPr>
      </w:pPr>
      <w:r w:rsidRPr="00826B23">
        <w:rPr>
          <w:rFonts w:ascii="Times New Roman" w:hAnsi="Times New Roman"/>
          <w:color w:val="000000" w:themeColor="text1"/>
          <w:sz w:val="22"/>
        </w:rPr>
        <w:t>Table 3-</w:t>
      </w:r>
      <w:r w:rsidR="0024252A">
        <w:rPr>
          <w:rFonts w:ascii="Times New Roman" w:hAnsi="Times New Roman"/>
          <w:color w:val="000000" w:themeColor="text1"/>
          <w:sz w:val="22"/>
        </w:rPr>
        <w:t>2</w:t>
      </w:r>
      <w:r w:rsidRPr="008227A8">
        <w:rPr>
          <w:rFonts w:ascii="Times New Roman" w:hAnsi="Times New Roman"/>
          <w:color w:val="000000" w:themeColor="text1"/>
          <w:sz w:val="24"/>
          <w:szCs w:val="24"/>
        </w:rPr>
        <w:t xml:space="preserve"> shows SDG&amp;E’s enrollment projections for large C&amp;I CPP customers through 2026. Overall, 1,207 large customers were enrolled in default CPP in 2015.</w:t>
      </w:r>
      <w:r w:rsidRPr="008227A8">
        <w:rPr>
          <w:rStyle w:val="FootnoteReference"/>
          <w:rFonts w:ascii="Times New Roman" w:hAnsi="Times New Roman"/>
          <w:color w:val="000000" w:themeColor="text1"/>
          <w:sz w:val="24"/>
          <w:szCs w:val="24"/>
        </w:rPr>
        <w:footnoteReference w:id="9"/>
      </w:r>
      <w:r w:rsidRPr="008227A8">
        <w:rPr>
          <w:rFonts w:ascii="Times New Roman" w:hAnsi="Times New Roman"/>
          <w:color w:val="000000" w:themeColor="text1"/>
          <w:sz w:val="24"/>
          <w:szCs w:val="24"/>
        </w:rPr>
        <w:t xml:space="preserve"> The forecasted year-to-year change in enrollment is a gradual increase which simply reflects the expected growth of SDG&amp;E’s large customer population. </w:t>
      </w:r>
    </w:p>
    <w:p w:rsidR="005402EF" w:rsidRPr="005402EF" w:rsidRDefault="005402EF" w:rsidP="005402EF">
      <w:pPr>
        <w:pStyle w:val="BodyParagraph"/>
        <w:spacing w:after="0" w:line="276" w:lineRule="auto"/>
        <w:ind w:firstLine="360"/>
        <w:rPr>
          <w:rFonts w:ascii="Times New Roman" w:hAnsi="Times New Roman"/>
          <w:sz w:val="24"/>
          <w:szCs w:val="24"/>
        </w:rPr>
      </w:pPr>
    </w:p>
    <w:p w:rsidR="005402EF" w:rsidRDefault="005402EF" w:rsidP="00C20677">
      <w:pPr>
        <w:pStyle w:val="TableFigureCaption"/>
        <w:rPr>
          <w:rFonts w:ascii="Times New Roman" w:hAnsi="Times New Roman"/>
        </w:rPr>
      </w:pPr>
      <w:r w:rsidRPr="005402EF">
        <w:rPr>
          <w:rFonts w:ascii="Times New Roman" w:hAnsi="Times New Roman"/>
        </w:rPr>
        <w:t xml:space="preserve">Table </w:t>
      </w:r>
      <w:r>
        <w:rPr>
          <w:rFonts w:ascii="Times New Roman" w:hAnsi="Times New Roman"/>
        </w:rPr>
        <w:t>3</w:t>
      </w:r>
      <w:r w:rsidRPr="005402EF">
        <w:rPr>
          <w:rFonts w:ascii="Times New Roman" w:hAnsi="Times New Roman"/>
        </w:rPr>
        <w:t>-</w:t>
      </w:r>
      <w:r w:rsidR="0024252A">
        <w:rPr>
          <w:rFonts w:ascii="Times New Roman" w:hAnsi="Times New Roman"/>
        </w:rPr>
        <w:t>2</w:t>
      </w:r>
      <w:r w:rsidRPr="005402EF">
        <w:rPr>
          <w:rFonts w:ascii="Times New Roman" w:hAnsi="Times New Roman"/>
        </w:rPr>
        <w:t>: SDG&amp;E Enrollment Projections for Large C&amp;I CPP Customers</w:t>
      </w:r>
      <w:r>
        <w:rPr>
          <w:rFonts w:ascii="Times New Roman" w:hAnsi="Times New Roman"/>
        </w:rPr>
        <w:t xml:space="preserve"> </w:t>
      </w:r>
      <w:r w:rsidRPr="005402EF">
        <w:rPr>
          <w:rFonts w:ascii="Times New Roman" w:hAnsi="Times New Roman"/>
        </w:rPr>
        <w:t xml:space="preserve">by </w:t>
      </w:r>
    </w:p>
    <w:p w:rsidR="005402EF" w:rsidRPr="005402EF" w:rsidRDefault="005402EF" w:rsidP="00C20677">
      <w:pPr>
        <w:pStyle w:val="TableFigureCaption"/>
        <w:rPr>
          <w:rFonts w:ascii="Times New Roman" w:hAnsi="Times New Roman"/>
        </w:rPr>
      </w:pPr>
      <w:r w:rsidRPr="005402EF">
        <w:rPr>
          <w:rFonts w:ascii="Times New Roman" w:hAnsi="Times New Roman"/>
        </w:rPr>
        <w:t>Forecast Year and Month</w:t>
      </w:r>
    </w:p>
    <w:tbl>
      <w:tblPr>
        <w:tblW w:w="8901" w:type="dxa"/>
        <w:jc w:val="center"/>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14"/>
        <w:gridCol w:w="652"/>
        <w:gridCol w:w="666"/>
        <w:gridCol w:w="744"/>
        <w:gridCol w:w="666"/>
        <w:gridCol w:w="666"/>
        <w:gridCol w:w="666"/>
        <w:gridCol w:w="666"/>
        <w:gridCol w:w="666"/>
        <w:gridCol w:w="687"/>
        <w:gridCol w:w="666"/>
        <w:gridCol w:w="666"/>
        <w:gridCol w:w="666"/>
      </w:tblGrid>
      <w:tr w:rsidR="005402EF" w:rsidRPr="00A5660A" w:rsidTr="00C20677">
        <w:trPr>
          <w:trHeight w:val="359"/>
          <w:jc w:val="center"/>
        </w:trPr>
        <w:tc>
          <w:tcPr>
            <w:tcW w:w="827" w:type="dxa"/>
            <w:gridSpan w:val="2"/>
            <w:shd w:val="clear" w:color="000000" w:fill="002060"/>
            <w:noWrap/>
            <w:vAlign w:val="center"/>
            <w:hideMark/>
          </w:tcPr>
          <w:p w:rsidR="005402EF" w:rsidRPr="005402EF" w:rsidRDefault="005402EF" w:rsidP="00336E76">
            <w:pPr>
              <w:jc w:val="center"/>
              <w:rPr>
                <w:b/>
                <w:bCs/>
                <w:color w:val="FFFFFF"/>
                <w:sz w:val="20"/>
                <w:szCs w:val="20"/>
              </w:rPr>
            </w:pPr>
            <w:r w:rsidRPr="005402EF">
              <w:rPr>
                <w:b/>
                <w:bCs/>
                <w:color w:val="FFFFFF"/>
                <w:sz w:val="20"/>
                <w:szCs w:val="20"/>
              </w:rPr>
              <w:t>Year</w:t>
            </w:r>
          </w:p>
        </w:tc>
        <w:tc>
          <w:tcPr>
            <w:tcW w:w="652" w:type="dxa"/>
            <w:shd w:val="clear" w:color="000000" w:fill="002060"/>
            <w:noWrap/>
            <w:vAlign w:val="center"/>
            <w:hideMark/>
          </w:tcPr>
          <w:p w:rsidR="005402EF" w:rsidRPr="005402EF" w:rsidRDefault="005402EF" w:rsidP="00336E76">
            <w:pPr>
              <w:jc w:val="center"/>
              <w:rPr>
                <w:b/>
                <w:bCs/>
                <w:color w:val="FFFFFF"/>
                <w:sz w:val="20"/>
                <w:szCs w:val="20"/>
              </w:rPr>
            </w:pPr>
            <w:r w:rsidRPr="005402EF">
              <w:rPr>
                <w:b/>
                <w:bCs/>
                <w:color w:val="FFFFFF"/>
                <w:sz w:val="20"/>
                <w:szCs w:val="20"/>
              </w:rPr>
              <w:t>Jan.</w:t>
            </w:r>
          </w:p>
        </w:tc>
        <w:tc>
          <w:tcPr>
            <w:tcW w:w="666" w:type="dxa"/>
            <w:shd w:val="clear" w:color="000000" w:fill="002060"/>
            <w:noWrap/>
            <w:vAlign w:val="center"/>
            <w:hideMark/>
          </w:tcPr>
          <w:p w:rsidR="005402EF" w:rsidRPr="005402EF" w:rsidRDefault="005402EF" w:rsidP="00336E76">
            <w:pPr>
              <w:jc w:val="center"/>
              <w:rPr>
                <w:b/>
                <w:bCs/>
                <w:color w:val="FFFFFF"/>
                <w:sz w:val="20"/>
                <w:szCs w:val="20"/>
              </w:rPr>
            </w:pPr>
            <w:r w:rsidRPr="005402EF">
              <w:rPr>
                <w:b/>
                <w:bCs/>
                <w:color w:val="FFFFFF"/>
                <w:sz w:val="20"/>
                <w:szCs w:val="20"/>
              </w:rPr>
              <w:t>Feb.</w:t>
            </w:r>
          </w:p>
        </w:tc>
        <w:tc>
          <w:tcPr>
            <w:tcW w:w="744" w:type="dxa"/>
            <w:shd w:val="clear" w:color="000000" w:fill="002060"/>
            <w:noWrap/>
            <w:vAlign w:val="center"/>
            <w:hideMark/>
          </w:tcPr>
          <w:p w:rsidR="005402EF" w:rsidRPr="005402EF" w:rsidRDefault="005402EF" w:rsidP="00336E76">
            <w:pPr>
              <w:jc w:val="center"/>
              <w:rPr>
                <w:b/>
                <w:bCs/>
                <w:color w:val="FFFFFF"/>
                <w:sz w:val="20"/>
                <w:szCs w:val="20"/>
              </w:rPr>
            </w:pPr>
            <w:r w:rsidRPr="005402EF">
              <w:rPr>
                <w:b/>
                <w:bCs/>
                <w:color w:val="FFFFFF"/>
                <w:sz w:val="20"/>
                <w:szCs w:val="20"/>
              </w:rPr>
              <w:t>Mar.</w:t>
            </w:r>
          </w:p>
        </w:tc>
        <w:tc>
          <w:tcPr>
            <w:tcW w:w="666" w:type="dxa"/>
            <w:shd w:val="clear" w:color="000000" w:fill="002060"/>
            <w:noWrap/>
            <w:vAlign w:val="center"/>
            <w:hideMark/>
          </w:tcPr>
          <w:p w:rsidR="005402EF" w:rsidRPr="005402EF" w:rsidRDefault="005402EF" w:rsidP="00336E76">
            <w:pPr>
              <w:jc w:val="center"/>
              <w:rPr>
                <w:b/>
                <w:bCs/>
                <w:color w:val="FFFFFF"/>
                <w:sz w:val="20"/>
                <w:szCs w:val="20"/>
              </w:rPr>
            </w:pPr>
            <w:r w:rsidRPr="005402EF">
              <w:rPr>
                <w:b/>
                <w:bCs/>
                <w:color w:val="FFFFFF"/>
                <w:sz w:val="20"/>
                <w:szCs w:val="20"/>
              </w:rPr>
              <w:t>Apr.</w:t>
            </w:r>
          </w:p>
        </w:tc>
        <w:tc>
          <w:tcPr>
            <w:tcW w:w="666" w:type="dxa"/>
            <w:shd w:val="clear" w:color="000000" w:fill="002060"/>
            <w:noWrap/>
            <w:vAlign w:val="center"/>
            <w:hideMark/>
          </w:tcPr>
          <w:p w:rsidR="005402EF" w:rsidRPr="005402EF" w:rsidRDefault="005402EF" w:rsidP="00336E76">
            <w:pPr>
              <w:jc w:val="center"/>
              <w:rPr>
                <w:b/>
                <w:bCs/>
                <w:color w:val="FFFFFF"/>
                <w:sz w:val="20"/>
                <w:szCs w:val="20"/>
              </w:rPr>
            </w:pPr>
            <w:r w:rsidRPr="005402EF">
              <w:rPr>
                <w:b/>
                <w:bCs/>
                <w:color w:val="FFFFFF"/>
                <w:sz w:val="20"/>
                <w:szCs w:val="20"/>
              </w:rPr>
              <w:t>May</w:t>
            </w:r>
          </w:p>
        </w:tc>
        <w:tc>
          <w:tcPr>
            <w:tcW w:w="666" w:type="dxa"/>
            <w:shd w:val="clear" w:color="000000" w:fill="002060"/>
            <w:noWrap/>
            <w:vAlign w:val="center"/>
            <w:hideMark/>
          </w:tcPr>
          <w:p w:rsidR="005402EF" w:rsidRPr="005402EF" w:rsidRDefault="005402EF" w:rsidP="00336E76">
            <w:pPr>
              <w:jc w:val="center"/>
              <w:rPr>
                <w:b/>
                <w:bCs/>
                <w:color w:val="FFFFFF"/>
                <w:sz w:val="20"/>
                <w:szCs w:val="20"/>
              </w:rPr>
            </w:pPr>
            <w:r w:rsidRPr="005402EF">
              <w:rPr>
                <w:b/>
                <w:bCs/>
                <w:color w:val="FFFFFF"/>
                <w:sz w:val="20"/>
                <w:szCs w:val="20"/>
              </w:rPr>
              <w:t>Jun.</w:t>
            </w:r>
          </w:p>
        </w:tc>
        <w:tc>
          <w:tcPr>
            <w:tcW w:w="666" w:type="dxa"/>
            <w:shd w:val="clear" w:color="000000" w:fill="002060"/>
            <w:noWrap/>
            <w:vAlign w:val="center"/>
            <w:hideMark/>
          </w:tcPr>
          <w:p w:rsidR="005402EF" w:rsidRPr="005402EF" w:rsidRDefault="005402EF" w:rsidP="00336E76">
            <w:pPr>
              <w:jc w:val="center"/>
              <w:rPr>
                <w:b/>
                <w:bCs/>
                <w:color w:val="FFFFFF"/>
                <w:sz w:val="20"/>
                <w:szCs w:val="20"/>
              </w:rPr>
            </w:pPr>
            <w:r w:rsidRPr="005402EF">
              <w:rPr>
                <w:b/>
                <w:bCs/>
                <w:color w:val="FFFFFF"/>
                <w:sz w:val="20"/>
                <w:szCs w:val="20"/>
              </w:rPr>
              <w:t>Jul.</w:t>
            </w:r>
          </w:p>
        </w:tc>
        <w:tc>
          <w:tcPr>
            <w:tcW w:w="666" w:type="dxa"/>
            <w:shd w:val="clear" w:color="000000" w:fill="002060"/>
            <w:noWrap/>
            <w:vAlign w:val="center"/>
            <w:hideMark/>
          </w:tcPr>
          <w:p w:rsidR="005402EF" w:rsidRPr="005402EF" w:rsidRDefault="005402EF" w:rsidP="00336E76">
            <w:pPr>
              <w:jc w:val="center"/>
              <w:rPr>
                <w:b/>
                <w:bCs/>
                <w:color w:val="FFFFFF"/>
                <w:sz w:val="20"/>
                <w:szCs w:val="20"/>
              </w:rPr>
            </w:pPr>
            <w:r w:rsidRPr="005402EF">
              <w:rPr>
                <w:b/>
                <w:bCs/>
                <w:color w:val="FFFFFF"/>
                <w:sz w:val="20"/>
                <w:szCs w:val="20"/>
              </w:rPr>
              <w:t>Aug.</w:t>
            </w:r>
          </w:p>
        </w:tc>
        <w:tc>
          <w:tcPr>
            <w:tcW w:w="687" w:type="dxa"/>
            <w:shd w:val="clear" w:color="000000" w:fill="002060"/>
            <w:noWrap/>
            <w:vAlign w:val="center"/>
            <w:hideMark/>
          </w:tcPr>
          <w:p w:rsidR="005402EF" w:rsidRPr="005402EF" w:rsidRDefault="005402EF" w:rsidP="00336E76">
            <w:pPr>
              <w:jc w:val="center"/>
              <w:rPr>
                <w:b/>
                <w:bCs/>
                <w:color w:val="FFFFFF"/>
                <w:sz w:val="20"/>
                <w:szCs w:val="20"/>
              </w:rPr>
            </w:pPr>
            <w:r w:rsidRPr="005402EF">
              <w:rPr>
                <w:b/>
                <w:bCs/>
                <w:color w:val="FFFFFF"/>
                <w:sz w:val="20"/>
                <w:szCs w:val="20"/>
              </w:rPr>
              <w:t>Sep.</w:t>
            </w:r>
          </w:p>
        </w:tc>
        <w:tc>
          <w:tcPr>
            <w:tcW w:w="666" w:type="dxa"/>
            <w:shd w:val="clear" w:color="000000" w:fill="002060"/>
            <w:noWrap/>
            <w:vAlign w:val="center"/>
            <w:hideMark/>
          </w:tcPr>
          <w:p w:rsidR="005402EF" w:rsidRPr="005402EF" w:rsidRDefault="005402EF" w:rsidP="00336E76">
            <w:pPr>
              <w:jc w:val="center"/>
              <w:rPr>
                <w:b/>
                <w:bCs/>
                <w:color w:val="FFFFFF"/>
                <w:sz w:val="20"/>
                <w:szCs w:val="20"/>
              </w:rPr>
            </w:pPr>
            <w:r w:rsidRPr="005402EF">
              <w:rPr>
                <w:b/>
                <w:bCs/>
                <w:color w:val="FFFFFF"/>
                <w:sz w:val="20"/>
                <w:szCs w:val="20"/>
              </w:rPr>
              <w:t>Oct.</w:t>
            </w:r>
          </w:p>
        </w:tc>
        <w:tc>
          <w:tcPr>
            <w:tcW w:w="666" w:type="dxa"/>
            <w:shd w:val="clear" w:color="000000" w:fill="002060"/>
            <w:noWrap/>
            <w:vAlign w:val="center"/>
            <w:hideMark/>
          </w:tcPr>
          <w:p w:rsidR="005402EF" w:rsidRPr="005402EF" w:rsidRDefault="005402EF" w:rsidP="00336E76">
            <w:pPr>
              <w:jc w:val="center"/>
              <w:rPr>
                <w:b/>
                <w:bCs/>
                <w:color w:val="FFFFFF"/>
                <w:sz w:val="20"/>
                <w:szCs w:val="20"/>
              </w:rPr>
            </w:pPr>
            <w:r w:rsidRPr="005402EF">
              <w:rPr>
                <w:b/>
                <w:bCs/>
                <w:color w:val="FFFFFF"/>
                <w:sz w:val="20"/>
                <w:szCs w:val="20"/>
              </w:rPr>
              <w:t>Nov.</w:t>
            </w:r>
          </w:p>
        </w:tc>
        <w:tc>
          <w:tcPr>
            <w:tcW w:w="663" w:type="dxa"/>
            <w:shd w:val="clear" w:color="000000" w:fill="002060"/>
            <w:noWrap/>
            <w:vAlign w:val="center"/>
            <w:hideMark/>
          </w:tcPr>
          <w:p w:rsidR="005402EF" w:rsidRPr="005402EF" w:rsidRDefault="005402EF" w:rsidP="00336E76">
            <w:pPr>
              <w:jc w:val="center"/>
              <w:rPr>
                <w:b/>
                <w:bCs/>
                <w:color w:val="FFFFFF"/>
                <w:sz w:val="20"/>
                <w:szCs w:val="20"/>
              </w:rPr>
            </w:pPr>
            <w:r w:rsidRPr="005402EF">
              <w:rPr>
                <w:b/>
                <w:bCs/>
                <w:color w:val="FFFFFF"/>
                <w:sz w:val="20"/>
                <w:szCs w:val="20"/>
              </w:rPr>
              <w:t>Dec.</w:t>
            </w:r>
          </w:p>
        </w:tc>
      </w:tr>
      <w:tr w:rsidR="005402EF" w:rsidRPr="00A5660A" w:rsidTr="00C20677">
        <w:trPr>
          <w:trHeight w:val="359"/>
          <w:jc w:val="center"/>
        </w:trPr>
        <w:tc>
          <w:tcPr>
            <w:tcW w:w="813" w:type="dxa"/>
            <w:shd w:val="clear" w:color="auto" w:fill="auto"/>
            <w:noWrap/>
            <w:vAlign w:val="center"/>
            <w:hideMark/>
          </w:tcPr>
          <w:p w:rsidR="005402EF" w:rsidRPr="005402EF" w:rsidRDefault="005402EF" w:rsidP="00336E76">
            <w:pPr>
              <w:contextualSpacing/>
              <w:jc w:val="center"/>
              <w:rPr>
                <w:bCs/>
                <w:sz w:val="20"/>
                <w:szCs w:val="20"/>
              </w:rPr>
            </w:pPr>
            <w:r w:rsidRPr="005402EF">
              <w:rPr>
                <w:bCs/>
                <w:sz w:val="20"/>
                <w:szCs w:val="20"/>
              </w:rPr>
              <w:t>2016</w:t>
            </w:r>
          </w:p>
        </w:tc>
        <w:tc>
          <w:tcPr>
            <w:tcW w:w="666" w:type="dxa"/>
            <w:gridSpan w:val="2"/>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1,263</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1,264</w:t>
            </w:r>
          </w:p>
        </w:tc>
        <w:tc>
          <w:tcPr>
            <w:tcW w:w="744"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1,265</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1,266</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1,267</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1,268</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1,270</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1,271</w:t>
            </w:r>
          </w:p>
        </w:tc>
        <w:tc>
          <w:tcPr>
            <w:tcW w:w="687"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1,272</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1,273</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1,274</w:t>
            </w:r>
          </w:p>
        </w:tc>
        <w:tc>
          <w:tcPr>
            <w:tcW w:w="663"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1,275</w:t>
            </w:r>
          </w:p>
        </w:tc>
      </w:tr>
      <w:tr w:rsidR="005402EF" w:rsidRPr="00A5660A" w:rsidTr="00C20677">
        <w:trPr>
          <w:trHeight w:val="359"/>
          <w:jc w:val="center"/>
        </w:trPr>
        <w:tc>
          <w:tcPr>
            <w:tcW w:w="813" w:type="dxa"/>
            <w:shd w:val="clear" w:color="auto" w:fill="auto"/>
            <w:noWrap/>
            <w:vAlign w:val="center"/>
            <w:hideMark/>
          </w:tcPr>
          <w:p w:rsidR="005402EF" w:rsidRPr="005402EF" w:rsidRDefault="005402EF" w:rsidP="00336E76">
            <w:pPr>
              <w:contextualSpacing/>
              <w:jc w:val="center"/>
              <w:rPr>
                <w:bCs/>
                <w:sz w:val="20"/>
                <w:szCs w:val="20"/>
              </w:rPr>
            </w:pPr>
            <w:r w:rsidRPr="005402EF">
              <w:rPr>
                <w:bCs/>
                <w:sz w:val="20"/>
                <w:szCs w:val="20"/>
              </w:rPr>
              <w:t>2017</w:t>
            </w:r>
          </w:p>
        </w:tc>
        <w:tc>
          <w:tcPr>
            <w:tcW w:w="666" w:type="dxa"/>
            <w:gridSpan w:val="2"/>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1,276</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1,277</w:t>
            </w:r>
          </w:p>
        </w:tc>
        <w:tc>
          <w:tcPr>
            <w:tcW w:w="744"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1,278</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1,278</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1,279</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1,280</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1,281</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1,282</w:t>
            </w:r>
          </w:p>
        </w:tc>
        <w:tc>
          <w:tcPr>
            <w:tcW w:w="687"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1,283</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1,283</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1,284</w:t>
            </w:r>
          </w:p>
        </w:tc>
        <w:tc>
          <w:tcPr>
            <w:tcW w:w="663"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1,285</w:t>
            </w:r>
          </w:p>
        </w:tc>
      </w:tr>
      <w:tr w:rsidR="005402EF" w:rsidRPr="00A5660A" w:rsidTr="00C20677">
        <w:trPr>
          <w:trHeight w:val="359"/>
          <w:jc w:val="center"/>
        </w:trPr>
        <w:tc>
          <w:tcPr>
            <w:tcW w:w="813" w:type="dxa"/>
            <w:shd w:val="clear" w:color="auto" w:fill="auto"/>
            <w:noWrap/>
            <w:vAlign w:val="center"/>
            <w:hideMark/>
          </w:tcPr>
          <w:p w:rsidR="005402EF" w:rsidRPr="005402EF" w:rsidRDefault="005402EF" w:rsidP="00336E76">
            <w:pPr>
              <w:contextualSpacing/>
              <w:jc w:val="center"/>
              <w:rPr>
                <w:bCs/>
                <w:sz w:val="20"/>
                <w:szCs w:val="20"/>
              </w:rPr>
            </w:pPr>
            <w:r w:rsidRPr="005402EF">
              <w:rPr>
                <w:bCs/>
                <w:sz w:val="20"/>
                <w:szCs w:val="20"/>
              </w:rPr>
              <w:t>2018</w:t>
            </w:r>
          </w:p>
        </w:tc>
        <w:tc>
          <w:tcPr>
            <w:tcW w:w="666" w:type="dxa"/>
            <w:gridSpan w:val="2"/>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1,286</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1,288</w:t>
            </w:r>
          </w:p>
        </w:tc>
        <w:tc>
          <w:tcPr>
            <w:tcW w:w="744"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1,289</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1,290</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1,291</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1,293</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1,294</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1,295</w:t>
            </w:r>
          </w:p>
        </w:tc>
        <w:tc>
          <w:tcPr>
            <w:tcW w:w="687"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1,296</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1,298</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1,299</w:t>
            </w:r>
          </w:p>
        </w:tc>
        <w:tc>
          <w:tcPr>
            <w:tcW w:w="663"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1,300</w:t>
            </w:r>
          </w:p>
        </w:tc>
      </w:tr>
      <w:tr w:rsidR="005402EF" w:rsidRPr="00A5660A" w:rsidTr="00C20677">
        <w:trPr>
          <w:trHeight w:val="359"/>
          <w:jc w:val="center"/>
        </w:trPr>
        <w:tc>
          <w:tcPr>
            <w:tcW w:w="813" w:type="dxa"/>
            <w:shd w:val="clear" w:color="auto" w:fill="auto"/>
            <w:noWrap/>
            <w:vAlign w:val="center"/>
            <w:hideMark/>
          </w:tcPr>
          <w:p w:rsidR="005402EF" w:rsidRPr="005402EF" w:rsidRDefault="005402EF" w:rsidP="00336E76">
            <w:pPr>
              <w:contextualSpacing/>
              <w:jc w:val="center"/>
              <w:rPr>
                <w:bCs/>
                <w:sz w:val="20"/>
                <w:szCs w:val="20"/>
              </w:rPr>
            </w:pPr>
            <w:r w:rsidRPr="005402EF">
              <w:rPr>
                <w:bCs/>
                <w:sz w:val="20"/>
                <w:szCs w:val="20"/>
              </w:rPr>
              <w:t>2019</w:t>
            </w:r>
          </w:p>
        </w:tc>
        <w:tc>
          <w:tcPr>
            <w:tcW w:w="666" w:type="dxa"/>
            <w:gridSpan w:val="2"/>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1,301</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1,303</w:t>
            </w:r>
          </w:p>
        </w:tc>
        <w:tc>
          <w:tcPr>
            <w:tcW w:w="744"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1,304</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1,305</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1,307</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1,308</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1,310</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1,311</w:t>
            </w:r>
          </w:p>
        </w:tc>
        <w:tc>
          <w:tcPr>
            <w:tcW w:w="687"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1,312</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1,314</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1,315</w:t>
            </w:r>
          </w:p>
        </w:tc>
        <w:tc>
          <w:tcPr>
            <w:tcW w:w="663"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1,316</w:t>
            </w:r>
          </w:p>
        </w:tc>
      </w:tr>
      <w:tr w:rsidR="005402EF" w:rsidRPr="00A5660A" w:rsidTr="00C20677">
        <w:trPr>
          <w:trHeight w:val="359"/>
          <w:jc w:val="center"/>
        </w:trPr>
        <w:tc>
          <w:tcPr>
            <w:tcW w:w="813" w:type="dxa"/>
            <w:shd w:val="clear" w:color="auto" w:fill="auto"/>
            <w:noWrap/>
            <w:vAlign w:val="center"/>
            <w:hideMark/>
          </w:tcPr>
          <w:p w:rsidR="005402EF" w:rsidRPr="005402EF" w:rsidRDefault="005402EF" w:rsidP="00336E76">
            <w:pPr>
              <w:contextualSpacing/>
              <w:jc w:val="center"/>
              <w:rPr>
                <w:bCs/>
                <w:sz w:val="20"/>
                <w:szCs w:val="20"/>
              </w:rPr>
            </w:pPr>
            <w:r w:rsidRPr="005402EF">
              <w:rPr>
                <w:bCs/>
                <w:sz w:val="20"/>
                <w:szCs w:val="20"/>
              </w:rPr>
              <w:t>2020</w:t>
            </w:r>
          </w:p>
        </w:tc>
        <w:tc>
          <w:tcPr>
            <w:tcW w:w="666" w:type="dxa"/>
            <w:gridSpan w:val="2"/>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1,318</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1,319</w:t>
            </w:r>
          </w:p>
        </w:tc>
        <w:tc>
          <w:tcPr>
            <w:tcW w:w="744"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1,320</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1,321</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1,322</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1,323</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1,324</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1,326</w:t>
            </w:r>
          </w:p>
        </w:tc>
        <w:tc>
          <w:tcPr>
            <w:tcW w:w="687"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1,327</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1,328</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1,329</w:t>
            </w:r>
          </w:p>
        </w:tc>
        <w:tc>
          <w:tcPr>
            <w:tcW w:w="663"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1,330</w:t>
            </w:r>
          </w:p>
        </w:tc>
      </w:tr>
      <w:tr w:rsidR="005402EF" w:rsidRPr="00A5660A" w:rsidTr="00C20677">
        <w:trPr>
          <w:trHeight w:val="359"/>
          <w:jc w:val="center"/>
        </w:trPr>
        <w:tc>
          <w:tcPr>
            <w:tcW w:w="813" w:type="dxa"/>
            <w:shd w:val="clear" w:color="auto" w:fill="auto"/>
            <w:noWrap/>
            <w:vAlign w:val="center"/>
            <w:hideMark/>
          </w:tcPr>
          <w:p w:rsidR="005402EF" w:rsidRPr="005402EF" w:rsidRDefault="005402EF" w:rsidP="00336E76">
            <w:pPr>
              <w:contextualSpacing/>
              <w:jc w:val="center"/>
              <w:rPr>
                <w:bCs/>
                <w:sz w:val="20"/>
                <w:szCs w:val="20"/>
              </w:rPr>
            </w:pPr>
            <w:r w:rsidRPr="005402EF">
              <w:rPr>
                <w:bCs/>
                <w:sz w:val="20"/>
                <w:szCs w:val="20"/>
              </w:rPr>
              <w:t>2021</w:t>
            </w:r>
          </w:p>
        </w:tc>
        <w:tc>
          <w:tcPr>
            <w:tcW w:w="666" w:type="dxa"/>
            <w:gridSpan w:val="2"/>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1,331</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1,333</w:t>
            </w:r>
          </w:p>
        </w:tc>
        <w:tc>
          <w:tcPr>
            <w:tcW w:w="744"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1,334</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1,335</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1,336</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1,338</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1,339</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1,340</w:t>
            </w:r>
          </w:p>
        </w:tc>
        <w:tc>
          <w:tcPr>
            <w:tcW w:w="687"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1,342</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1,343</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1,344</w:t>
            </w:r>
          </w:p>
        </w:tc>
        <w:tc>
          <w:tcPr>
            <w:tcW w:w="663"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1,345</w:t>
            </w:r>
          </w:p>
        </w:tc>
      </w:tr>
      <w:tr w:rsidR="005402EF" w:rsidRPr="00A5660A" w:rsidTr="00C20677">
        <w:trPr>
          <w:trHeight w:val="359"/>
          <w:jc w:val="center"/>
        </w:trPr>
        <w:tc>
          <w:tcPr>
            <w:tcW w:w="813" w:type="dxa"/>
            <w:shd w:val="clear" w:color="auto" w:fill="auto"/>
            <w:noWrap/>
            <w:vAlign w:val="center"/>
            <w:hideMark/>
          </w:tcPr>
          <w:p w:rsidR="005402EF" w:rsidRPr="005402EF" w:rsidRDefault="005402EF" w:rsidP="00336E76">
            <w:pPr>
              <w:contextualSpacing/>
              <w:jc w:val="center"/>
              <w:rPr>
                <w:bCs/>
                <w:sz w:val="20"/>
                <w:szCs w:val="20"/>
              </w:rPr>
            </w:pPr>
            <w:r w:rsidRPr="005402EF">
              <w:rPr>
                <w:bCs/>
                <w:sz w:val="20"/>
                <w:szCs w:val="20"/>
              </w:rPr>
              <w:t>2022</w:t>
            </w:r>
          </w:p>
        </w:tc>
        <w:tc>
          <w:tcPr>
            <w:tcW w:w="666" w:type="dxa"/>
            <w:gridSpan w:val="2"/>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1,347</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1,348</w:t>
            </w:r>
          </w:p>
        </w:tc>
        <w:tc>
          <w:tcPr>
            <w:tcW w:w="744"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1,349</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1,351</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1,352</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1,353</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1,354</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1,356</w:t>
            </w:r>
          </w:p>
        </w:tc>
        <w:tc>
          <w:tcPr>
            <w:tcW w:w="687"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1,357</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1,358</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1,360</w:t>
            </w:r>
          </w:p>
        </w:tc>
        <w:tc>
          <w:tcPr>
            <w:tcW w:w="663"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1,361</w:t>
            </w:r>
          </w:p>
        </w:tc>
      </w:tr>
      <w:tr w:rsidR="005402EF" w:rsidRPr="00A5660A" w:rsidTr="00C20677">
        <w:trPr>
          <w:trHeight w:val="359"/>
          <w:jc w:val="center"/>
        </w:trPr>
        <w:tc>
          <w:tcPr>
            <w:tcW w:w="813" w:type="dxa"/>
            <w:shd w:val="clear" w:color="auto" w:fill="auto"/>
            <w:noWrap/>
            <w:vAlign w:val="center"/>
            <w:hideMark/>
          </w:tcPr>
          <w:p w:rsidR="005402EF" w:rsidRPr="005402EF" w:rsidRDefault="005402EF" w:rsidP="00336E76">
            <w:pPr>
              <w:contextualSpacing/>
              <w:jc w:val="center"/>
              <w:rPr>
                <w:bCs/>
                <w:sz w:val="20"/>
                <w:szCs w:val="20"/>
              </w:rPr>
            </w:pPr>
            <w:r w:rsidRPr="005402EF">
              <w:rPr>
                <w:bCs/>
                <w:sz w:val="20"/>
                <w:szCs w:val="20"/>
              </w:rPr>
              <w:t>2023</w:t>
            </w:r>
          </w:p>
        </w:tc>
        <w:tc>
          <w:tcPr>
            <w:tcW w:w="666" w:type="dxa"/>
            <w:gridSpan w:val="2"/>
            <w:shd w:val="clear" w:color="auto" w:fill="auto"/>
            <w:noWrap/>
            <w:vAlign w:val="bottom"/>
            <w:hideMark/>
          </w:tcPr>
          <w:p w:rsidR="005402EF" w:rsidRPr="005402EF" w:rsidRDefault="005402EF" w:rsidP="00336E76">
            <w:pPr>
              <w:jc w:val="center"/>
              <w:rPr>
                <w:color w:val="000000"/>
                <w:sz w:val="20"/>
                <w:szCs w:val="20"/>
              </w:rPr>
            </w:pPr>
            <w:r w:rsidRPr="005402EF">
              <w:rPr>
                <w:color w:val="000000"/>
                <w:sz w:val="20"/>
                <w:szCs w:val="20"/>
              </w:rPr>
              <w:t>1,362</w:t>
            </w:r>
          </w:p>
        </w:tc>
        <w:tc>
          <w:tcPr>
            <w:tcW w:w="666" w:type="dxa"/>
            <w:shd w:val="clear" w:color="auto" w:fill="auto"/>
            <w:noWrap/>
            <w:vAlign w:val="bottom"/>
            <w:hideMark/>
          </w:tcPr>
          <w:p w:rsidR="005402EF" w:rsidRPr="005402EF" w:rsidRDefault="005402EF" w:rsidP="00336E76">
            <w:pPr>
              <w:jc w:val="center"/>
              <w:rPr>
                <w:color w:val="000000"/>
                <w:sz w:val="20"/>
                <w:szCs w:val="20"/>
              </w:rPr>
            </w:pPr>
            <w:r w:rsidRPr="005402EF">
              <w:rPr>
                <w:color w:val="000000"/>
                <w:sz w:val="20"/>
                <w:szCs w:val="20"/>
              </w:rPr>
              <w:t>1,364</w:t>
            </w:r>
          </w:p>
        </w:tc>
        <w:tc>
          <w:tcPr>
            <w:tcW w:w="744" w:type="dxa"/>
            <w:shd w:val="clear" w:color="auto" w:fill="auto"/>
            <w:noWrap/>
            <w:vAlign w:val="bottom"/>
            <w:hideMark/>
          </w:tcPr>
          <w:p w:rsidR="005402EF" w:rsidRPr="005402EF" w:rsidRDefault="005402EF" w:rsidP="00336E76">
            <w:pPr>
              <w:jc w:val="center"/>
              <w:rPr>
                <w:color w:val="000000"/>
                <w:sz w:val="20"/>
                <w:szCs w:val="20"/>
              </w:rPr>
            </w:pPr>
            <w:r w:rsidRPr="005402EF">
              <w:rPr>
                <w:color w:val="000000"/>
                <w:sz w:val="20"/>
                <w:szCs w:val="20"/>
              </w:rPr>
              <w:t>1,365</w:t>
            </w:r>
          </w:p>
        </w:tc>
        <w:tc>
          <w:tcPr>
            <w:tcW w:w="666" w:type="dxa"/>
            <w:shd w:val="clear" w:color="auto" w:fill="auto"/>
            <w:noWrap/>
            <w:vAlign w:val="bottom"/>
            <w:hideMark/>
          </w:tcPr>
          <w:p w:rsidR="005402EF" w:rsidRPr="005402EF" w:rsidRDefault="005402EF" w:rsidP="00336E76">
            <w:pPr>
              <w:jc w:val="center"/>
              <w:rPr>
                <w:color w:val="000000"/>
                <w:sz w:val="20"/>
                <w:szCs w:val="20"/>
              </w:rPr>
            </w:pPr>
            <w:r w:rsidRPr="005402EF">
              <w:rPr>
                <w:color w:val="000000"/>
                <w:sz w:val="20"/>
                <w:szCs w:val="20"/>
              </w:rPr>
              <w:t>1,366</w:t>
            </w:r>
          </w:p>
        </w:tc>
        <w:tc>
          <w:tcPr>
            <w:tcW w:w="666" w:type="dxa"/>
            <w:shd w:val="clear" w:color="auto" w:fill="auto"/>
            <w:noWrap/>
            <w:vAlign w:val="bottom"/>
            <w:hideMark/>
          </w:tcPr>
          <w:p w:rsidR="005402EF" w:rsidRPr="005402EF" w:rsidRDefault="005402EF" w:rsidP="00336E76">
            <w:pPr>
              <w:jc w:val="center"/>
              <w:rPr>
                <w:color w:val="000000"/>
                <w:sz w:val="20"/>
                <w:szCs w:val="20"/>
              </w:rPr>
            </w:pPr>
            <w:r w:rsidRPr="005402EF">
              <w:rPr>
                <w:color w:val="000000"/>
                <w:sz w:val="20"/>
                <w:szCs w:val="20"/>
              </w:rPr>
              <w:t>1,367</w:t>
            </w:r>
          </w:p>
        </w:tc>
        <w:tc>
          <w:tcPr>
            <w:tcW w:w="666" w:type="dxa"/>
            <w:shd w:val="clear" w:color="auto" w:fill="auto"/>
            <w:noWrap/>
            <w:vAlign w:val="bottom"/>
            <w:hideMark/>
          </w:tcPr>
          <w:p w:rsidR="005402EF" w:rsidRPr="005402EF" w:rsidRDefault="005402EF" w:rsidP="00336E76">
            <w:pPr>
              <w:jc w:val="center"/>
              <w:rPr>
                <w:color w:val="000000"/>
                <w:sz w:val="20"/>
                <w:szCs w:val="20"/>
              </w:rPr>
            </w:pPr>
            <w:r w:rsidRPr="005402EF">
              <w:rPr>
                <w:color w:val="000000"/>
                <w:sz w:val="20"/>
                <w:szCs w:val="20"/>
              </w:rPr>
              <w:t>1,369</w:t>
            </w:r>
          </w:p>
        </w:tc>
        <w:tc>
          <w:tcPr>
            <w:tcW w:w="666" w:type="dxa"/>
            <w:shd w:val="clear" w:color="auto" w:fill="auto"/>
            <w:noWrap/>
            <w:vAlign w:val="bottom"/>
            <w:hideMark/>
          </w:tcPr>
          <w:p w:rsidR="005402EF" w:rsidRPr="005402EF" w:rsidRDefault="005402EF" w:rsidP="00336E76">
            <w:pPr>
              <w:jc w:val="center"/>
              <w:rPr>
                <w:color w:val="000000"/>
                <w:sz w:val="20"/>
                <w:szCs w:val="20"/>
              </w:rPr>
            </w:pPr>
            <w:r w:rsidRPr="005402EF">
              <w:rPr>
                <w:color w:val="000000"/>
                <w:sz w:val="20"/>
                <w:szCs w:val="20"/>
              </w:rPr>
              <w:t>1,370</w:t>
            </w:r>
          </w:p>
        </w:tc>
        <w:tc>
          <w:tcPr>
            <w:tcW w:w="666" w:type="dxa"/>
            <w:shd w:val="clear" w:color="auto" w:fill="auto"/>
            <w:noWrap/>
            <w:vAlign w:val="bottom"/>
            <w:hideMark/>
          </w:tcPr>
          <w:p w:rsidR="005402EF" w:rsidRPr="005402EF" w:rsidRDefault="005402EF" w:rsidP="00336E76">
            <w:pPr>
              <w:jc w:val="center"/>
              <w:rPr>
                <w:color w:val="000000"/>
                <w:sz w:val="20"/>
                <w:szCs w:val="20"/>
              </w:rPr>
            </w:pPr>
            <w:r w:rsidRPr="005402EF">
              <w:rPr>
                <w:color w:val="000000"/>
                <w:sz w:val="20"/>
                <w:szCs w:val="20"/>
              </w:rPr>
              <w:t>1,371</w:t>
            </w:r>
          </w:p>
        </w:tc>
        <w:tc>
          <w:tcPr>
            <w:tcW w:w="687" w:type="dxa"/>
            <w:shd w:val="clear" w:color="auto" w:fill="auto"/>
            <w:noWrap/>
            <w:vAlign w:val="bottom"/>
            <w:hideMark/>
          </w:tcPr>
          <w:p w:rsidR="005402EF" w:rsidRPr="005402EF" w:rsidRDefault="005402EF" w:rsidP="00336E76">
            <w:pPr>
              <w:jc w:val="center"/>
              <w:rPr>
                <w:color w:val="000000"/>
                <w:sz w:val="20"/>
                <w:szCs w:val="20"/>
              </w:rPr>
            </w:pPr>
            <w:r w:rsidRPr="005402EF">
              <w:rPr>
                <w:color w:val="000000"/>
                <w:sz w:val="20"/>
                <w:szCs w:val="20"/>
              </w:rPr>
              <w:t>1,373</w:t>
            </w:r>
          </w:p>
        </w:tc>
        <w:tc>
          <w:tcPr>
            <w:tcW w:w="666" w:type="dxa"/>
            <w:shd w:val="clear" w:color="auto" w:fill="auto"/>
            <w:noWrap/>
            <w:vAlign w:val="bottom"/>
            <w:hideMark/>
          </w:tcPr>
          <w:p w:rsidR="005402EF" w:rsidRPr="005402EF" w:rsidRDefault="005402EF" w:rsidP="00336E76">
            <w:pPr>
              <w:jc w:val="center"/>
              <w:rPr>
                <w:color w:val="000000"/>
                <w:sz w:val="20"/>
                <w:szCs w:val="20"/>
              </w:rPr>
            </w:pPr>
            <w:r w:rsidRPr="005402EF">
              <w:rPr>
                <w:color w:val="000000"/>
                <w:sz w:val="20"/>
                <w:szCs w:val="20"/>
              </w:rPr>
              <w:t>1,374</w:t>
            </w:r>
          </w:p>
        </w:tc>
        <w:tc>
          <w:tcPr>
            <w:tcW w:w="666" w:type="dxa"/>
            <w:shd w:val="clear" w:color="auto" w:fill="auto"/>
            <w:noWrap/>
            <w:vAlign w:val="bottom"/>
            <w:hideMark/>
          </w:tcPr>
          <w:p w:rsidR="005402EF" w:rsidRPr="005402EF" w:rsidRDefault="005402EF" w:rsidP="00336E76">
            <w:pPr>
              <w:jc w:val="center"/>
              <w:rPr>
                <w:color w:val="000000"/>
                <w:sz w:val="20"/>
                <w:szCs w:val="20"/>
              </w:rPr>
            </w:pPr>
            <w:r w:rsidRPr="005402EF">
              <w:rPr>
                <w:color w:val="000000"/>
                <w:sz w:val="20"/>
                <w:szCs w:val="20"/>
              </w:rPr>
              <w:t>1,375</w:t>
            </w:r>
          </w:p>
        </w:tc>
        <w:tc>
          <w:tcPr>
            <w:tcW w:w="663" w:type="dxa"/>
            <w:shd w:val="clear" w:color="auto" w:fill="auto"/>
            <w:noWrap/>
            <w:vAlign w:val="bottom"/>
            <w:hideMark/>
          </w:tcPr>
          <w:p w:rsidR="005402EF" w:rsidRPr="005402EF" w:rsidRDefault="005402EF" w:rsidP="00336E76">
            <w:pPr>
              <w:jc w:val="center"/>
              <w:rPr>
                <w:color w:val="000000"/>
                <w:sz w:val="20"/>
                <w:szCs w:val="20"/>
              </w:rPr>
            </w:pPr>
            <w:r w:rsidRPr="005402EF">
              <w:rPr>
                <w:color w:val="000000"/>
                <w:sz w:val="20"/>
                <w:szCs w:val="20"/>
              </w:rPr>
              <w:t>1,377</w:t>
            </w:r>
          </w:p>
        </w:tc>
      </w:tr>
      <w:tr w:rsidR="005402EF" w:rsidRPr="00A5660A" w:rsidTr="00C20677">
        <w:trPr>
          <w:trHeight w:val="359"/>
          <w:jc w:val="center"/>
        </w:trPr>
        <w:tc>
          <w:tcPr>
            <w:tcW w:w="813" w:type="dxa"/>
            <w:shd w:val="clear" w:color="auto" w:fill="auto"/>
            <w:noWrap/>
            <w:vAlign w:val="center"/>
            <w:hideMark/>
          </w:tcPr>
          <w:p w:rsidR="005402EF" w:rsidRPr="005402EF" w:rsidRDefault="005402EF" w:rsidP="00336E76">
            <w:pPr>
              <w:contextualSpacing/>
              <w:jc w:val="center"/>
              <w:rPr>
                <w:bCs/>
                <w:sz w:val="20"/>
                <w:szCs w:val="20"/>
              </w:rPr>
            </w:pPr>
            <w:r w:rsidRPr="005402EF">
              <w:rPr>
                <w:bCs/>
                <w:sz w:val="20"/>
                <w:szCs w:val="20"/>
              </w:rPr>
              <w:t>2024</w:t>
            </w:r>
          </w:p>
        </w:tc>
        <w:tc>
          <w:tcPr>
            <w:tcW w:w="666" w:type="dxa"/>
            <w:gridSpan w:val="2"/>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1,378</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1,379</w:t>
            </w:r>
          </w:p>
        </w:tc>
        <w:tc>
          <w:tcPr>
            <w:tcW w:w="744"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1,381</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1,382</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1,383</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1,385</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1,386</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1,387</w:t>
            </w:r>
          </w:p>
        </w:tc>
        <w:tc>
          <w:tcPr>
            <w:tcW w:w="687"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1,389</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1,390</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1,391</w:t>
            </w:r>
          </w:p>
        </w:tc>
        <w:tc>
          <w:tcPr>
            <w:tcW w:w="663"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1,393</w:t>
            </w:r>
          </w:p>
        </w:tc>
      </w:tr>
      <w:tr w:rsidR="005402EF" w:rsidRPr="00A5660A" w:rsidTr="00C20677">
        <w:trPr>
          <w:trHeight w:val="359"/>
          <w:jc w:val="center"/>
        </w:trPr>
        <w:tc>
          <w:tcPr>
            <w:tcW w:w="813" w:type="dxa"/>
            <w:shd w:val="clear" w:color="auto" w:fill="auto"/>
            <w:noWrap/>
            <w:vAlign w:val="center"/>
            <w:hideMark/>
          </w:tcPr>
          <w:p w:rsidR="005402EF" w:rsidRPr="005402EF" w:rsidRDefault="005402EF" w:rsidP="00336E76">
            <w:pPr>
              <w:contextualSpacing/>
              <w:jc w:val="center"/>
              <w:rPr>
                <w:bCs/>
                <w:sz w:val="20"/>
                <w:szCs w:val="20"/>
              </w:rPr>
            </w:pPr>
            <w:r w:rsidRPr="005402EF">
              <w:rPr>
                <w:bCs/>
                <w:sz w:val="20"/>
                <w:szCs w:val="20"/>
              </w:rPr>
              <w:t>2025</w:t>
            </w:r>
          </w:p>
        </w:tc>
        <w:tc>
          <w:tcPr>
            <w:tcW w:w="666" w:type="dxa"/>
            <w:gridSpan w:val="2"/>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1,394</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1,395</w:t>
            </w:r>
          </w:p>
        </w:tc>
        <w:tc>
          <w:tcPr>
            <w:tcW w:w="744"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1,397</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1,398</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1,399</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1,401</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1,402</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1,403</w:t>
            </w:r>
          </w:p>
        </w:tc>
        <w:tc>
          <w:tcPr>
            <w:tcW w:w="687"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1,405</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1,406</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1,407</w:t>
            </w:r>
          </w:p>
        </w:tc>
        <w:tc>
          <w:tcPr>
            <w:tcW w:w="663"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1,409</w:t>
            </w:r>
          </w:p>
        </w:tc>
      </w:tr>
      <w:tr w:rsidR="005402EF" w:rsidRPr="00A5660A" w:rsidTr="00C20677">
        <w:trPr>
          <w:trHeight w:val="359"/>
          <w:jc w:val="center"/>
        </w:trPr>
        <w:tc>
          <w:tcPr>
            <w:tcW w:w="813" w:type="dxa"/>
            <w:shd w:val="clear" w:color="auto" w:fill="auto"/>
            <w:noWrap/>
            <w:vAlign w:val="center"/>
            <w:hideMark/>
          </w:tcPr>
          <w:p w:rsidR="005402EF" w:rsidRPr="005402EF" w:rsidRDefault="005402EF" w:rsidP="00336E76">
            <w:pPr>
              <w:contextualSpacing/>
              <w:jc w:val="center"/>
              <w:rPr>
                <w:bCs/>
                <w:sz w:val="20"/>
                <w:szCs w:val="20"/>
              </w:rPr>
            </w:pPr>
            <w:r w:rsidRPr="005402EF">
              <w:rPr>
                <w:bCs/>
                <w:sz w:val="20"/>
                <w:szCs w:val="20"/>
              </w:rPr>
              <w:t>2026</w:t>
            </w:r>
          </w:p>
        </w:tc>
        <w:tc>
          <w:tcPr>
            <w:tcW w:w="666" w:type="dxa"/>
            <w:gridSpan w:val="2"/>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1,410</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1,411</w:t>
            </w:r>
          </w:p>
        </w:tc>
        <w:tc>
          <w:tcPr>
            <w:tcW w:w="744"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1,413</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1,414</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1,415</w:t>
            </w:r>
          </w:p>
        </w:tc>
        <w:tc>
          <w:tcPr>
            <w:tcW w:w="666" w:type="dxa"/>
            <w:shd w:val="clear" w:color="auto" w:fill="auto"/>
            <w:noWrap/>
            <w:vAlign w:val="bottom"/>
            <w:hideMark/>
          </w:tcPr>
          <w:p w:rsidR="005402EF" w:rsidRPr="005402EF" w:rsidRDefault="005402EF" w:rsidP="00336E76">
            <w:pPr>
              <w:contextualSpacing/>
              <w:jc w:val="center"/>
              <w:rPr>
                <w:b/>
                <w:bCs/>
                <w:color w:val="FFFFFF"/>
                <w:sz w:val="20"/>
                <w:szCs w:val="20"/>
              </w:rPr>
            </w:pPr>
            <w:r w:rsidRPr="005402EF">
              <w:rPr>
                <w:color w:val="000000"/>
                <w:sz w:val="20"/>
                <w:szCs w:val="20"/>
              </w:rPr>
              <w:t>1,417</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1,418</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1,419</w:t>
            </w:r>
          </w:p>
        </w:tc>
        <w:tc>
          <w:tcPr>
            <w:tcW w:w="687"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1,421</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1,422</w:t>
            </w:r>
          </w:p>
        </w:tc>
        <w:tc>
          <w:tcPr>
            <w:tcW w:w="666"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1,424</w:t>
            </w:r>
          </w:p>
        </w:tc>
        <w:tc>
          <w:tcPr>
            <w:tcW w:w="663" w:type="dxa"/>
            <w:shd w:val="clear" w:color="auto" w:fill="auto"/>
            <w:noWrap/>
            <w:vAlign w:val="bottom"/>
            <w:hideMark/>
          </w:tcPr>
          <w:p w:rsidR="005402EF" w:rsidRPr="005402EF" w:rsidRDefault="005402EF" w:rsidP="00336E76">
            <w:pPr>
              <w:contextualSpacing/>
              <w:jc w:val="center"/>
              <w:rPr>
                <w:color w:val="000000"/>
                <w:sz w:val="20"/>
                <w:szCs w:val="20"/>
              </w:rPr>
            </w:pPr>
            <w:r w:rsidRPr="005402EF">
              <w:rPr>
                <w:color w:val="000000"/>
                <w:sz w:val="20"/>
                <w:szCs w:val="20"/>
              </w:rPr>
              <w:t>1,425</w:t>
            </w:r>
          </w:p>
        </w:tc>
      </w:tr>
    </w:tbl>
    <w:p w:rsidR="005402EF" w:rsidRPr="001D7FAA" w:rsidRDefault="005402EF" w:rsidP="005402EF">
      <w:pPr>
        <w:pStyle w:val="BodyParagraph"/>
      </w:pPr>
    </w:p>
    <w:p w:rsidR="005D69DB" w:rsidRPr="005D69DB" w:rsidRDefault="005D69DB" w:rsidP="005D69DB">
      <w:pPr>
        <w:pStyle w:val="Heading4"/>
        <w:ind w:left="810" w:hanging="810"/>
        <w:rPr>
          <w:rFonts w:ascii="Times New Roman" w:hAnsi="Times New Roman"/>
          <w:sz w:val="24"/>
          <w:szCs w:val="24"/>
        </w:rPr>
      </w:pPr>
      <w:r w:rsidRPr="005D69DB">
        <w:rPr>
          <w:rFonts w:ascii="Times New Roman" w:hAnsi="Times New Roman"/>
          <w:sz w:val="24"/>
          <w:szCs w:val="24"/>
        </w:rPr>
        <w:t>Monthly System Peak Day Impacts</w:t>
      </w:r>
    </w:p>
    <w:p w:rsidR="005D69DB" w:rsidRDefault="005D69DB" w:rsidP="005D69DB">
      <w:pPr>
        <w:pStyle w:val="BodyParagraph"/>
      </w:pPr>
    </w:p>
    <w:p w:rsidR="005D69DB" w:rsidRPr="008227A8" w:rsidRDefault="005D69DB" w:rsidP="005D69DB">
      <w:pPr>
        <w:pStyle w:val="BodyParagraph"/>
        <w:spacing w:after="0" w:line="276" w:lineRule="auto"/>
        <w:ind w:firstLine="360"/>
        <w:rPr>
          <w:rFonts w:ascii="Times New Roman" w:hAnsi="Times New Roman"/>
          <w:color w:val="000000" w:themeColor="text1"/>
          <w:sz w:val="24"/>
          <w:szCs w:val="24"/>
        </w:rPr>
      </w:pPr>
      <w:r w:rsidRPr="00826B23">
        <w:rPr>
          <w:rFonts w:ascii="Times New Roman" w:hAnsi="Times New Roman"/>
          <w:color w:val="000000" w:themeColor="text1"/>
          <w:sz w:val="22"/>
        </w:rPr>
        <w:t>Table 3-</w:t>
      </w:r>
      <w:r w:rsidR="0024252A">
        <w:rPr>
          <w:rFonts w:ascii="Times New Roman" w:hAnsi="Times New Roman"/>
          <w:color w:val="000000" w:themeColor="text1"/>
          <w:sz w:val="22"/>
        </w:rPr>
        <w:t>3</w:t>
      </w:r>
      <w:r w:rsidRPr="008227A8">
        <w:rPr>
          <w:rFonts w:ascii="Times New Roman" w:hAnsi="Times New Roman"/>
          <w:color w:val="000000" w:themeColor="text1"/>
          <w:sz w:val="24"/>
          <w:szCs w:val="24"/>
        </w:rPr>
        <w:t xml:space="preserve"> summarizes the aggregate load impact estimates for large customers on SDG&amp;E’s CPP tariff for each forecast year under both 1-in-2 and 1-in-10 year weather conditions based on both SDG&amp;E and CAISO weather scenarios. The table shows the average load reduction across the 1 PM to 6 PM event period for an August monthly system peak day. </w:t>
      </w:r>
    </w:p>
    <w:p w:rsidR="005D69DB" w:rsidRPr="008227A8" w:rsidRDefault="005D69DB" w:rsidP="005D69DB">
      <w:pPr>
        <w:pStyle w:val="BodyParagraph"/>
        <w:spacing w:after="0" w:line="276" w:lineRule="auto"/>
        <w:ind w:firstLine="360"/>
        <w:rPr>
          <w:rFonts w:ascii="Times New Roman" w:hAnsi="Times New Roman"/>
          <w:color w:val="000000" w:themeColor="text1"/>
          <w:sz w:val="24"/>
          <w:szCs w:val="24"/>
        </w:rPr>
      </w:pPr>
    </w:p>
    <w:p w:rsidR="005D69DB" w:rsidRPr="008227A8" w:rsidRDefault="005D69DB" w:rsidP="005D69DB">
      <w:pPr>
        <w:pStyle w:val="BodyParagraph"/>
        <w:spacing w:after="0" w:line="276" w:lineRule="auto"/>
        <w:ind w:firstLine="360"/>
        <w:rPr>
          <w:color w:val="000000" w:themeColor="text1"/>
        </w:rPr>
      </w:pPr>
      <w:r w:rsidRPr="008227A8">
        <w:rPr>
          <w:rFonts w:ascii="Times New Roman" w:hAnsi="Times New Roman"/>
          <w:color w:val="000000" w:themeColor="text1"/>
          <w:sz w:val="24"/>
          <w:szCs w:val="24"/>
        </w:rPr>
        <w:t xml:space="preserve">Looking first at the aggregate load impacts based on SDG&amp;E-specific, 1-in-2 year weather conditions, load reductions will grow from roughly 22 MW to 25 MW between 2016 and 2026. Impacts based on 1-in-10 year SDG&amp;E weather conditions equal roughly 25 MW in 2016 and will grow to 28 MW by 2026. These estimates equal roughly 8% of the aggregate reference load for large C&amp;I customers. Impact estimates based on CAISO-specific, 1-in-2 year weather conditions are roughly 5% larger than the estimates based on SDG&amp;E weather. The CAISO 1-in-10 year weather values produce a load reduction that is about 6% less than the 1-in-10 year SDG&amp;E estimates in aggregate terms. These differences were driven by underlying differences in the weather forecast temperatures across the four scenarios that impact both the estimated reference loads as well as impact estimates. </w:t>
      </w:r>
    </w:p>
    <w:p w:rsidR="005D69DB" w:rsidRPr="005D69DB" w:rsidRDefault="005D69DB" w:rsidP="005D69DB">
      <w:pPr>
        <w:pStyle w:val="TableFigureCaption"/>
        <w:rPr>
          <w:rFonts w:ascii="Times New Roman" w:hAnsi="Times New Roman"/>
        </w:rPr>
      </w:pPr>
    </w:p>
    <w:p w:rsidR="005D69DB" w:rsidRPr="005D69DB" w:rsidRDefault="005D69DB" w:rsidP="005D69DB">
      <w:pPr>
        <w:pStyle w:val="TableFigureCaption"/>
        <w:rPr>
          <w:rFonts w:ascii="Times New Roman" w:hAnsi="Times New Roman"/>
        </w:rPr>
      </w:pPr>
      <w:r w:rsidRPr="005D69DB">
        <w:rPr>
          <w:rFonts w:ascii="Times New Roman" w:hAnsi="Times New Roman"/>
        </w:rPr>
        <w:t>Table 3-</w:t>
      </w:r>
      <w:r w:rsidR="0024252A">
        <w:rPr>
          <w:rFonts w:ascii="Times New Roman" w:hAnsi="Times New Roman"/>
        </w:rPr>
        <w:t>3</w:t>
      </w:r>
      <w:r w:rsidRPr="005D69DB">
        <w:rPr>
          <w:rFonts w:ascii="Times New Roman" w:hAnsi="Times New Roman"/>
        </w:rPr>
        <w:t xml:space="preserve">: Default CPP </w:t>
      </w:r>
      <w:r w:rsidR="008C46A8">
        <w:rPr>
          <w:rFonts w:ascii="Times New Roman" w:hAnsi="Times New Roman"/>
        </w:rPr>
        <w:t>Ex-Ante</w:t>
      </w:r>
      <w:r w:rsidRPr="005D69DB">
        <w:rPr>
          <w:rFonts w:ascii="Times New Roman" w:hAnsi="Times New Roman"/>
        </w:rPr>
        <w:t xml:space="preserve"> Load Impact Estimates by Weather </w:t>
      </w:r>
      <w:r w:rsidRPr="005D69DB">
        <w:rPr>
          <w:rFonts w:ascii="Times New Roman" w:hAnsi="Times New Roman"/>
        </w:rPr>
        <w:br/>
        <w:t>Scenario for Large C&amp;I</w:t>
      </w:r>
      <w:r w:rsidRPr="005D69DB">
        <w:rPr>
          <w:rFonts w:ascii="Times New Roman" w:hAnsi="Times New Roman"/>
        </w:rPr>
        <w:br/>
        <w:t>SDG&amp;E August System Peak Day (1PM to 6 PM)</w:t>
      </w:r>
    </w:p>
    <w:tbl>
      <w:tblPr>
        <w:tblW w:w="9628" w:type="dxa"/>
        <w:jc w:val="center"/>
        <w:tblInd w:w="282" w:type="dxa"/>
        <w:tblLook w:val="04A0" w:firstRow="1" w:lastRow="0" w:firstColumn="1" w:lastColumn="0" w:noHBand="0" w:noVBand="1"/>
      </w:tblPr>
      <w:tblGrid>
        <w:gridCol w:w="1006"/>
        <w:gridCol w:w="961"/>
        <w:gridCol w:w="757"/>
        <w:gridCol w:w="1005"/>
        <w:gridCol w:w="1586"/>
        <w:gridCol w:w="1094"/>
        <w:gridCol w:w="1094"/>
        <w:gridCol w:w="1094"/>
        <w:gridCol w:w="1039"/>
      </w:tblGrid>
      <w:tr w:rsidR="005D69DB" w:rsidRPr="001D7FAA" w:rsidTr="00C20677">
        <w:trPr>
          <w:trHeight w:val="647"/>
          <w:jc w:val="center"/>
        </w:trPr>
        <w:tc>
          <w:tcPr>
            <w:tcW w:w="1006" w:type="dxa"/>
            <w:vMerge w:val="restart"/>
            <w:tcBorders>
              <w:top w:val="single" w:sz="4" w:space="0" w:color="auto"/>
              <w:left w:val="single" w:sz="4" w:space="0" w:color="auto"/>
              <w:bottom w:val="single" w:sz="4" w:space="0" w:color="000000"/>
              <w:right w:val="single" w:sz="4" w:space="0" w:color="FFFFFF"/>
            </w:tcBorders>
            <w:shd w:val="clear" w:color="auto" w:fill="002060"/>
            <w:vAlign w:val="center"/>
            <w:hideMark/>
          </w:tcPr>
          <w:p w:rsidR="005D69DB" w:rsidRPr="005D69DB" w:rsidRDefault="005D69DB" w:rsidP="00336E76">
            <w:pPr>
              <w:jc w:val="center"/>
              <w:rPr>
                <w:b/>
                <w:bCs/>
                <w:color w:val="FFFFFF"/>
                <w:sz w:val="20"/>
                <w:szCs w:val="20"/>
              </w:rPr>
            </w:pPr>
            <w:r w:rsidRPr="005D69DB">
              <w:rPr>
                <w:b/>
                <w:bCs/>
                <w:color w:val="FFFFFF"/>
                <w:sz w:val="20"/>
                <w:szCs w:val="20"/>
              </w:rPr>
              <w:t>Weather Type</w:t>
            </w:r>
          </w:p>
        </w:tc>
        <w:tc>
          <w:tcPr>
            <w:tcW w:w="961" w:type="dxa"/>
            <w:vMerge w:val="restart"/>
            <w:tcBorders>
              <w:top w:val="single" w:sz="4" w:space="0" w:color="auto"/>
              <w:left w:val="single" w:sz="4" w:space="0" w:color="FFFFFF"/>
              <w:bottom w:val="single" w:sz="4" w:space="0" w:color="000000"/>
              <w:right w:val="single" w:sz="4" w:space="0" w:color="FFFFFF"/>
            </w:tcBorders>
            <w:shd w:val="clear" w:color="auto" w:fill="002060"/>
            <w:vAlign w:val="center"/>
            <w:hideMark/>
          </w:tcPr>
          <w:p w:rsidR="005D69DB" w:rsidRPr="005D69DB" w:rsidRDefault="005D69DB" w:rsidP="00336E76">
            <w:pPr>
              <w:jc w:val="center"/>
              <w:rPr>
                <w:b/>
                <w:bCs/>
                <w:color w:val="FFFFFF"/>
                <w:sz w:val="20"/>
                <w:szCs w:val="20"/>
              </w:rPr>
            </w:pPr>
            <w:r w:rsidRPr="005D69DB">
              <w:rPr>
                <w:b/>
                <w:bCs/>
                <w:color w:val="FFFFFF"/>
                <w:sz w:val="20"/>
                <w:szCs w:val="20"/>
              </w:rPr>
              <w:t>Weather Year</w:t>
            </w:r>
          </w:p>
        </w:tc>
        <w:tc>
          <w:tcPr>
            <w:tcW w:w="757" w:type="dxa"/>
            <w:vMerge w:val="restart"/>
            <w:tcBorders>
              <w:top w:val="single" w:sz="4" w:space="0" w:color="auto"/>
              <w:left w:val="single" w:sz="4" w:space="0" w:color="FFFFFF"/>
              <w:bottom w:val="single" w:sz="4" w:space="0" w:color="000000"/>
              <w:right w:val="single" w:sz="4" w:space="0" w:color="FFFFFF"/>
            </w:tcBorders>
            <w:shd w:val="clear" w:color="auto" w:fill="002060"/>
            <w:vAlign w:val="center"/>
            <w:hideMark/>
          </w:tcPr>
          <w:p w:rsidR="005D69DB" w:rsidRPr="005D69DB" w:rsidRDefault="005D69DB" w:rsidP="00336E76">
            <w:pPr>
              <w:jc w:val="center"/>
              <w:rPr>
                <w:b/>
                <w:bCs/>
                <w:color w:val="FFFFFF"/>
                <w:sz w:val="20"/>
                <w:szCs w:val="20"/>
              </w:rPr>
            </w:pPr>
            <w:r w:rsidRPr="005D69DB">
              <w:rPr>
                <w:b/>
                <w:bCs/>
                <w:color w:val="FFFFFF"/>
                <w:sz w:val="20"/>
                <w:szCs w:val="20"/>
              </w:rPr>
              <w:t>Year</w:t>
            </w:r>
          </w:p>
        </w:tc>
        <w:tc>
          <w:tcPr>
            <w:tcW w:w="1005" w:type="dxa"/>
            <w:vMerge w:val="restart"/>
            <w:tcBorders>
              <w:top w:val="single" w:sz="4" w:space="0" w:color="auto"/>
              <w:left w:val="single" w:sz="4" w:space="0" w:color="FFFFFF"/>
              <w:bottom w:val="single" w:sz="4" w:space="0" w:color="000000"/>
              <w:right w:val="single" w:sz="4" w:space="0" w:color="FFFFFF"/>
            </w:tcBorders>
            <w:shd w:val="clear" w:color="auto" w:fill="002060"/>
            <w:vAlign w:val="center"/>
            <w:hideMark/>
          </w:tcPr>
          <w:p w:rsidR="005D69DB" w:rsidRPr="005D69DB" w:rsidRDefault="005D69DB" w:rsidP="00336E76">
            <w:pPr>
              <w:jc w:val="center"/>
              <w:rPr>
                <w:b/>
                <w:bCs/>
                <w:color w:val="FFFFFF"/>
                <w:sz w:val="20"/>
                <w:szCs w:val="20"/>
              </w:rPr>
            </w:pPr>
            <w:r w:rsidRPr="005D69DB">
              <w:rPr>
                <w:b/>
                <w:bCs/>
                <w:color w:val="FFFFFF"/>
                <w:sz w:val="20"/>
                <w:szCs w:val="20"/>
              </w:rPr>
              <w:t>Enrolled Accounts</w:t>
            </w:r>
          </w:p>
        </w:tc>
        <w:tc>
          <w:tcPr>
            <w:tcW w:w="1586" w:type="dxa"/>
            <w:tcBorders>
              <w:top w:val="single" w:sz="4" w:space="0" w:color="auto"/>
              <w:left w:val="nil"/>
              <w:bottom w:val="single" w:sz="4" w:space="0" w:color="FFFFFF"/>
              <w:right w:val="single" w:sz="4" w:space="0" w:color="FFFFFF"/>
            </w:tcBorders>
            <w:shd w:val="clear" w:color="auto" w:fill="002060"/>
            <w:vAlign w:val="center"/>
            <w:hideMark/>
          </w:tcPr>
          <w:p w:rsidR="005D69DB" w:rsidRPr="005D69DB" w:rsidRDefault="005D69DB" w:rsidP="00336E76">
            <w:pPr>
              <w:jc w:val="center"/>
              <w:rPr>
                <w:b/>
                <w:bCs/>
                <w:color w:val="FFFFFF"/>
                <w:sz w:val="20"/>
                <w:szCs w:val="20"/>
              </w:rPr>
            </w:pPr>
            <w:r w:rsidRPr="005D69DB">
              <w:rPr>
                <w:b/>
                <w:bCs/>
                <w:color w:val="FFFFFF"/>
                <w:sz w:val="20"/>
                <w:szCs w:val="20"/>
              </w:rPr>
              <w:t>Aggregate Reference Load</w:t>
            </w:r>
          </w:p>
        </w:tc>
        <w:tc>
          <w:tcPr>
            <w:tcW w:w="1094" w:type="dxa"/>
            <w:tcBorders>
              <w:top w:val="single" w:sz="4" w:space="0" w:color="auto"/>
              <w:left w:val="nil"/>
              <w:bottom w:val="single" w:sz="4" w:space="0" w:color="FFFFFF"/>
              <w:right w:val="single" w:sz="4" w:space="0" w:color="FFFFFF"/>
            </w:tcBorders>
            <w:shd w:val="clear" w:color="auto" w:fill="002060"/>
            <w:vAlign w:val="center"/>
            <w:hideMark/>
          </w:tcPr>
          <w:p w:rsidR="005D69DB" w:rsidRPr="005D69DB" w:rsidRDefault="005D69DB" w:rsidP="00336E76">
            <w:pPr>
              <w:jc w:val="center"/>
              <w:rPr>
                <w:b/>
                <w:bCs/>
                <w:color w:val="FFFFFF"/>
                <w:sz w:val="20"/>
                <w:szCs w:val="20"/>
              </w:rPr>
            </w:pPr>
            <w:r w:rsidRPr="005D69DB">
              <w:rPr>
                <w:b/>
                <w:bCs/>
                <w:color w:val="FFFFFF"/>
                <w:sz w:val="20"/>
                <w:szCs w:val="20"/>
              </w:rPr>
              <w:t>Aggregate Estimated Load w/ DR</w:t>
            </w:r>
          </w:p>
        </w:tc>
        <w:tc>
          <w:tcPr>
            <w:tcW w:w="1086" w:type="dxa"/>
            <w:tcBorders>
              <w:top w:val="single" w:sz="4" w:space="0" w:color="auto"/>
              <w:left w:val="nil"/>
              <w:bottom w:val="single" w:sz="4" w:space="0" w:color="FFFFFF"/>
              <w:right w:val="single" w:sz="4" w:space="0" w:color="FFFFFF"/>
            </w:tcBorders>
            <w:shd w:val="clear" w:color="auto" w:fill="002060"/>
            <w:vAlign w:val="center"/>
            <w:hideMark/>
          </w:tcPr>
          <w:p w:rsidR="005D69DB" w:rsidRPr="005D69DB" w:rsidRDefault="005D69DB" w:rsidP="00336E76">
            <w:pPr>
              <w:jc w:val="center"/>
              <w:rPr>
                <w:b/>
                <w:bCs/>
                <w:color w:val="FFFFFF"/>
                <w:sz w:val="20"/>
                <w:szCs w:val="20"/>
              </w:rPr>
            </w:pPr>
            <w:r w:rsidRPr="005D69DB">
              <w:rPr>
                <w:b/>
                <w:bCs/>
                <w:color w:val="FFFFFF"/>
                <w:sz w:val="20"/>
                <w:szCs w:val="20"/>
              </w:rPr>
              <w:t>Aggregate Load Impact</w:t>
            </w:r>
          </w:p>
        </w:tc>
        <w:tc>
          <w:tcPr>
            <w:tcW w:w="1094" w:type="dxa"/>
            <w:tcBorders>
              <w:top w:val="single" w:sz="4" w:space="0" w:color="auto"/>
              <w:left w:val="nil"/>
              <w:bottom w:val="single" w:sz="4" w:space="0" w:color="FFFFFF"/>
              <w:right w:val="single" w:sz="4" w:space="0" w:color="FFFFFF"/>
            </w:tcBorders>
            <w:shd w:val="clear" w:color="auto" w:fill="002060"/>
            <w:vAlign w:val="center"/>
            <w:hideMark/>
          </w:tcPr>
          <w:p w:rsidR="005D69DB" w:rsidRPr="005D69DB" w:rsidRDefault="005D69DB" w:rsidP="00336E76">
            <w:pPr>
              <w:jc w:val="center"/>
              <w:rPr>
                <w:b/>
                <w:bCs/>
                <w:color w:val="FFFFFF"/>
                <w:sz w:val="20"/>
                <w:szCs w:val="20"/>
              </w:rPr>
            </w:pPr>
            <w:r w:rsidRPr="005D69DB">
              <w:rPr>
                <w:b/>
                <w:bCs/>
                <w:color w:val="FFFFFF"/>
                <w:sz w:val="20"/>
                <w:szCs w:val="20"/>
              </w:rPr>
              <w:t>% Load Reduction</w:t>
            </w:r>
          </w:p>
        </w:tc>
        <w:tc>
          <w:tcPr>
            <w:tcW w:w="1039" w:type="dxa"/>
            <w:tcBorders>
              <w:top w:val="single" w:sz="4" w:space="0" w:color="auto"/>
              <w:left w:val="nil"/>
              <w:bottom w:val="single" w:sz="4" w:space="0" w:color="FFFFFF"/>
              <w:right w:val="single" w:sz="4" w:space="0" w:color="auto"/>
            </w:tcBorders>
            <w:shd w:val="clear" w:color="auto" w:fill="002060"/>
            <w:vAlign w:val="center"/>
            <w:hideMark/>
          </w:tcPr>
          <w:p w:rsidR="005D69DB" w:rsidRPr="005D69DB" w:rsidRDefault="005D69DB" w:rsidP="00336E76">
            <w:pPr>
              <w:jc w:val="center"/>
              <w:rPr>
                <w:b/>
                <w:bCs/>
                <w:color w:val="FFFFFF"/>
                <w:sz w:val="20"/>
                <w:szCs w:val="20"/>
              </w:rPr>
            </w:pPr>
            <w:r w:rsidRPr="005D69DB">
              <w:rPr>
                <w:b/>
                <w:bCs/>
                <w:color w:val="FFFFFF"/>
                <w:sz w:val="20"/>
                <w:szCs w:val="20"/>
              </w:rPr>
              <w:t>Weighted Temp.</w:t>
            </w:r>
          </w:p>
        </w:tc>
      </w:tr>
      <w:tr w:rsidR="005D69DB" w:rsidRPr="001D7FAA" w:rsidTr="00C20677">
        <w:trPr>
          <w:trHeight w:val="440"/>
          <w:jc w:val="center"/>
        </w:trPr>
        <w:tc>
          <w:tcPr>
            <w:tcW w:w="1006" w:type="dxa"/>
            <w:vMerge/>
            <w:tcBorders>
              <w:top w:val="single" w:sz="4" w:space="0" w:color="auto"/>
              <w:left w:val="single" w:sz="4" w:space="0" w:color="auto"/>
              <w:bottom w:val="single" w:sz="4" w:space="0" w:color="000000"/>
              <w:right w:val="single" w:sz="4" w:space="0" w:color="FFFFFF"/>
            </w:tcBorders>
            <w:shd w:val="clear" w:color="auto" w:fill="002060"/>
            <w:vAlign w:val="center"/>
            <w:hideMark/>
          </w:tcPr>
          <w:p w:rsidR="005D69DB" w:rsidRPr="005D69DB" w:rsidRDefault="005D69DB" w:rsidP="00336E76">
            <w:pPr>
              <w:rPr>
                <w:b/>
                <w:bCs/>
                <w:color w:val="FFFFFF"/>
                <w:sz w:val="20"/>
                <w:szCs w:val="20"/>
              </w:rPr>
            </w:pPr>
          </w:p>
        </w:tc>
        <w:tc>
          <w:tcPr>
            <w:tcW w:w="961" w:type="dxa"/>
            <w:vMerge/>
            <w:tcBorders>
              <w:top w:val="single" w:sz="4" w:space="0" w:color="auto"/>
              <w:left w:val="single" w:sz="4" w:space="0" w:color="FFFFFF"/>
              <w:bottom w:val="single" w:sz="4" w:space="0" w:color="000000"/>
              <w:right w:val="single" w:sz="4" w:space="0" w:color="FFFFFF"/>
            </w:tcBorders>
            <w:shd w:val="clear" w:color="auto" w:fill="002060"/>
            <w:vAlign w:val="center"/>
            <w:hideMark/>
          </w:tcPr>
          <w:p w:rsidR="005D69DB" w:rsidRPr="005D69DB" w:rsidRDefault="005D69DB" w:rsidP="00336E76">
            <w:pPr>
              <w:rPr>
                <w:b/>
                <w:bCs/>
                <w:color w:val="FFFFFF"/>
                <w:sz w:val="20"/>
                <w:szCs w:val="20"/>
              </w:rPr>
            </w:pPr>
          </w:p>
        </w:tc>
        <w:tc>
          <w:tcPr>
            <w:tcW w:w="757" w:type="dxa"/>
            <w:vMerge/>
            <w:tcBorders>
              <w:top w:val="single" w:sz="4" w:space="0" w:color="auto"/>
              <w:left w:val="single" w:sz="4" w:space="0" w:color="FFFFFF"/>
              <w:bottom w:val="single" w:sz="4" w:space="0" w:color="000000"/>
              <w:right w:val="single" w:sz="4" w:space="0" w:color="FFFFFF"/>
            </w:tcBorders>
            <w:shd w:val="clear" w:color="auto" w:fill="002060"/>
            <w:vAlign w:val="center"/>
            <w:hideMark/>
          </w:tcPr>
          <w:p w:rsidR="005D69DB" w:rsidRPr="005D69DB" w:rsidRDefault="005D69DB" w:rsidP="00336E76">
            <w:pPr>
              <w:rPr>
                <w:b/>
                <w:bCs/>
                <w:color w:val="FFFFFF"/>
                <w:sz w:val="20"/>
                <w:szCs w:val="20"/>
              </w:rPr>
            </w:pPr>
          </w:p>
        </w:tc>
        <w:tc>
          <w:tcPr>
            <w:tcW w:w="1005" w:type="dxa"/>
            <w:vMerge/>
            <w:tcBorders>
              <w:top w:val="single" w:sz="4" w:space="0" w:color="auto"/>
              <w:left w:val="single" w:sz="4" w:space="0" w:color="FFFFFF"/>
              <w:bottom w:val="single" w:sz="4" w:space="0" w:color="000000"/>
              <w:right w:val="single" w:sz="4" w:space="0" w:color="FFFFFF"/>
            </w:tcBorders>
            <w:shd w:val="clear" w:color="auto" w:fill="002060"/>
            <w:vAlign w:val="center"/>
            <w:hideMark/>
          </w:tcPr>
          <w:p w:rsidR="005D69DB" w:rsidRPr="005D69DB" w:rsidRDefault="005D69DB" w:rsidP="00336E76">
            <w:pPr>
              <w:rPr>
                <w:b/>
                <w:bCs/>
                <w:color w:val="FFFFFF"/>
                <w:sz w:val="20"/>
                <w:szCs w:val="20"/>
              </w:rPr>
            </w:pPr>
          </w:p>
        </w:tc>
        <w:tc>
          <w:tcPr>
            <w:tcW w:w="1586" w:type="dxa"/>
            <w:tcBorders>
              <w:top w:val="nil"/>
              <w:left w:val="nil"/>
              <w:bottom w:val="single" w:sz="4" w:space="0" w:color="auto"/>
              <w:right w:val="single" w:sz="4" w:space="0" w:color="FFFFFF"/>
            </w:tcBorders>
            <w:shd w:val="clear" w:color="auto" w:fill="002060"/>
            <w:vAlign w:val="center"/>
            <w:hideMark/>
          </w:tcPr>
          <w:p w:rsidR="005D69DB" w:rsidRPr="005D69DB" w:rsidRDefault="005D69DB" w:rsidP="00336E76">
            <w:pPr>
              <w:jc w:val="center"/>
              <w:rPr>
                <w:b/>
                <w:bCs/>
                <w:color w:val="FFFFFF"/>
                <w:sz w:val="20"/>
                <w:szCs w:val="20"/>
              </w:rPr>
            </w:pPr>
            <w:r w:rsidRPr="005D69DB">
              <w:rPr>
                <w:b/>
                <w:bCs/>
                <w:color w:val="FFFFFF"/>
                <w:sz w:val="20"/>
                <w:szCs w:val="20"/>
              </w:rPr>
              <w:t>(MW 1–6 PM)</w:t>
            </w:r>
          </w:p>
        </w:tc>
        <w:tc>
          <w:tcPr>
            <w:tcW w:w="1094" w:type="dxa"/>
            <w:tcBorders>
              <w:top w:val="nil"/>
              <w:left w:val="nil"/>
              <w:bottom w:val="single" w:sz="4" w:space="0" w:color="auto"/>
              <w:right w:val="single" w:sz="4" w:space="0" w:color="FFFFFF"/>
            </w:tcBorders>
            <w:shd w:val="clear" w:color="auto" w:fill="002060"/>
            <w:vAlign w:val="center"/>
            <w:hideMark/>
          </w:tcPr>
          <w:p w:rsidR="005D69DB" w:rsidRPr="005D69DB" w:rsidRDefault="005D69DB" w:rsidP="00336E76">
            <w:pPr>
              <w:jc w:val="center"/>
              <w:rPr>
                <w:b/>
                <w:bCs/>
                <w:color w:val="FFFFFF"/>
                <w:sz w:val="20"/>
                <w:szCs w:val="20"/>
              </w:rPr>
            </w:pPr>
            <w:r w:rsidRPr="005D69DB">
              <w:rPr>
                <w:b/>
                <w:bCs/>
                <w:color w:val="FFFFFF"/>
                <w:sz w:val="20"/>
                <w:szCs w:val="20"/>
              </w:rPr>
              <w:t>(MW 1–6 PM)</w:t>
            </w:r>
          </w:p>
        </w:tc>
        <w:tc>
          <w:tcPr>
            <w:tcW w:w="1086" w:type="dxa"/>
            <w:tcBorders>
              <w:top w:val="nil"/>
              <w:left w:val="nil"/>
              <w:bottom w:val="single" w:sz="4" w:space="0" w:color="auto"/>
              <w:right w:val="single" w:sz="4" w:space="0" w:color="FFFFFF"/>
            </w:tcBorders>
            <w:shd w:val="clear" w:color="auto" w:fill="002060"/>
            <w:vAlign w:val="center"/>
            <w:hideMark/>
          </w:tcPr>
          <w:p w:rsidR="005D69DB" w:rsidRPr="005D69DB" w:rsidRDefault="005D69DB" w:rsidP="00336E76">
            <w:pPr>
              <w:jc w:val="center"/>
              <w:rPr>
                <w:b/>
                <w:bCs/>
                <w:color w:val="FFFFFF"/>
                <w:sz w:val="20"/>
                <w:szCs w:val="20"/>
              </w:rPr>
            </w:pPr>
            <w:r w:rsidRPr="005D69DB">
              <w:rPr>
                <w:b/>
                <w:bCs/>
                <w:color w:val="FFFFFF"/>
                <w:sz w:val="20"/>
                <w:szCs w:val="20"/>
              </w:rPr>
              <w:t>(MW 1–6 PM)</w:t>
            </w:r>
          </w:p>
        </w:tc>
        <w:tc>
          <w:tcPr>
            <w:tcW w:w="1094" w:type="dxa"/>
            <w:tcBorders>
              <w:top w:val="nil"/>
              <w:left w:val="nil"/>
              <w:bottom w:val="single" w:sz="4" w:space="0" w:color="auto"/>
              <w:right w:val="single" w:sz="4" w:space="0" w:color="FFFFFF"/>
            </w:tcBorders>
            <w:shd w:val="clear" w:color="auto" w:fill="002060"/>
            <w:vAlign w:val="center"/>
            <w:hideMark/>
          </w:tcPr>
          <w:p w:rsidR="005D69DB" w:rsidRPr="005D69DB" w:rsidRDefault="005D69DB" w:rsidP="00336E76">
            <w:pPr>
              <w:jc w:val="center"/>
              <w:rPr>
                <w:b/>
                <w:bCs/>
                <w:color w:val="FFFFFF"/>
                <w:sz w:val="20"/>
                <w:szCs w:val="20"/>
              </w:rPr>
            </w:pPr>
            <w:r w:rsidRPr="005D69DB">
              <w:rPr>
                <w:b/>
                <w:bCs/>
                <w:color w:val="FFFFFF"/>
                <w:sz w:val="20"/>
                <w:szCs w:val="20"/>
              </w:rPr>
              <w:t>(%)</w:t>
            </w:r>
          </w:p>
        </w:tc>
        <w:tc>
          <w:tcPr>
            <w:tcW w:w="1039" w:type="dxa"/>
            <w:tcBorders>
              <w:top w:val="nil"/>
              <w:left w:val="nil"/>
              <w:bottom w:val="single" w:sz="4" w:space="0" w:color="auto"/>
              <w:right w:val="single" w:sz="4" w:space="0" w:color="auto"/>
            </w:tcBorders>
            <w:shd w:val="clear" w:color="auto" w:fill="002060"/>
            <w:vAlign w:val="center"/>
            <w:hideMark/>
          </w:tcPr>
          <w:p w:rsidR="005D69DB" w:rsidRPr="005D69DB" w:rsidRDefault="005D69DB" w:rsidP="00336E76">
            <w:pPr>
              <w:jc w:val="center"/>
              <w:rPr>
                <w:b/>
                <w:bCs/>
                <w:color w:val="FFFFFF"/>
                <w:sz w:val="20"/>
                <w:szCs w:val="20"/>
              </w:rPr>
            </w:pPr>
            <w:r w:rsidRPr="005D69DB">
              <w:rPr>
                <w:b/>
                <w:bCs/>
                <w:color w:val="FFFFFF"/>
                <w:sz w:val="20"/>
                <w:szCs w:val="20"/>
              </w:rPr>
              <w:t>(°F)</w:t>
            </w:r>
          </w:p>
        </w:tc>
      </w:tr>
      <w:tr w:rsidR="005D69DB" w:rsidRPr="001D7FAA" w:rsidTr="00C20677">
        <w:trPr>
          <w:trHeight w:val="255"/>
          <w:jc w:val="center"/>
        </w:trPr>
        <w:tc>
          <w:tcPr>
            <w:tcW w:w="10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D69DB" w:rsidRPr="005D69DB" w:rsidRDefault="005D69DB" w:rsidP="00336E76">
            <w:pPr>
              <w:jc w:val="center"/>
              <w:rPr>
                <w:color w:val="000000"/>
                <w:sz w:val="20"/>
                <w:szCs w:val="20"/>
              </w:rPr>
            </w:pPr>
            <w:r w:rsidRPr="005D69DB">
              <w:rPr>
                <w:color w:val="000000"/>
                <w:sz w:val="20"/>
                <w:szCs w:val="20"/>
              </w:rPr>
              <w:t>SDG&amp;E</w:t>
            </w:r>
          </w:p>
        </w:tc>
        <w:tc>
          <w:tcPr>
            <w:tcW w:w="961" w:type="dxa"/>
            <w:vMerge w:val="restart"/>
            <w:tcBorders>
              <w:top w:val="nil"/>
              <w:left w:val="single" w:sz="4" w:space="0" w:color="auto"/>
              <w:bottom w:val="single" w:sz="4" w:space="0" w:color="auto"/>
              <w:right w:val="single" w:sz="4" w:space="0" w:color="auto"/>
            </w:tcBorders>
            <w:shd w:val="clear" w:color="auto" w:fill="auto"/>
            <w:vAlign w:val="center"/>
            <w:hideMark/>
          </w:tcPr>
          <w:p w:rsidR="005D69DB" w:rsidRPr="005D69DB" w:rsidRDefault="005D69DB" w:rsidP="00336E76">
            <w:pPr>
              <w:jc w:val="center"/>
              <w:rPr>
                <w:color w:val="000000"/>
                <w:sz w:val="20"/>
                <w:szCs w:val="20"/>
              </w:rPr>
            </w:pPr>
            <w:r w:rsidRPr="005D69DB">
              <w:rPr>
                <w:color w:val="000000"/>
                <w:sz w:val="20"/>
                <w:szCs w:val="20"/>
              </w:rPr>
              <w:t>1-in-10</w:t>
            </w:r>
          </w:p>
        </w:tc>
        <w:tc>
          <w:tcPr>
            <w:tcW w:w="757"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2016</w:t>
            </w:r>
          </w:p>
        </w:tc>
        <w:tc>
          <w:tcPr>
            <w:tcW w:w="1005"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1271</w:t>
            </w:r>
          </w:p>
        </w:tc>
        <w:tc>
          <w:tcPr>
            <w:tcW w:w="15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302.0</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276.9</w:t>
            </w:r>
          </w:p>
        </w:tc>
        <w:tc>
          <w:tcPr>
            <w:tcW w:w="10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25.1</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8.3%</w:t>
            </w:r>
          </w:p>
        </w:tc>
        <w:tc>
          <w:tcPr>
            <w:tcW w:w="1039" w:type="dxa"/>
            <w:tcBorders>
              <w:top w:val="single" w:sz="4" w:space="0" w:color="auto"/>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86.6</w:t>
            </w:r>
          </w:p>
        </w:tc>
      </w:tr>
      <w:tr w:rsidR="005D69DB" w:rsidRPr="001D7FAA" w:rsidTr="00C20677">
        <w:trPr>
          <w:trHeight w:val="255"/>
          <w:jc w:val="center"/>
        </w:trPr>
        <w:tc>
          <w:tcPr>
            <w:tcW w:w="1006"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961"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757"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2017</w:t>
            </w:r>
          </w:p>
        </w:tc>
        <w:tc>
          <w:tcPr>
            <w:tcW w:w="1005"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1282</w:t>
            </w:r>
          </w:p>
        </w:tc>
        <w:tc>
          <w:tcPr>
            <w:tcW w:w="15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304.6</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279.3</w:t>
            </w:r>
          </w:p>
        </w:tc>
        <w:tc>
          <w:tcPr>
            <w:tcW w:w="10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25.3</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8.3%</w:t>
            </w:r>
          </w:p>
        </w:tc>
        <w:tc>
          <w:tcPr>
            <w:tcW w:w="1039"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86.6</w:t>
            </w:r>
          </w:p>
        </w:tc>
      </w:tr>
      <w:tr w:rsidR="005D69DB" w:rsidRPr="001D7FAA" w:rsidTr="00C20677">
        <w:trPr>
          <w:trHeight w:val="255"/>
          <w:jc w:val="center"/>
        </w:trPr>
        <w:tc>
          <w:tcPr>
            <w:tcW w:w="1006"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961"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757"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2026</w:t>
            </w:r>
          </w:p>
        </w:tc>
        <w:tc>
          <w:tcPr>
            <w:tcW w:w="1005"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1419</w:t>
            </w:r>
          </w:p>
        </w:tc>
        <w:tc>
          <w:tcPr>
            <w:tcW w:w="15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337.2</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309.2</w:t>
            </w:r>
          </w:p>
        </w:tc>
        <w:tc>
          <w:tcPr>
            <w:tcW w:w="10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27.9</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8.3%</w:t>
            </w:r>
          </w:p>
        </w:tc>
        <w:tc>
          <w:tcPr>
            <w:tcW w:w="1039"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86.6</w:t>
            </w:r>
          </w:p>
        </w:tc>
      </w:tr>
      <w:tr w:rsidR="005D69DB" w:rsidRPr="001D7FAA" w:rsidTr="00C20677">
        <w:trPr>
          <w:trHeight w:val="255"/>
          <w:jc w:val="center"/>
        </w:trPr>
        <w:tc>
          <w:tcPr>
            <w:tcW w:w="1006"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961" w:type="dxa"/>
            <w:vMerge w:val="restart"/>
            <w:tcBorders>
              <w:top w:val="nil"/>
              <w:left w:val="single" w:sz="4" w:space="0" w:color="auto"/>
              <w:bottom w:val="single" w:sz="4" w:space="0" w:color="auto"/>
              <w:right w:val="single" w:sz="4" w:space="0" w:color="auto"/>
            </w:tcBorders>
            <w:shd w:val="clear" w:color="auto" w:fill="auto"/>
            <w:vAlign w:val="center"/>
            <w:hideMark/>
          </w:tcPr>
          <w:p w:rsidR="005D69DB" w:rsidRPr="005D69DB" w:rsidRDefault="005D69DB" w:rsidP="00336E76">
            <w:pPr>
              <w:jc w:val="center"/>
              <w:rPr>
                <w:color w:val="000000"/>
                <w:sz w:val="20"/>
                <w:szCs w:val="20"/>
              </w:rPr>
            </w:pPr>
            <w:r w:rsidRPr="005D69DB">
              <w:rPr>
                <w:color w:val="000000"/>
                <w:sz w:val="20"/>
                <w:szCs w:val="20"/>
              </w:rPr>
              <w:t>1-in-2</w:t>
            </w:r>
          </w:p>
        </w:tc>
        <w:tc>
          <w:tcPr>
            <w:tcW w:w="757"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2016</w:t>
            </w:r>
          </w:p>
        </w:tc>
        <w:tc>
          <w:tcPr>
            <w:tcW w:w="1005"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1271</w:t>
            </w:r>
          </w:p>
        </w:tc>
        <w:tc>
          <w:tcPr>
            <w:tcW w:w="15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286.8</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264.7</w:t>
            </w:r>
          </w:p>
        </w:tc>
        <w:tc>
          <w:tcPr>
            <w:tcW w:w="10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22.1</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7.7%</w:t>
            </w:r>
          </w:p>
        </w:tc>
        <w:tc>
          <w:tcPr>
            <w:tcW w:w="1039"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81.2</w:t>
            </w:r>
          </w:p>
        </w:tc>
      </w:tr>
      <w:tr w:rsidR="005D69DB" w:rsidRPr="001D7FAA" w:rsidTr="00C20677">
        <w:trPr>
          <w:trHeight w:val="255"/>
          <w:jc w:val="center"/>
        </w:trPr>
        <w:tc>
          <w:tcPr>
            <w:tcW w:w="1006"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961"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757"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2017</w:t>
            </w:r>
          </w:p>
        </w:tc>
        <w:tc>
          <w:tcPr>
            <w:tcW w:w="1005"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1282</w:t>
            </w:r>
          </w:p>
        </w:tc>
        <w:tc>
          <w:tcPr>
            <w:tcW w:w="15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289.3</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267.0</w:t>
            </w:r>
          </w:p>
        </w:tc>
        <w:tc>
          <w:tcPr>
            <w:tcW w:w="10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22.3</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7.7%</w:t>
            </w:r>
          </w:p>
        </w:tc>
        <w:tc>
          <w:tcPr>
            <w:tcW w:w="1039"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81.2</w:t>
            </w:r>
          </w:p>
        </w:tc>
      </w:tr>
      <w:tr w:rsidR="005D69DB" w:rsidRPr="001D7FAA" w:rsidTr="00C20677">
        <w:trPr>
          <w:trHeight w:val="255"/>
          <w:jc w:val="center"/>
        </w:trPr>
        <w:tc>
          <w:tcPr>
            <w:tcW w:w="1006"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961"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757"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2026</w:t>
            </w:r>
          </w:p>
        </w:tc>
        <w:tc>
          <w:tcPr>
            <w:tcW w:w="1005"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1419</w:t>
            </w:r>
          </w:p>
        </w:tc>
        <w:tc>
          <w:tcPr>
            <w:tcW w:w="15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320.2</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295.6</w:t>
            </w:r>
          </w:p>
        </w:tc>
        <w:tc>
          <w:tcPr>
            <w:tcW w:w="10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24.6</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7.7%</w:t>
            </w:r>
          </w:p>
        </w:tc>
        <w:tc>
          <w:tcPr>
            <w:tcW w:w="1039"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81.2</w:t>
            </w:r>
          </w:p>
        </w:tc>
      </w:tr>
      <w:tr w:rsidR="005D69DB" w:rsidRPr="001D7FAA" w:rsidTr="00C20677">
        <w:trPr>
          <w:trHeight w:val="255"/>
          <w:jc w:val="center"/>
        </w:trPr>
        <w:tc>
          <w:tcPr>
            <w:tcW w:w="100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D69DB" w:rsidRPr="005D69DB" w:rsidRDefault="005D69DB" w:rsidP="00336E76">
            <w:pPr>
              <w:jc w:val="center"/>
              <w:rPr>
                <w:color w:val="000000"/>
                <w:sz w:val="20"/>
                <w:szCs w:val="20"/>
              </w:rPr>
            </w:pPr>
            <w:r w:rsidRPr="005D69DB">
              <w:rPr>
                <w:color w:val="000000"/>
                <w:sz w:val="20"/>
                <w:szCs w:val="20"/>
              </w:rPr>
              <w:t>CAISO</w:t>
            </w:r>
          </w:p>
        </w:tc>
        <w:tc>
          <w:tcPr>
            <w:tcW w:w="961" w:type="dxa"/>
            <w:vMerge w:val="restart"/>
            <w:tcBorders>
              <w:top w:val="nil"/>
              <w:left w:val="single" w:sz="4" w:space="0" w:color="auto"/>
              <w:bottom w:val="single" w:sz="4" w:space="0" w:color="auto"/>
              <w:right w:val="single" w:sz="4" w:space="0" w:color="auto"/>
            </w:tcBorders>
            <w:shd w:val="clear" w:color="auto" w:fill="auto"/>
            <w:vAlign w:val="center"/>
            <w:hideMark/>
          </w:tcPr>
          <w:p w:rsidR="005D69DB" w:rsidRPr="005D69DB" w:rsidRDefault="005D69DB" w:rsidP="00336E76">
            <w:pPr>
              <w:jc w:val="center"/>
              <w:rPr>
                <w:color w:val="000000"/>
                <w:sz w:val="20"/>
                <w:szCs w:val="20"/>
              </w:rPr>
            </w:pPr>
            <w:r w:rsidRPr="005D69DB">
              <w:rPr>
                <w:color w:val="000000"/>
                <w:sz w:val="20"/>
                <w:szCs w:val="20"/>
              </w:rPr>
              <w:t>1-in-10</w:t>
            </w:r>
          </w:p>
        </w:tc>
        <w:tc>
          <w:tcPr>
            <w:tcW w:w="757"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2016</w:t>
            </w:r>
          </w:p>
        </w:tc>
        <w:tc>
          <w:tcPr>
            <w:tcW w:w="1005"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1271</w:t>
            </w:r>
          </w:p>
        </w:tc>
        <w:tc>
          <w:tcPr>
            <w:tcW w:w="15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293.3</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269.9</w:t>
            </w:r>
          </w:p>
        </w:tc>
        <w:tc>
          <w:tcPr>
            <w:tcW w:w="10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23.4</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8.0%</w:t>
            </w:r>
          </w:p>
        </w:tc>
        <w:tc>
          <w:tcPr>
            <w:tcW w:w="1039"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83.8</w:t>
            </w:r>
          </w:p>
        </w:tc>
      </w:tr>
      <w:tr w:rsidR="005D69DB" w:rsidRPr="001D7FAA" w:rsidTr="00C20677">
        <w:trPr>
          <w:trHeight w:val="255"/>
          <w:jc w:val="center"/>
        </w:trPr>
        <w:tc>
          <w:tcPr>
            <w:tcW w:w="1006"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961"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757"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2017</w:t>
            </w:r>
          </w:p>
        </w:tc>
        <w:tc>
          <w:tcPr>
            <w:tcW w:w="1005"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1282</w:t>
            </w:r>
          </w:p>
        </w:tc>
        <w:tc>
          <w:tcPr>
            <w:tcW w:w="15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295.9</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272.3</w:t>
            </w:r>
          </w:p>
        </w:tc>
        <w:tc>
          <w:tcPr>
            <w:tcW w:w="10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23.6</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8.0%</w:t>
            </w:r>
          </w:p>
        </w:tc>
        <w:tc>
          <w:tcPr>
            <w:tcW w:w="1039"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83.8</w:t>
            </w:r>
          </w:p>
        </w:tc>
      </w:tr>
      <w:tr w:rsidR="005D69DB" w:rsidRPr="001D7FAA" w:rsidTr="00C20677">
        <w:trPr>
          <w:trHeight w:val="255"/>
          <w:jc w:val="center"/>
        </w:trPr>
        <w:tc>
          <w:tcPr>
            <w:tcW w:w="1006"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961"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757"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2026</w:t>
            </w:r>
          </w:p>
        </w:tc>
        <w:tc>
          <w:tcPr>
            <w:tcW w:w="1005"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1419</w:t>
            </w:r>
          </w:p>
        </w:tc>
        <w:tc>
          <w:tcPr>
            <w:tcW w:w="15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327.5</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301.5</w:t>
            </w:r>
          </w:p>
        </w:tc>
        <w:tc>
          <w:tcPr>
            <w:tcW w:w="10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26.0</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8.0%</w:t>
            </w:r>
          </w:p>
        </w:tc>
        <w:tc>
          <w:tcPr>
            <w:tcW w:w="1039"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83.8</w:t>
            </w:r>
          </w:p>
        </w:tc>
      </w:tr>
      <w:tr w:rsidR="005D69DB" w:rsidRPr="001D7FAA" w:rsidTr="00C20677">
        <w:trPr>
          <w:trHeight w:val="255"/>
          <w:jc w:val="center"/>
        </w:trPr>
        <w:tc>
          <w:tcPr>
            <w:tcW w:w="1006"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961" w:type="dxa"/>
            <w:vMerge w:val="restart"/>
            <w:tcBorders>
              <w:top w:val="nil"/>
              <w:left w:val="single" w:sz="4" w:space="0" w:color="auto"/>
              <w:bottom w:val="single" w:sz="4" w:space="0" w:color="auto"/>
              <w:right w:val="single" w:sz="4" w:space="0" w:color="auto"/>
            </w:tcBorders>
            <w:shd w:val="clear" w:color="auto" w:fill="auto"/>
            <w:vAlign w:val="center"/>
            <w:hideMark/>
          </w:tcPr>
          <w:p w:rsidR="005D69DB" w:rsidRPr="005D69DB" w:rsidRDefault="005D69DB" w:rsidP="00336E76">
            <w:pPr>
              <w:jc w:val="center"/>
              <w:rPr>
                <w:color w:val="000000"/>
                <w:sz w:val="20"/>
                <w:szCs w:val="20"/>
              </w:rPr>
            </w:pPr>
            <w:r w:rsidRPr="005D69DB">
              <w:rPr>
                <w:color w:val="000000"/>
                <w:sz w:val="20"/>
                <w:szCs w:val="20"/>
              </w:rPr>
              <w:t>1-in-2</w:t>
            </w:r>
          </w:p>
        </w:tc>
        <w:tc>
          <w:tcPr>
            <w:tcW w:w="757"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2016</w:t>
            </w:r>
          </w:p>
        </w:tc>
        <w:tc>
          <w:tcPr>
            <w:tcW w:w="1005"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1271</w:t>
            </w:r>
          </w:p>
        </w:tc>
        <w:tc>
          <w:tcPr>
            <w:tcW w:w="15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291.1</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268.1</w:t>
            </w:r>
          </w:p>
        </w:tc>
        <w:tc>
          <w:tcPr>
            <w:tcW w:w="10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22.9</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7.9%</w:t>
            </w:r>
          </w:p>
        </w:tc>
        <w:tc>
          <w:tcPr>
            <w:tcW w:w="1039"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83.5</w:t>
            </w:r>
          </w:p>
        </w:tc>
      </w:tr>
      <w:tr w:rsidR="005D69DB" w:rsidRPr="001D7FAA" w:rsidTr="00C20677">
        <w:trPr>
          <w:trHeight w:val="255"/>
          <w:jc w:val="center"/>
        </w:trPr>
        <w:tc>
          <w:tcPr>
            <w:tcW w:w="1006"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961"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757"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2017</w:t>
            </w:r>
          </w:p>
        </w:tc>
        <w:tc>
          <w:tcPr>
            <w:tcW w:w="1005"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1282</w:t>
            </w:r>
          </w:p>
        </w:tc>
        <w:tc>
          <w:tcPr>
            <w:tcW w:w="15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293.6</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270.5</w:t>
            </w:r>
          </w:p>
        </w:tc>
        <w:tc>
          <w:tcPr>
            <w:tcW w:w="10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23.1</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7.9%</w:t>
            </w:r>
          </w:p>
        </w:tc>
        <w:tc>
          <w:tcPr>
            <w:tcW w:w="1039"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83.5</w:t>
            </w:r>
          </w:p>
        </w:tc>
      </w:tr>
      <w:tr w:rsidR="005D69DB" w:rsidRPr="001D7FAA" w:rsidTr="00C20677">
        <w:trPr>
          <w:trHeight w:val="255"/>
          <w:jc w:val="center"/>
        </w:trPr>
        <w:tc>
          <w:tcPr>
            <w:tcW w:w="1006"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961" w:type="dxa"/>
            <w:vMerge/>
            <w:tcBorders>
              <w:top w:val="nil"/>
              <w:left w:val="single" w:sz="4" w:space="0" w:color="auto"/>
              <w:bottom w:val="single" w:sz="4" w:space="0" w:color="auto"/>
              <w:right w:val="single" w:sz="4" w:space="0" w:color="auto"/>
            </w:tcBorders>
            <w:vAlign w:val="center"/>
            <w:hideMark/>
          </w:tcPr>
          <w:p w:rsidR="005D69DB" w:rsidRPr="005D69DB" w:rsidRDefault="005D69DB" w:rsidP="00336E76">
            <w:pPr>
              <w:rPr>
                <w:color w:val="000000"/>
                <w:sz w:val="20"/>
                <w:szCs w:val="20"/>
              </w:rPr>
            </w:pPr>
          </w:p>
        </w:tc>
        <w:tc>
          <w:tcPr>
            <w:tcW w:w="757"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2026</w:t>
            </w:r>
          </w:p>
        </w:tc>
        <w:tc>
          <w:tcPr>
            <w:tcW w:w="1005"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1419</w:t>
            </w:r>
          </w:p>
        </w:tc>
        <w:tc>
          <w:tcPr>
            <w:tcW w:w="15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325.0</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299.5</w:t>
            </w:r>
          </w:p>
        </w:tc>
        <w:tc>
          <w:tcPr>
            <w:tcW w:w="1086"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25.6</w:t>
            </w:r>
          </w:p>
        </w:tc>
        <w:tc>
          <w:tcPr>
            <w:tcW w:w="1094"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7.9%</w:t>
            </w:r>
          </w:p>
        </w:tc>
        <w:tc>
          <w:tcPr>
            <w:tcW w:w="1039" w:type="dxa"/>
            <w:tcBorders>
              <w:top w:val="nil"/>
              <w:left w:val="nil"/>
              <w:bottom w:val="single" w:sz="4" w:space="0" w:color="auto"/>
              <w:right w:val="single" w:sz="4" w:space="0" w:color="auto"/>
            </w:tcBorders>
            <w:shd w:val="clear" w:color="auto" w:fill="auto"/>
            <w:noWrap/>
            <w:vAlign w:val="bottom"/>
            <w:hideMark/>
          </w:tcPr>
          <w:p w:rsidR="005D69DB" w:rsidRPr="005D69DB" w:rsidRDefault="005D69DB" w:rsidP="00336E76">
            <w:pPr>
              <w:contextualSpacing/>
              <w:jc w:val="center"/>
              <w:rPr>
                <w:color w:val="000000"/>
                <w:sz w:val="20"/>
                <w:szCs w:val="20"/>
              </w:rPr>
            </w:pPr>
            <w:r w:rsidRPr="005D69DB">
              <w:rPr>
                <w:color w:val="000000"/>
                <w:sz w:val="20"/>
                <w:szCs w:val="20"/>
              </w:rPr>
              <w:t>83.5</w:t>
            </w:r>
          </w:p>
        </w:tc>
      </w:tr>
    </w:tbl>
    <w:p w:rsidR="005D69DB" w:rsidRDefault="005D69DB" w:rsidP="005D69DB">
      <w:pPr>
        <w:pStyle w:val="BodyParagraph"/>
      </w:pPr>
    </w:p>
    <w:p w:rsidR="009C4CBE" w:rsidRPr="008227A8" w:rsidRDefault="00B56A7D" w:rsidP="00153D9E">
      <w:pPr>
        <w:pStyle w:val="Heading4"/>
        <w:spacing w:before="0" w:after="0"/>
        <w:ind w:left="900" w:hanging="900"/>
        <w:rPr>
          <w:rFonts w:ascii="Times New Roman" w:hAnsi="Times New Roman"/>
          <w:color w:val="000000" w:themeColor="text1"/>
          <w:sz w:val="24"/>
          <w:szCs w:val="24"/>
        </w:rPr>
      </w:pPr>
      <w:r w:rsidRPr="008227A8">
        <w:rPr>
          <w:rFonts w:ascii="Times New Roman" w:hAnsi="Times New Roman"/>
          <w:color w:val="000000" w:themeColor="text1"/>
          <w:sz w:val="24"/>
          <w:szCs w:val="24"/>
          <w:lang w:val="fr-FR"/>
        </w:rPr>
        <w:lastRenderedPageBreak/>
        <w:t>Comparison of 201</w:t>
      </w:r>
      <w:r w:rsidR="00960F2C">
        <w:rPr>
          <w:rFonts w:ascii="Times New Roman" w:hAnsi="Times New Roman"/>
          <w:color w:val="000000" w:themeColor="text1"/>
          <w:sz w:val="24"/>
          <w:szCs w:val="24"/>
          <w:lang w:val="fr-FR"/>
        </w:rPr>
        <w:t>4</w:t>
      </w:r>
      <w:r w:rsidRPr="008227A8">
        <w:rPr>
          <w:rFonts w:ascii="Times New Roman" w:hAnsi="Times New Roman"/>
          <w:color w:val="000000" w:themeColor="text1"/>
          <w:sz w:val="24"/>
          <w:szCs w:val="24"/>
          <w:lang w:val="fr-FR"/>
        </w:rPr>
        <w:t xml:space="preserve"> and 201</w:t>
      </w:r>
      <w:r w:rsidR="00960F2C">
        <w:rPr>
          <w:rFonts w:ascii="Times New Roman" w:hAnsi="Times New Roman"/>
          <w:color w:val="000000" w:themeColor="text1"/>
          <w:sz w:val="24"/>
          <w:szCs w:val="24"/>
          <w:lang w:val="fr-FR"/>
        </w:rPr>
        <w:t>5</w:t>
      </w:r>
      <w:r w:rsidRPr="008227A8">
        <w:rPr>
          <w:rFonts w:ascii="Times New Roman" w:hAnsi="Times New Roman"/>
          <w:color w:val="000000" w:themeColor="text1"/>
          <w:sz w:val="24"/>
          <w:szCs w:val="24"/>
          <w:lang w:val="fr-FR"/>
        </w:rPr>
        <w:t xml:space="preserve"> </w:t>
      </w:r>
      <w:r w:rsidR="008C46A8" w:rsidRPr="008227A8">
        <w:rPr>
          <w:rFonts w:ascii="Times New Roman" w:hAnsi="Times New Roman"/>
          <w:color w:val="000000" w:themeColor="text1"/>
          <w:sz w:val="24"/>
          <w:szCs w:val="24"/>
          <w:lang w:val="fr-FR"/>
        </w:rPr>
        <w:t>Ex-Ante</w:t>
      </w:r>
      <w:r w:rsidRPr="008227A8">
        <w:rPr>
          <w:rFonts w:ascii="Times New Roman" w:hAnsi="Times New Roman"/>
          <w:color w:val="000000" w:themeColor="text1"/>
          <w:sz w:val="24"/>
          <w:szCs w:val="24"/>
          <w:lang w:val="fr-FR"/>
        </w:rPr>
        <w:t xml:space="preserve"> Estimates</w:t>
      </w:r>
    </w:p>
    <w:p w:rsidR="00AF484A" w:rsidRPr="008227A8" w:rsidRDefault="00AF484A" w:rsidP="00AF484A">
      <w:pPr>
        <w:pStyle w:val="BodyParagraph"/>
        <w:spacing w:after="0" w:line="240" w:lineRule="auto"/>
        <w:ind w:firstLine="720"/>
        <w:rPr>
          <w:color w:val="000000" w:themeColor="text1"/>
        </w:rPr>
      </w:pPr>
    </w:p>
    <w:p w:rsidR="00A317E4" w:rsidRPr="008227A8" w:rsidRDefault="00A317E4" w:rsidP="00153D9E">
      <w:pPr>
        <w:pStyle w:val="BodyParagraph"/>
        <w:spacing w:after="0" w:line="276" w:lineRule="auto"/>
        <w:ind w:firstLine="360"/>
        <w:rPr>
          <w:rFonts w:ascii="Times New Roman" w:hAnsi="Times New Roman"/>
          <w:color w:val="000000" w:themeColor="text1"/>
          <w:sz w:val="24"/>
          <w:szCs w:val="24"/>
        </w:rPr>
      </w:pPr>
      <w:r w:rsidRPr="00826B23">
        <w:rPr>
          <w:rFonts w:ascii="Times New Roman" w:hAnsi="Times New Roman"/>
          <w:color w:val="000000" w:themeColor="text1"/>
          <w:sz w:val="22"/>
        </w:rPr>
        <w:t xml:space="preserve">Table </w:t>
      </w:r>
      <w:r w:rsidR="00153D9E" w:rsidRPr="00826B23">
        <w:rPr>
          <w:rFonts w:ascii="Times New Roman" w:hAnsi="Times New Roman"/>
          <w:color w:val="000000" w:themeColor="text1"/>
          <w:sz w:val="22"/>
        </w:rPr>
        <w:t>3-</w:t>
      </w:r>
      <w:r w:rsidR="0024252A">
        <w:rPr>
          <w:rFonts w:ascii="Times New Roman" w:hAnsi="Times New Roman"/>
          <w:color w:val="000000" w:themeColor="text1"/>
          <w:sz w:val="22"/>
        </w:rPr>
        <w:t>4</w:t>
      </w:r>
      <w:r w:rsidRPr="008227A8">
        <w:rPr>
          <w:rFonts w:ascii="Times New Roman" w:hAnsi="Times New Roman"/>
          <w:color w:val="000000" w:themeColor="text1"/>
          <w:sz w:val="24"/>
          <w:szCs w:val="24"/>
        </w:rPr>
        <w:t xml:space="preserve"> compares the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estimates produced for the 2014 evaluation to those presented earlier in this report. Because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impacts take into account changes in utility enrollment forecasts, program design and customer mix as well as additional experience, the forecasts are adjusted each year. In general, forecasts a year out are more reliable while forecasts further into the future are less certain. The largest changes observed in Table </w:t>
      </w:r>
      <w:r w:rsidR="00153D9E" w:rsidRPr="008227A8">
        <w:rPr>
          <w:rFonts w:ascii="Times New Roman" w:hAnsi="Times New Roman"/>
          <w:color w:val="000000" w:themeColor="text1"/>
          <w:sz w:val="24"/>
          <w:szCs w:val="24"/>
        </w:rPr>
        <w:t>3-6</w:t>
      </w:r>
      <w:r w:rsidRPr="008227A8">
        <w:rPr>
          <w:rFonts w:ascii="Times New Roman" w:hAnsi="Times New Roman"/>
          <w:color w:val="000000" w:themeColor="text1"/>
          <w:sz w:val="24"/>
          <w:szCs w:val="24"/>
        </w:rPr>
        <w:t xml:space="preserve"> are the decreases in predicted reference loads between the 2014 CPP evaluation and this year due to smaller average 2015 reference loads in the persistent customers used to estimate the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reference loads. Percent impacts for both evaluations are roughly the same, with the net effect that this year’s forecast for 2016 is 25.1 MW, which is 7% lower than last year’s forecast of 27.1MW.</w:t>
      </w:r>
    </w:p>
    <w:p w:rsidR="00153D9E" w:rsidRPr="001D7FAA" w:rsidRDefault="00153D9E" w:rsidP="00153D9E">
      <w:pPr>
        <w:pStyle w:val="BodyParagraph"/>
        <w:spacing w:after="0" w:line="276" w:lineRule="auto"/>
        <w:ind w:firstLine="360"/>
      </w:pPr>
    </w:p>
    <w:p w:rsidR="00A317E4" w:rsidRPr="00153D9E" w:rsidRDefault="00A317E4" w:rsidP="00A317E4">
      <w:pPr>
        <w:pStyle w:val="TableFigureCaption"/>
        <w:rPr>
          <w:rFonts w:ascii="Times New Roman" w:hAnsi="Times New Roman"/>
        </w:rPr>
      </w:pPr>
      <w:r w:rsidRPr="00153D9E">
        <w:rPr>
          <w:rFonts w:ascii="Times New Roman" w:hAnsi="Times New Roman"/>
        </w:rPr>
        <w:t xml:space="preserve">Table </w:t>
      </w:r>
      <w:r w:rsidR="00153D9E" w:rsidRPr="00153D9E">
        <w:rPr>
          <w:rFonts w:ascii="Times New Roman" w:hAnsi="Times New Roman"/>
        </w:rPr>
        <w:t>3-</w:t>
      </w:r>
      <w:r w:rsidR="0024252A">
        <w:rPr>
          <w:rFonts w:ascii="Times New Roman" w:hAnsi="Times New Roman"/>
        </w:rPr>
        <w:t>4</w:t>
      </w:r>
      <w:r w:rsidRPr="00153D9E">
        <w:rPr>
          <w:rFonts w:ascii="Times New Roman" w:hAnsi="Times New Roman"/>
        </w:rPr>
        <w:t xml:space="preserve">: Comparison of </w:t>
      </w:r>
      <w:r w:rsidR="008C46A8">
        <w:rPr>
          <w:rFonts w:ascii="Times New Roman" w:hAnsi="Times New Roman"/>
        </w:rPr>
        <w:t>Ex-Ante</w:t>
      </w:r>
      <w:r w:rsidRPr="00153D9E">
        <w:rPr>
          <w:rFonts w:ascii="Times New Roman" w:hAnsi="Times New Roman"/>
        </w:rPr>
        <w:t xml:space="preserve"> Estimates to Prior Year Estimates</w:t>
      </w:r>
    </w:p>
    <w:tbl>
      <w:tblPr>
        <w:tblW w:w="9466" w:type="dxa"/>
        <w:jc w:val="center"/>
        <w:tblInd w:w="-356" w:type="dxa"/>
        <w:tblLook w:val="04A0" w:firstRow="1" w:lastRow="0" w:firstColumn="1" w:lastColumn="0" w:noHBand="0" w:noVBand="1"/>
      </w:tblPr>
      <w:tblGrid>
        <w:gridCol w:w="950"/>
        <w:gridCol w:w="635"/>
        <w:gridCol w:w="966"/>
        <w:gridCol w:w="966"/>
        <w:gridCol w:w="966"/>
        <w:gridCol w:w="966"/>
        <w:gridCol w:w="966"/>
        <w:gridCol w:w="975"/>
        <w:gridCol w:w="1038"/>
        <w:gridCol w:w="1038"/>
      </w:tblGrid>
      <w:tr w:rsidR="00C20677" w:rsidRPr="001D7FAA" w:rsidTr="00C20677">
        <w:trPr>
          <w:trHeight w:val="510"/>
          <w:jc w:val="center"/>
        </w:trPr>
        <w:tc>
          <w:tcPr>
            <w:tcW w:w="950" w:type="dxa"/>
            <w:vMerge w:val="restart"/>
            <w:tcBorders>
              <w:top w:val="single" w:sz="4" w:space="0" w:color="000000"/>
              <w:left w:val="single" w:sz="4" w:space="0" w:color="000000"/>
              <w:bottom w:val="single" w:sz="4" w:space="0" w:color="000000"/>
              <w:right w:val="single" w:sz="4" w:space="0" w:color="FFFFFF"/>
            </w:tcBorders>
            <w:shd w:val="clear" w:color="auto" w:fill="002060"/>
            <w:vAlign w:val="center"/>
            <w:hideMark/>
          </w:tcPr>
          <w:p w:rsidR="00A317E4" w:rsidRPr="00C20677" w:rsidRDefault="00A317E4" w:rsidP="00336E76">
            <w:pPr>
              <w:keepNext/>
              <w:jc w:val="center"/>
              <w:rPr>
                <w:b/>
                <w:bCs/>
                <w:color w:val="FFFFFF"/>
                <w:sz w:val="18"/>
                <w:szCs w:val="18"/>
              </w:rPr>
            </w:pPr>
            <w:r w:rsidRPr="00C20677">
              <w:rPr>
                <w:b/>
                <w:bCs/>
                <w:color w:val="FFFFFF"/>
                <w:sz w:val="18"/>
                <w:szCs w:val="18"/>
              </w:rPr>
              <w:t>Weather Year</w:t>
            </w:r>
          </w:p>
        </w:tc>
        <w:tc>
          <w:tcPr>
            <w:tcW w:w="635" w:type="dxa"/>
            <w:vMerge w:val="restart"/>
            <w:tcBorders>
              <w:top w:val="single" w:sz="4" w:space="0" w:color="000000"/>
              <w:left w:val="single" w:sz="4" w:space="0" w:color="FFFFFF"/>
              <w:bottom w:val="single" w:sz="4" w:space="0" w:color="000000"/>
              <w:right w:val="single" w:sz="4" w:space="0" w:color="FFFFFF"/>
            </w:tcBorders>
            <w:shd w:val="clear" w:color="auto" w:fill="002060"/>
            <w:vAlign w:val="center"/>
            <w:hideMark/>
          </w:tcPr>
          <w:p w:rsidR="00A317E4" w:rsidRPr="00C20677" w:rsidRDefault="00A317E4" w:rsidP="00336E76">
            <w:pPr>
              <w:keepNext/>
              <w:jc w:val="center"/>
              <w:rPr>
                <w:b/>
                <w:bCs/>
                <w:color w:val="FFFFFF"/>
                <w:sz w:val="18"/>
                <w:szCs w:val="18"/>
              </w:rPr>
            </w:pPr>
            <w:r w:rsidRPr="00C20677">
              <w:rPr>
                <w:b/>
                <w:bCs/>
                <w:color w:val="FFFFFF"/>
                <w:sz w:val="18"/>
                <w:szCs w:val="18"/>
              </w:rPr>
              <w:t>Year</w:t>
            </w:r>
          </w:p>
        </w:tc>
        <w:tc>
          <w:tcPr>
            <w:tcW w:w="1932" w:type="dxa"/>
            <w:gridSpan w:val="2"/>
            <w:tcBorders>
              <w:top w:val="single" w:sz="4" w:space="0" w:color="000000"/>
              <w:left w:val="nil"/>
              <w:bottom w:val="single" w:sz="4" w:space="0" w:color="FFFFFF"/>
              <w:right w:val="single" w:sz="4" w:space="0" w:color="FFFFFF"/>
            </w:tcBorders>
            <w:shd w:val="clear" w:color="auto" w:fill="002060"/>
            <w:vAlign w:val="center"/>
            <w:hideMark/>
          </w:tcPr>
          <w:p w:rsidR="00A317E4" w:rsidRPr="00C20677" w:rsidRDefault="00A317E4" w:rsidP="00336E76">
            <w:pPr>
              <w:keepNext/>
              <w:jc w:val="center"/>
              <w:rPr>
                <w:b/>
                <w:bCs/>
                <w:color w:val="FFFFFF"/>
                <w:sz w:val="18"/>
                <w:szCs w:val="18"/>
              </w:rPr>
            </w:pPr>
            <w:r w:rsidRPr="00C20677">
              <w:rPr>
                <w:b/>
                <w:bCs/>
                <w:color w:val="FFFFFF"/>
                <w:sz w:val="18"/>
                <w:szCs w:val="18"/>
              </w:rPr>
              <w:t>Accounts</w:t>
            </w:r>
          </w:p>
        </w:tc>
        <w:tc>
          <w:tcPr>
            <w:tcW w:w="1932" w:type="dxa"/>
            <w:gridSpan w:val="2"/>
            <w:tcBorders>
              <w:top w:val="single" w:sz="4" w:space="0" w:color="000000"/>
              <w:left w:val="nil"/>
              <w:bottom w:val="single" w:sz="4" w:space="0" w:color="FFFFFF"/>
              <w:right w:val="single" w:sz="4" w:space="0" w:color="FFFFFF"/>
            </w:tcBorders>
            <w:shd w:val="clear" w:color="auto" w:fill="002060"/>
            <w:vAlign w:val="center"/>
            <w:hideMark/>
          </w:tcPr>
          <w:p w:rsidR="00A317E4" w:rsidRPr="00C20677" w:rsidRDefault="00A317E4" w:rsidP="00336E76">
            <w:pPr>
              <w:keepNext/>
              <w:jc w:val="center"/>
              <w:rPr>
                <w:b/>
                <w:bCs/>
                <w:color w:val="FFFFFF"/>
                <w:sz w:val="18"/>
                <w:szCs w:val="18"/>
              </w:rPr>
            </w:pPr>
            <w:r w:rsidRPr="00C20677">
              <w:rPr>
                <w:b/>
                <w:bCs/>
                <w:color w:val="FFFFFF"/>
                <w:sz w:val="18"/>
                <w:szCs w:val="18"/>
              </w:rPr>
              <w:t>Reference Loads (MW)</w:t>
            </w:r>
          </w:p>
        </w:tc>
        <w:tc>
          <w:tcPr>
            <w:tcW w:w="1941" w:type="dxa"/>
            <w:gridSpan w:val="2"/>
            <w:tcBorders>
              <w:top w:val="single" w:sz="4" w:space="0" w:color="000000"/>
              <w:left w:val="nil"/>
              <w:bottom w:val="single" w:sz="4" w:space="0" w:color="FFFFFF"/>
              <w:right w:val="single" w:sz="4" w:space="0" w:color="FFFFFF"/>
            </w:tcBorders>
            <w:shd w:val="clear" w:color="auto" w:fill="002060"/>
            <w:vAlign w:val="center"/>
            <w:hideMark/>
          </w:tcPr>
          <w:p w:rsidR="00A317E4" w:rsidRPr="00C20677" w:rsidRDefault="00A317E4" w:rsidP="00336E76">
            <w:pPr>
              <w:keepNext/>
              <w:jc w:val="center"/>
              <w:rPr>
                <w:b/>
                <w:bCs/>
                <w:color w:val="FFFFFF"/>
                <w:sz w:val="18"/>
                <w:szCs w:val="18"/>
              </w:rPr>
            </w:pPr>
            <w:r w:rsidRPr="00C20677">
              <w:rPr>
                <w:b/>
                <w:bCs/>
                <w:color w:val="FFFFFF"/>
                <w:sz w:val="18"/>
                <w:szCs w:val="18"/>
              </w:rPr>
              <w:t>Percent Reductions</w:t>
            </w:r>
          </w:p>
        </w:tc>
        <w:tc>
          <w:tcPr>
            <w:tcW w:w="2076" w:type="dxa"/>
            <w:gridSpan w:val="2"/>
            <w:tcBorders>
              <w:top w:val="single" w:sz="4" w:space="0" w:color="000000"/>
              <w:left w:val="nil"/>
              <w:bottom w:val="single" w:sz="4" w:space="0" w:color="FFFFFF"/>
              <w:right w:val="single" w:sz="4" w:space="0" w:color="000000"/>
            </w:tcBorders>
            <w:shd w:val="clear" w:color="auto" w:fill="002060"/>
            <w:vAlign w:val="center"/>
            <w:hideMark/>
          </w:tcPr>
          <w:p w:rsidR="00A317E4" w:rsidRPr="00C20677" w:rsidRDefault="00A317E4" w:rsidP="00336E76">
            <w:pPr>
              <w:keepNext/>
              <w:jc w:val="center"/>
              <w:rPr>
                <w:b/>
                <w:bCs/>
                <w:color w:val="FFFFFF"/>
                <w:sz w:val="18"/>
                <w:szCs w:val="18"/>
              </w:rPr>
            </w:pPr>
            <w:r w:rsidRPr="00C20677">
              <w:rPr>
                <w:b/>
                <w:bCs/>
                <w:color w:val="FFFFFF"/>
                <w:sz w:val="18"/>
                <w:szCs w:val="18"/>
              </w:rPr>
              <w:t>Aggregate Impacts (MW)</w:t>
            </w:r>
          </w:p>
        </w:tc>
      </w:tr>
      <w:tr w:rsidR="00C20677" w:rsidRPr="001D7FAA" w:rsidTr="00C20677">
        <w:trPr>
          <w:trHeight w:val="510"/>
          <w:jc w:val="center"/>
        </w:trPr>
        <w:tc>
          <w:tcPr>
            <w:tcW w:w="950" w:type="dxa"/>
            <w:vMerge/>
            <w:tcBorders>
              <w:top w:val="single" w:sz="4" w:space="0" w:color="000000"/>
              <w:left w:val="single" w:sz="4" w:space="0" w:color="000000"/>
              <w:bottom w:val="single" w:sz="4" w:space="0" w:color="000000"/>
              <w:right w:val="single" w:sz="4" w:space="0" w:color="FFFFFF"/>
            </w:tcBorders>
            <w:shd w:val="clear" w:color="auto" w:fill="002060"/>
            <w:vAlign w:val="center"/>
            <w:hideMark/>
          </w:tcPr>
          <w:p w:rsidR="00A317E4" w:rsidRPr="00C20677" w:rsidRDefault="00A317E4" w:rsidP="00336E76">
            <w:pPr>
              <w:keepNext/>
              <w:rPr>
                <w:b/>
                <w:bCs/>
                <w:color w:val="FFFFFF"/>
                <w:sz w:val="18"/>
                <w:szCs w:val="18"/>
              </w:rPr>
            </w:pPr>
          </w:p>
        </w:tc>
        <w:tc>
          <w:tcPr>
            <w:tcW w:w="635" w:type="dxa"/>
            <w:vMerge/>
            <w:tcBorders>
              <w:top w:val="single" w:sz="4" w:space="0" w:color="000000"/>
              <w:left w:val="single" w:sz="4" w:space="0" w:color="FFFFFF"/>
              <w:bottom w:val="single" w:sz="4" w:space="0" w:color="000000"/>
              <w:right w:val="single" w:sz="4" w:space="0" w:color="FFFFFF"/>
            </w:tcBorders>
            <w:shd w:val="clear" w:color="auto" w:fill="002060"/>
            <w:vAlign w:val="center"/>
            <w:hideMark/>
          </w:tcPr>
          <w:p w:rsidR="00A317E4" w:rsidRPr="00C20677" w:rsidRDefault="00A317E4" w:rsidP="00336E76">
            <w:pPr>
              <w:keepNext/>
              <w:rPr>
                <w:b/>
                <w:bCs/>
                <w:color w:val="FFFFFF"/>
                <w:sz w:val="18"/>
                <w:szCs w:val="18"/>
              </w:rPr>
            </w:pPr>
          </w:p>
        </w:tc>
        <w:tc>
          <w:tcPr>
            <w:tcW w:w="966" w:type="dxa"/>
            <w:tcBorders>
              <w:top w:val="nil"/>
              <w:left w:val="nil"/>
              <w:bottom w:val="single" w:sz="4" w:space="0" w:color="000000"/>
              <w:right w:val="single" w:sz="4" w:space="0" w:color="FFFFFF"/>
            </w:tcBorders>
            <w:shd w:val="clear" w:color="auto" w:fill="002060"/>
            <w:vAlign w:val="center"/>
            <w:hideMark/>
          </w:tcPr>
          <w:p w:rsidR="00A317E4" w:rsidRPr="00C20677" w:rsidRDefault="00A317E4" w:rsidP="00336E76">
            <w:pPr>
              <w:keepNext/>
              <w:jc w:val="center"/>
              <w:rPr>
                <w:b/>
                <w:bCs/>
                <w:color w:val="FFFFFF"/>
                <w:sz w:val="18"/>
                <w:szCs w:val="18"/>
              </w:rPr>
            </w:pPr>
            <w:r w:rsidRPr="00C20677">
              <w:rPr>
                <w:b/>
                <w:bCs/>
                <w:color w:val="FFFFFF"/>
                <w:sz w:val="18"/>
                <w:szCs w:val="18"/>
              </w:rPr>
              <w:t>2014 Estimates</w:t>
            </w:r>
          </w:p>
        </w:tc>
        <w:tc>
          <w:tcPr>
            <w:tcW w:w="966" w:type="dxa"/>
            <w:tcBorders>
              <w:top w:val="nil"/>
              <w:left w:val="nil"/>
              <w:bottom w:val="single" w:sz="4" w:space="0" w:color="000000"/>
              <w:right w:val="single" w:sz="4" w:space="0" w:color="FFFFFF"/>
            </w:tcBorders>
            <w:shd w:val="clear" w:color="auto" w:fill="002060"/>
            <w:vAlign w:val="center"/>
            <w:hideMark/>
          </w:tcPr>
          <w:p w:rsidR="00A317E4" w:rsidRPr="00C20677" w:rsidRDefault="00A317E4" w:rsidP="00336E76">
            <w:pPr>
              <w:keepNext/>
              <w:jc w:val="center"/>
              <w:rPr>
                <w:b/>
                <w:bCs/>
                <w:color w:val="FFFFFF"/>
                <w:sz w:val="18"/>
                <w:szCs w:val="18"/>
              </w:rPr>
            </w:pPr>
            <w:r w:rsidRPr="00C20677">
              <w:rPr>
                <w:b/>
                <w:bCs/>
                <w:color w:val="FFFFFF"/>
                <w:sz w:val="18"/>
                <w:szCs w:val="18"/>
              </w:rPr>
              <w:t>2015 Estimates</w:t>
            </w:r>
          </w:p>
        </w:tc>
        <w:tc>
          <w:tcPr>
            <w:tcW w:w="966" w:type="dxa"/>
            <w:tcBorders>
              <w:top w:val="nil"/>
              <w:left w:val="nil"/>
              <w:bottom w:val="single" w:sz="4" w:space="0" w:color="000000"/>
              <w:right w:val="single" w:sz="4" w:space="0" w:color="FFFFFF"/>
            </w:tcBorders>
            <w:shd w:val="clear" w:color="auto" w:fill="002060"/>
            <w:vAlign w:val="center"/>
            <w:hideMark/>
          </w:tcPr>
          <w:p w:rsidR="00A317E4" w:rsidRPr="00C20677" w:rsidRDefault="00A317E4" w:rsidP="00336E76">
            <w:pPr>
              <w:keepNext/>
              <w:jc w:val="center"/>
              <w:rPr>
                <w:b/>
                <w:bCs/>
                <w:color w:val="FFFFFF"/>
                <w:sz w:val="18"/>
                <w:szCs w:val="18"/>
              </w:rPr>
            </w:pPr>
            <w:r w:rsidRPr="00C20677">
              <w:rPr>
                <w:b/>
                <w:bCs/>
                <w:color w:val="FFFFFF"/>
                <w:sz w:val="18"/>
                <w:szCs w:val="18"/>
              </w:rPr>
              <w:t>2014 Estimates</w:t>
            </w:r>
          </w:p>
        </w:tc>
        <w:tc>
          <w:tcPr>
            <w:tcW w:w="966" w:type="dxa"/>
            <w:tcBorders>
              <w:top w:val="nil"/>
              <w:left w:val="nil"/>
              <w:bottom w:val="single" w:sz="4" w:space="0" w:color="000000"/>
              <w:right w:val="single" w:sz="4" w:space="0" w:color="FFFFFF"/>
            </w:tcBorders>
            <w:shd w:val="clear" w:color="auto" w:fill="002060"/>
            <w:vAlign w:val="center"/>
            <w:hideMark/>
          </w:tcPr>
          <w:p w:rsidR="00A317E4" w:rsidRPr="00C20677" w:rsidRDefault="00A317E4" w:rsidP="00336E76">
            <w:pPr>
              <w:keepNext/>
              <w:jc w:val="center"/>
              <w:rPr>
                <w:b/>
                <w:bCs/>
                <w:color w:val="FFFFFF"/>
                <w:sz w:val="18"/>
                <w:szCs w:val="18"/>
              </w:rPr>
            </w:pPr>
            <w:r w:rsidRPr="00C20677">
              <w:rPr>
                <w:b/>
                <w:bCs/>
                <w:color w:val="FFFFFF"/>
                <w:sz w:val="18"/>
                <w:szCs w:val="18"/>
              </w:rPr>
              <w:t>2015 Estimates</w:t>
            </w:r>
          </w:p>
        </w:tc>
        <w:tc>
          <w:tcPr>
            <w:tcW w:w="966" w:type="dxa"/>
            <w:tcBorders>
              <w:top w:val="nil"/>
              <w:left w:val="nil"/>
              <w:bottom w:val="single" w:sz="4" w:space="0" w:color="000000"/>
              <w:right w:val="single" w:sz="4" w:space="0" w:color="FFFFFF"/>
            </w:tcBorders>
            <w:shd w:val="clear" w:color="auto" w:fill="002060"/>
            <w:vAlign w:val="center"/>
            <w:hideMark/>
          </w:tcPr>
          <w:p w:rsidR="00A317E4" w:rsidRPr="00C20677" w:rsidRDefault="00A317E4" w:rsidP="00336E76">
            <w:pPr>
              <w:keepNext/>
              <w:jc w:val="center"/>
              <w:rPr>
                <w:b/>
                <w:bCs/>
                <w:color w:val="FFFFFF"/>
                <w:sz w:val="18"/>
                <w:szCs w:val="18"/>
              </w:rPr>
            </w:pPr>
            <w:r w:rsidRPr="00C20677">
              <w:rPr>
                <w:b/>
                <w:bCs/>
                <w:color w:val="FFFFFF"/>
                <w:sz w:val="18"/>
                <w:szCs w:val="18"/>
              </w:rPr>
              <w:t>2014 Estimates</w:t>
            </w:r>
          </w:p>
        </w:tc>
        <w:tc>
          <w:tcPr>
            <w:tcW w:w="975" w:type="dxa"/>
            <w:tcBorders>
              <w:top w:val="nil"/>
              <w:left w:val="nil"/>
              <w:bottom w:val="single" w:sz="4" w:space="0" w:color="000000"/>
              <w:right w:val="single" w:sz="4" w:space="0" w:color="FFFFFF"/>
            </w:tcBorders>
            <w:shd w:val="clear" w:color="auto" w:fill="002060"/>
            <w:vAlign w:val="center"/>
            <w:hideMark/>
          </w:tcPr>
          <w:p w:rsidR="00A317E4" w:rsidRPr="00C20677" w:rsidRDefault="00A317E4" w:rsidP="00336E76">
            <w:pPr>
              <w:keepNext/>
              <w:jc w:val="center"/>
              <w:rPr>
                <w:b/>
                <w:bCs/>
                <w:color w:val="FFFFFF"/>
                <w:sz w:val="18"/>
                <w:szCs w:val="18"/>
              </w:rPr>
            </w:pPr>
            <w:r w:rsidRPr="00C20677">
              <w:rPr>
                <w:b/>
                <w:bCs/>
                <w:color w:val="FFFFFF"/>
                <w:sz w:val="18"/>
                <w:szCs w:val="18"/>
              </w:rPr>
              <w:t>2015 Estimates</w:t>
            </w:r>
          </w:p>
        </w:tc>
        <w:tc>
          <w:tcPr>
            <w:tcW w:w="1038" w:type="dxa"/>
            <w:tcBorders>
              <w:top w:val="nil"/>
              <w:left w:val="nil"/>
              <w:bottom w:val="single" w:sz="4" w:space="0" w:color="000000"/>
              <w:right w:val="single" w:sz="4" w:space="0" w:color="FFFFFF"/>
            </w:tcBorders>
            <w:shd w:val="clear" w:color="auto" w:fill="002060"/>
            <w:vAlign w:val="center"/>
            <w:hideMark/>
          </w:tcPr>
          <w:p w:rsidR="00A317E4" w:rsidRPr="00C20677" w:rsidRDefault="00A317E4" w:rsidP="00336E76">
            <w:pPr>
              <w:keepNext/>
              <w:jc w:val="center"/>
              <w:rPr>
                <w:b/>
                <w:bCs/>
                <w:color w:val="FFFFFF"/>
                <w:sz w:val="18"/>
                <w:szCs w:val="18"/>
              </w:rPr>
            </w:pPr>
            <w:r w:rsidRPr="00C20677">
              <w:rPr>
                <w:b/>
                <w:bCs/>
                <w:color w:val="FFFFFF"/>
                <w:sz w:val="18"/>
                <w:szCs w:val="18"/>
              </w:rPr>
              <w:t>2014 Estimates</w:t>
            </w:r>
          </w:p>
        </w:tc>
        <w:tc>
          <w:tcPr>
            <w:tcW w:w="1038" w:type="dxa"/>
            <w:tcBorders>
              <w:top w:val="nil"/>
              <w:left w:val="nil"/>
              <w:bottom w:val="single" w:sz="4" w:space="0" w:color="000000"/>
              <w:right w:val="single" w:sz="4" w:space="0" w:color="000000"/>
            </w:tcBorders>
            <w:shd w:val="clear" w:color="auto" w:fill="002060"/>
            <w:vAlign w:val="center"/>
            <w:hideMark/>
          </w:tcPr>
          <w:p w:rsidR="00A317E4" w:rsidRPr="00C20677" w:rsidRDefault="00A317E4" w:rsidP="00336E76">
            <w:pPr>
              <w:keepNext/>
              <w:jc w:val="center"/>
              <w:rPr>
                <w:b/>
                <w:bCs/>
                <w:color w:val="FFFFFF"/>
                <w:sz w:val="18"/>
                <w:szCs w:val="18"/>
              </w:rPr>
            </w:pPr>
            <w:r w:rsidRPr="00C20677">
              <w:rPr>
                <w:b/>
                <w:bCs/>
                <w:color w:val="FFFFFF"/>
                <w:sz w:val="18"/>
                <w:szCs w:val="18"/>
              </w:rPr>
              <w:t>2015 Estimates</w:t>
            </w:r>
          </w:p>
        </w:tc>
      </w:tr>
      <w:tr w:rsidR="00C20677" w:rsidRPr="001D7FAA" w:rsidTr="00C20677">
        <w:trPr>
          <w:trHeight w:val="360"/>
          <w:jc w:val="center"/>
        </w:trPr>
        <w:tc>
          <w:tcPr>
            <w:tcW w:w="95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A317E4" w:rsidRPr="00C20677" w:rsidRDefault="00A317E4" w:rsidP="00336E76">
            <w:pPr>
              <w:keepNext/>
              <w:jc w:val="center"/>
              <w:rPr>
                <w:color w:val="000000"/>
                <w:sz w:val="18"/>
                <w:szCs w:val="18"/>
              </w:rPr>
            </w:pPr>
            <w:r w:rsidRPr="00C20677">
              <w:rPr>
                <w:color w:val="000000"/>
                <w:sz w:val="18"/>
                <w:szCs w:val="18"/>
              </w:rPr>
              <w:t>1-in-10</w:t>
            </w:r>
          </w:p>
        </w:tc>
        <w:tc>
          <w:tcPr>
            <w:tcW w:w="635"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C20677">
            <w:pPr>
              <w:contextualSpacing/>
              <w:jc w:val="center"/>
              <w:rPr>
                <w:color w:val="000000"/>
                <w:sz w:val="18"/>
                <w:szCs w:val="18"/>
              </w:rPr>
            </w:pPr>
            <w:r w:rsidRPr="00C20677">
              <w:rPr>
                <w:color w:val="000000"/>
                <w:sz w:val="18"/>
                <w:szCs w:val="18"/>
              </w:rPr>
              <w:t>2016</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1267</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1271</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254.6</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237.7</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8.4%</w:t>
            </w:r>
          </w:p>
        </w:tc>
        <w:tc>
          <w:tcPr>
            <w:tcW w:w="975"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8.3%</w:t>
            </w:r>
          </w:p>
        </w:tc>
        <w:tc>
          <w:tcPr>
            <w:tcW w:w="1038"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27.1</w:t>
            </w:r>
          </w:p>
        </w:tc>
        <w:tc>
          <w:tcPr>
            <w:tcW w:w="1038"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25.1</w:t>
            </w:r>
          </w:p>
        </w:tc>
      </w:tr>
      <w:tr w:rsidR="00C20677" w:rsidRPr="001D7FAA" w:rsidTr="00C20677">
        <w:trPr>
          <w:trHeight w:val="360"/>
          <w:jc w:val="center"/>
        </w:trPr>
        <w:tc>
          <w:tcPr>
            <w:tcW w:w="950" w:type="dxa"/>
            <w:vMerge/>
            <w:tcBorders>
              <w:top w:val="nil"/>
              <w:left w:val="single" w:sz="4" w:space="0" w:color="000000"/>
              <w:bottom w:val="single" w:sz="4" w:space="0" w:color="000000"/>
              <w:right w:val="single" w:sz="4" w:space="0" w:color="000000"/>
            </w:tcBorders>
            <w:vAlign w:val="center"/>
            <w:hideMark/>
          </w:tcPr>
          <w:p w:rsidR="00A317E4" w:rsidRPr="00C20677" w:rsidRDefault="00A317E4" w:rsidP="00336E76">
            <w:pPr>
              <w:keepNext/>
              <w:rPr>
                <w:color w:val="000000"/>
                <w:sz w:val="18"/>
                <w:szCs w:val="18"/>
              </w:rPr>
            </w:pPr>
          </w:p>
        </w:tc>
        <w:tc>
          <w:tcPr>
            <w:tcW w:w="635"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C20677">
            <w:pPr>
              <w:contextualSpacing/>
              <w:jc w:val="center"/>
              <w:rPr>
                <w:color w:val="000000"/>
                <w:sz w:val="18"/>
                <w:szCs w:val="18"/>
              </w:rPr>
            </w:pPr>
            <w:r w:rsidRPr="00C20677">
              <w:rPr>
                <w:color w:val="000000"/>
                <w:sz w:val="18"/>
                <w:szCs w:val="18"/>
              </w:rPr>
              <w:t>2017</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1283</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1282</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254.6</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237.6</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8.4%</w:t>
            </w:r>
          </w:p>
        </w:tc>
        <w:tc>
          <w:tcPr>
            <w:tcW w:w="975"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8.3%</w:t>
            </w:r>
          </w:p>
        </w:tc>
        <w:tc>
          <w:tcPr>
            <w:tcW w:w="1038"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27.5</w:t>
            </w:r>
          </w:p>
        </w:tc>
        <w:tc>
          <w:tcPr>
            <w:tcW w:w="1038"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25.3</w:t>
            </w:r>
          </w:p>
        </w:tc>
      </w:tr>
      <w:tr w:rsidR="00C20677" w:rsidRPr="001D7FAA" w:rsidTr="00C20677">
        <w:trPr>
          <w:trHeight w:val="350"/>
          <w:jc w:val="center"/>
        </w:trPr>
        <w:tc>
          <w:tcPr>
            <w:tcW w:w="950" w:type="dxa"/>
            <w:vMerge/>
            <w:tcBorders>
              <w:top w:val="nil"/>
              <w:left w:val="single" w:sz="4" w:space="0" w:color="000000"/>
              <w:bottom w:val="single" w:sz="4" w:space="0" w:color="000000"/>
              <w:right w:val="single" w:sz="4" w:space="0" w:color="000000"/>
            </w:tcBorders>
            <w:vAlign w:val="center"/>
            <w:hideMark/>
          </w:tcPr>
          <w:p w:rsidR="00A317E4" w:rsidRPr="00C20677" w:rsidRDefault="00A317E4" w:rsidP="00336E76">
            <w:pPr>
              <w:keepNext/>
              <w:rPr>
                <w:color w:val="000000"/>
                <w:sz w:val="18"/>
                <w:szCs w:val="18"/>
              </w:rPr>
            </w:pPr>
          </w:p>
        </w:tc>
        <w:tc>
          <w:tcPr>
            <w:tcW w:w="635"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C20677">
            <w:pPr>
              <w:contextualSpacing/>
              <w:jc w:val="center"/>
              <w:rPr>
                <w:sz w:val="18"/>
                <w:szCs w:val="18"/>
              </w:rPr>
            </w:pPr>
            <w:r w:rsidRPr="00C20677">
              <w:rPr>
                <w:sz w:val="18"/>
                <w:szCs w:val="18"/>
              </w:rPr>
              <w:t>2025</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1405</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1403</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254.3</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237.6</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8.3%</w:t>
            </w:r>
          </w:p>
        </w:tc>
        <w:tc>
          <w:tcPr>
            <w:tcW w:w="975"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8.3%</w:t>
            </w:r>
          </w:p>
        </w:tc>
        <w:tc>
          <w:tcPr>
            <w:tcW w:w="1038"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29.8</w:t>
            </w:r>
          </w:p>
        </w:tc>
        <w:tc>
          <w:tcPr>
            <w:tcW w:w="1038"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27.6</w:t>
            </w:r>
          </w:p>
        </w:tc>
      </w:tr>
      <w:tr w:rsidR="00C20677" w:rsidRPr="001D7FAA" w:rsidTr="00C20677">
        <w:trPr>
          <w:trHeight w:val="350"/>
          <w:jc w:val="center"/>
        </w:trPr>
        <w:tc>
          <w:tcPr>
            <w:tcW w:w="950" w:type="dxa"/>
            <w:vMerge w:val="restart"/>
            <w:tcBorders>
              <w:top w:val="nil"/>
              <w:left w:val="single" w:sz="4" w:space="0" w:color="000000"/>
              <w:bottom w:val="single" w:sz="4" w:space="0" w:color="000000"/>
              <w:right w:val="single" w:sz="4" w:space="0" w:color="000000"/>
            </w:tcBorders>
            <w:shd w:val="clear" w:color="auto" w:fill="auto"/>
            <w:noWrap/>
            <w:vAlign w:val="center"/>
            <w:hideMark/>
          </w:tcPr>
          <w:p w:rsidR="00A317E4" w:rsidRPr="00C20677" w:rsidRDefault="00A317E4" w:rsidP="00336E76">
            <w:pPr>
              <w:keepNext/>
              <w:jc w:val="center"/>
              <w:rPr>
                <w:color w:val="000000"/>
                <w:sz w:val="18"/>
                <w:szCs w:val="18"/>
              </w:rPr>
            </w:pPr>
            <w:r w:rsidRPr="00C20677">
              <w:rPr>
                <w:color w:val="000000"/>
                <w:sz w:val="18"/>
                <w:szCs w:val="18"/>
              </w:rPr>
              <w:t>1-in-2</w:t>
            </w:r>
          </w:p>
        </w:tc>
        <w:tc>
          <w:tcPr>
            <w:tcW w:w="635"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C20677">
            <w:pPr>
              <w:contextualSpacing/>
              <w:jc w:val="center"/>
              <w:rPr>
                <w:sz w:val="18"/>
                <w:szCs w:val="18"/>
              </w:rPr>
            </w:pPr>
            <w:r w:rsidRPr="00C20677">
              <w:rPr>
                <w:sz w:val="18"/>
                <w:szCs w:val="18"/>
              </w:rPr>
              <w:t>2016</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1267</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1271</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243.5</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225.7</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7.9%</w:t>
            </w:r>
          </w:p>
        </w:tc>
        <w:tc>
          <w:tcPr>
            <w:tcW w:w="975"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7.7%</w:t>
            </w:r>
          </w:p>
        </w:tc>
        <w:tc>
          <w:tcPr>
            <w:tcW w:w="1038"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24.5</w:t>
            </w:r>
          </w:p>
        </w:tc>
        <w:tc>
          <w:tcPr>
            <w:tcW w:w="1038"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22.1</w:t>
            </w:r>
          </w:p>
        </w:tc>
      </w:tr>
      <w:tr w:rsidR="00C20677" w:rsidRPr="001D7FAA" w:rsidTr="00C20677">
        <w:trPr>
          <w:trHeight w:val="350"/>
          <w:jc w:val="center"/>
        </w:trPr>
        <w:tc>
          <w:tcPr>
            <w:tcW w:w="950" w:type="dxa"/>
            <w:vMerge/>
            <w:tcBorders>
              <w:top w:val="nil"/>
              <w:left w:val="single" w:sz="4" w:space="0" w:color="000000"/>
              <w:bottom w:val="single" w:sz="4" w:space="0" w:color="000000"/>
              <w:right w:val="single" w:sz="4" w:space="0" w:color="000000"/>
            </w:tcBorders>
            <w:vAlign w:val="center"/>
            <w:hideMark/>
          </w:tcPr>
          <w:p w:rsidR="00A317E4" w:rsidRPr="00C20677" w:rsidRDefault="00A317E4" w:rsidP="00336E76">
            <w:pPr>
              <w:keepNext/>
              <w:rPr>
                <w:color w:val="000000"/>
                <w:sz w:val="18"/>
                <w:szCs w:val="18"/>
              </w:rPr>
            </w:pPr>
          </w:p>
        </w:tc>
        <w:tc>
          <w:tcPr>
            <w:tcW w:w="635"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C20677">
            <w:pPr>
              <w:contextualSpacing/>
              <w:jc w:val="center"/>
              <w:rPr>
                <w:sz w:val="18"/>
                <w:szCs w:val="18"/>
              </w:rPr>
            </w:pPr>
            <w:r w:rsidRPr="00C20677">
              <w:rPr>
                <w:sz w:val="18"/>
                <w:szCs w:val="18"/>
              </w:rPr>
              <w:t>2017</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1283</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1282</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243.5</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225.7</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7.9%</w:t>
            </w:r>
          </w:p>
        </w:tc>
        <w:tc>
          <w:tcPr>
            <w:tcW w:w="975"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7.7%</w:t>
            </w:r>
          </w:p>
        </w:tc>
        <w:tc>
          <w:tcPr>
            <w:tcW w:w="1038"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24.8</w:t>
            </w:r>
          </w:p>
        </w:tc>
        <w:tc>
          <w:tcPr>
            <w:tcW w:w="1038"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22.3</w:t>
            </w:r>
          </w:p>
        </w:tc>
      </w:tr>
      <w:tr w:rsidR="00C20677" w:rsidRPr="00C46C78" w:rsidTr="00C20677">
        <w:trPr>
          <w:trHeight w:val="350"/>
          <w:jc w:val="center"/>
        </w:trPr>
        <w:tc>
          <w:tcPr>
            <w:tcW w:w="950" w:type="dxa"/>
            <w:vMerge/>
            <w:tcBorders>
              <w:top w:val="nil"/>
              <w:left w:val="single" w:sz="4" w:space="0" w:color="000000"/>
              <w:bottom w:val="single" w:sz="4" w:space="0" w:color="000000"/>
              <w:right w:val="single" w:sz="4" w:space="0" w:color="000000"/>
            </w:tcBorders>
            <w:vAlign w:val="center"/>
            <w:hideMark/>
          </w:tcPr>
          <w:p w:rsidR="00A317E4" w:rsidRPr="00C20677" w:rsidRDefault="00A317E4" w:rsidP="00336E76">
            <w:pPr>
              <w:rPr>
                <w:color w:val="000000"/>
                <w:sz w:val="18"/>
                <w:szCs w:val="18"/>
              </w:rPr>
            </w:pPr>
          </w:p>
        </w:tc>
        <w:tc>
          <w:tcPr>
            <w:tcW w:w="635"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C20677">
            <w:pPr>
              <w:contextualSpacing/>
              <w:jc w:val="center"/>
              <w:rPr>
                <w:sz w:val="18"/>
                <w:szCs w:val="18"/>
              </w:rPr>
            </w:pPr>
            <w:r w:rsidRPr="00C20677">
              <w:rPr>
                <w:sz w:val="18"/>
                <w:szCs w:val="18"/>
              </w:rPr>
              <w:t>2025</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1405</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1403</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243.2</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225.6</w:t>
            </w:r>
          </w:p>
        </w:tc>
        <w:tc>
          <w:tcPr>
            <w:tcW w:w="966"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7.9%</w:t>
            </w:r>
          </w:p>
        </w:tc>
        <w:tc>
          <w:tcPr>
            <w:tcW w:w="975"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7.7%</w:t>
            </w:r>
          </w:p>
        </w:tc>
        <w:tc>
          <w:tcPr>
            <w:tcW w:w="1038"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26.9</w:t>
            </w:r>
          </w:p>
        </w:tc>
        <w:tc>
          <w:tcPr>
            <w:tcW w:w="1038" w:type="dxa"/>
            <w:tcBorders>
              <w:top w:val="nil"/>
              <w:left w:val="nil"/>
              <w:bottom w:val="single" w:sz="4" w:space="0" w:color="000000"/>
              <w:right w:val="single" w:sz="4" w:space="0" w:color="000000"/>
            </w:tcBorders>
            <w:shd w:val="clear" w:color="auto" w:fill="auto"/>
            <w:noWrap/>
            <w:vAlign w:val="bottom"/>
            <w:hideMark/>
          </w:tcPr>
          <w:p w:rsidR="00A317E4" w:rsidRPr="00C20677" w:rsidRDefault="00A317E4" w:rsidP="00336E76">
            <w:pPr>
              <w:contextualSpacing/>
              <w:jc w:val="center"/>
              <w:rPr>
                <w:color w:val="000000"/>
                <w:sz w:val="18"/>
                <w:szCs w:val="18"/>
              </w:rPr>
            </w:pPr>
            <w:r w:rsidRPr="00C20677">
              <w:rPr>
                <w:color w:val="000000"/>
                <w:sz w:val="18"/>
                <w:szCs w:val="18"/>
              </w:rPr>
              <w:t>24.4</w:t>
            </w:r>
          </w:p>
        </w:tc>
      </w:tr>
    </w:tbl>
    <w:p w:rsidR="00A317E4" w:rsidRDefault="00A317E4" w:rsidP="00A317E4">
      <w:pPr>
        <w:pStyle w:val="BodyParagraph"/>
      </w:pPr>
      <w:bookmarkStart w:id="102" w:name="_Toc415494813"/>
      <w:bookmarkStart w:id="103" w:name="_Toc445502819"/>
    </w:p>
    <w:p w:rsidR="00A317E4" w:rsidRPr="00153D9E" w:rsidRDefault="00A317E4" w:rsidP="00A317E4">
      <w:pPr>
        <w:pStyle w:val="Heading4"/>
        <w:ind w:left="1080" w:hanging="1080"/>
        <w:rPr>
          <w:rFonts w:ascii="Times New Roman" w:hAnsi="Times New Roman"/>
          <w:sz w:val="24"/>
          <w:szCs w:val="24"/>
        </w:rPr>
      </w:pPr>
      <w:r w:rsidRPr="00153D9E">
        <w:rPr>
          <w:rFonts w:ascii="Times New Roman" w:hAnsi="Times New Roman"/>
          <w:sz w:val="24"/>
          <w:szCs w:val="24"/>
        </w:rPr>
        <w:t xml:space="preserve">Relationship Between </w:t>
      </w:r>
      <w:r w:rsidR="008C46A8">
        <w:rPr>
          <w:rFonts w:ascii="Times New Roman" w:hAnsi="Times New Roman"/>
          <w:sz w:val="24"/>
          <w:szCs w:val="24"/>
        </w:rPr>
        <w:t>Ex-Post</w:t>
      </w:r>
      <w:r w:rsidRPr="00153D9E">
        <w:rPr>
          <w:rFonts w:ascii="Times New Roman" w:hAnsi="Times New Roman"/>
          <w:sz w:val="24"/>
          <w:szCs w:val="24"/>
        </w:rPr>
        <w:t xml:space="preserve"> and </w:t>
      </w:r>
      <w:r w:rsidR="008C46A8">
        <w:rPr>
          <w:rFonts w:ascii="Times New Roman" w:hAnsi="Times New Roman"/>
          <w:sz w:val="24"/>
          <w:szCs w:val="24"/>
        </w:rPr>
        <w:t>Ex-Ante</w:t>
      </w:r>
      <w:r w:rsidRPr="00153D9E">
        <w:rPr>
          <w:rFonts w:ascii="Times New Roman" w:hAnsi="Times New Roman"/>
          <w:sz w:val="24"/>
          <w:szCs w:val="24"/>
        </w:rPr>
        <w:t xml:space="preserve"> Estimates</w:t>
      </w:r>
      <w:bookmarkStart w:id="104" w:name="_Toc412650634"/>
      <w:bookmarkEnd w:id="102"/>
      <w:bookmarkEnd w:id="103"/>
    </w:p>
    <w:p w:rsidR="00153D9E" w:rsidRDefault="00153D9E" w:rsidP="00A317E4">
      <w:pPr>
        <w:pStyle w:val="BodyParagraph"/>
      </w:pPr>
    </w:p>
    <w:p w:rsidR="00A317E4" w:rsidRPr="008227A8" w:rsidRDefault="00A317E4" w:rsidP="00153D9E">
      <w:pPr>
        <w:pStyle w:val="BodyParagraph"/>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 xml:space="preserve">This section discusses the impact of each of these factors on the difference between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and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impact estimates.</w:t>
      </w:r>
    </w:p>
    <w:p w:rsidR="00A317E4" w:rsidRPr="008227A8" w:rsidRDefault="00A317E4" w:rsidP="00153D9E">
      <w:pPr>
        <w:pStyle w:val="BodyParagraph"/>
        <w:spacing w:after="0" w:line="276" w:lineRule="auto"/>
        <w:ind w:firstLine="360"/>
        <w:rPr>
          <w:rFonts w:ascii="Times New Roman" w:hAnsi="Times New Roman"/>
          <w:color w:val="000000" w:themeColor="text1"/>
          <w:sz w:val="24"/>
          <w:szCs w:val="24"/>
        </w:rPr>
      </w:pPr>
      <w:r w:rsidRPr="00826B23">
        <w:rPr>
          <w:rFonts w:ascii="Times New Roman" w:hAnsi="Times New Roman"/>
          <w:color w:val="000000" w:themeColor="text1"/>
          <w:sz w:val="22"/>
        </w:rPr>
        <w:t xml:space="preserve">Table </w:t>
      </w:r>
      <w:r w:rsidR="00153D9E" w:rsidRPr="00826B23">
        <w:rPr>
          <w:rFonts w:ascii="Times New Roman" w:hAnsi="Times New Roman"/>
          <w:color w:val="000000" w:themeColor="text1"/>
          <w:sz w:val="22"/>
        </w:rPr>
        <w:t>3-</w:t>
      </w:r>
      <w:r w:rsidR="0024252A">
        <w:rPr>
          <w:rFonts w:ascii="Times New Roman" w:hAnsi="Times New Roman"/>
          <w:color w:val="000000" w:themeColor="text1"/>
          <w:sz w:val="22"/>
        </w:rPr>
        <w:t>5</w:t>
      </w:r>
      <w:r w:rsidRPr="008227A8">
        <w:rPr>
          <w:rFonts w:ascii="Times New Roman" w:hAnsi="Times New Roman"/>
          <w:color w:val="000000" w:themeColor="text1"/>
          <w:sz w:val="24"/>
          <w:szCs w:val="24"/>
        </w:rPr>
        <w:t xml:space="preserve"> summarizes key factors that lead to differences between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and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estimates for CPP and the expected influence that these factors have on the relationship between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and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impacts. Given that the CPP load impacts are sensitive to variation in weather, even small changes in </w:t>
      </w:r>
      <w:r w:rsidRPr="008227A8">
        <w:rPr>
          <w:rFonts w:ascii="Times New Roman" w:hAnsi="Times New Roman"/>
          <w:i/>
          <w:color w:val="000000" w:themeColor="text1"/>
          <w:sz w:val="24"/>
          <w:szCs w:val="24"/>
        </w:rPr>
        <w:t>mean17</w:t>
      </w:r>
      <w:r w:rsidRPr="008227A8">
        <w:rPr>
          <w:rFonts w:ascii="Times New Roman" w:hAnsi="Times New Roman"/>
          <w:color w:val="000000" w:themeColor="text1"/>
          <w:sz w:val="24"/>
          <w:szCs w:val="24"/>
        </w:rPr>
        <w:t xml:space="preserve"> between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and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weather conditions can produce differences in load impacts. For the typical event day,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impacts are significantly lower than the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values when based on SDG&amp;E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weather and also lower than the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values when based on CAISO weather conditions. This is primarily due to the difference in summer season weather observed in the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and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results. The average midnight to 5pm (mean17) weather in all four of the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weather scenarios are all lower than the lower end the mean17 weather experienced in 2015 season. This change decreases the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impacts by roughly 20% for the typical event day under 1-in-2 SDG&amp;E weather conditions, compared </w:t>
      </w:r>
      <w:r w:rsidRPr="008227A8">
        <w:rPr>
          <w:rFonts w:ascii="Times New Roman" w:hAnsi="Times New Roman"/>
          <w:color w:val="000000" w:themeColor="text1"/>
          <w:sz w:val="24"/>
          <w:szCs w:val="24"/>
        </w:rPr>
        <w:lastRenderedPageBreak/>
        <w:t xml:space="preserve">with the average 2015 event day. Changes in enrollment between the values used for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estimation and the 2016 enrollment values increase impact estimates by about 5%. Finally, the fact that the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model is based on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impacts from both 2014 and 2015 for persistent customers, which exhibit a stronger relationship with temperature, will result in slightly higher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load impacts at higher temperature values than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impacts at similar values.</w:t>
      </w:r>
    </w:p>
    <w:p w:rsidR="00A317E4" w:rsidRPr="008227A8" w:rsidRDefault="00A317E4" w:rsidP="00A317E4">
      <w:pPr>
        <w:pStyle w:val="BodyParagraph"/>
        <w:rPr>
          <w:rFonts w:cs="Arial"/>
          <w:color w:val="000000" w:themeColor="text1"/>
        </w:rPr>
      </w:pPr>
    </w:p>
    <w:p w:rsidR="00A317E4" w:rsidRPr="00153D9E" w:rsidRDefault="00A317E4" w:rsidP="00A317E4">
      <w:pPr>
        <w:pStyle w:val="TableFigureCaption"/>
        <w:rPr>
          <w:rFonts w:ascii="Times New Roman" w:hAnsi="Times New Roman"/>
        </w:rPr>
      </w:pPr>
      <w:r w:rsidRPr="00153D9E">
        <w:rPr>
          <w:rFonts w:ascii="Times New Roman" w:hAnsi="Times New Roman"/>
        </w:rPr>
        <w:t xml:space="preserve">Table </w:t>
      </w:r>
      <w:r w:rsidR="00153D9E" w:rsidRPr="00153D9E">
        <w:rPr>
          <w:rFonts w:ascii="Times New Roman" w:hAnsi="Times New Roman"/>
        </w:rPr>
        <w:t>3-</w:t>
      </w:r>
      <w:r w:rsidR="0024252A">
        <w:rPr>
          <w:rFonts w:ascii="Times New Roman" w:hAnsi="Times New Roman"/>
        </w:rPr>
        <w:t>5</w:t>
      </w:r>
      <w:r w:rsidRPr="00153D9E">
        <w:rPr>
          <w:rFonts w:ascii="Times New Roman" w:hAnsi="Times New Roman"/>
        </w:rPr>
        <w:t xml:space="preserve">: Summary of Factors Underlying Differences Between </w:t>
      </w:r>
      <w:r w:rsidR="008C46A8">
        <w:rPr>
          <w:rFonts w:ascii="Times New Roman" w:hAnsi="Times New Roman"/>
        </w:rPr>
        <w:t>Ex-Post</w:t>
      </w:r>
      <w:r w:rsidRPr="00153D9E">
        <w:rPr>
          <w:rFonts w:ascii="Times New Roman" w:hAnsi="Times New Roman"/>
        </w:rPr>
        <w:t xml:space="preserve"> and </w:t>
      </w:r>
      <w:r w:rsidR="008C46A8">
        <w:rPr>
          <w:rFonts w:ascii="Times New Roman" w:hAnsi="Times New Roman"/>
        </w:rPr>
        <w:t>Ex-Ante</w:t>
      </w:r>
      <w:r w:rsidRPr="00153D9E">
        <w:rPr>
          <w:rFonts w:ascii="Times New Roman" w:hAnsi="Times New Roman"/>
        </w:rPr>
        <w:t xml:space="preserve"> Impacts for the</w:t>
      </w:r>
      <w:r w:rsidR="00580D5B">
        <w:rPr>
          <w:rFonts w:ascii="Times New Roman" w:hAnsi="Times New Roman"/>
        </w:rPr>
        <w:t xml:space="preserve"> </w:t>
      </w:r>
      <w:r w:rsidRPr="00153D9E">
        <w:rPr>
          <w:rFonts w:ascii="Times New Roman" w:hAnsi="Times New Roman"/>
        </w:rPr>
        <w:t xml:space="preserve">Default CPP Customers for the </w:t>
      </w:r>
      <w:r w:rsidR="008C46A8">
        <w:rPr>
          <w:rFonts w:ascii="Times New Roman" w:hAnsi="Times New Roman"/>
        </w:rPr>
        <w:t>Ex-Ante</w:t>
      </w:r>
      <w:r w:rsidRPr="00153D9E">
        <w:rPr>
          <w:rFonts w:ascii="Times New Roman" w:hAnsi="Times New Roman"/>
        </w:rPr>
        <w:t xml:space="preserve"> Typical Event Day</w:t>
      </w:r>
    </w:p>
    <w:tbl>
      <w:tblPr>
        <w:tblW w:w="9487" w:type="dxa"/>
        <w:jc w:val="center"/>
        <w:tblInd w:w="-1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D"/>
        <w:tblLayout w:type="fixed"/>
        <w:tblLook w:val="04A0" w:firstRow="1" w:lastRow="0" w:firstColumn="1" w:lastColumn="0" w:noHBand="0" w:noVBand="1"/>
      </w:tblPr>
      <w:tblGrid>
        <w:gridCol w:w="1370"/>
        <w:gridCol w:w="3041"/>
        <w:gridCol w:w="2847"/>
        <w:gridCol w:w="2229"/>
      </w:tblGrid>
      <w:tr w:rsidR="00A317E4" w:rsidRPr="001D7FAA" w:rsidTr="007E7593">
        <w:trPr>
          <w:trHeight w:val="525"/>
          <w:jc w:val="center"/>
        </w:trPr>
        <w:tc>
          <w:tcPr>
            <w:tcW w:w="1370" w:type="dxa"/>
            <w:tcBorders>
              <w:bottom w:val="single" w:sz="4" w:space="0" w:color="auto"/>
              <w:right w:val="single" w:sz="4" w:space="0" w:color="FFFFFF" w:themeColor="background1"/>
            </w:tcBorders>
            <w:shd w:val="clear" w:color="auto" w:fill="002060"/>
            <w:vAlign w:val="center"/>
            <w:hideMark/>
          </w:tcPr>
          <w:p w:rsidR="00A317E4" w:rsidRPr="00153D9E" w:rsidRDefault="00A317E4" w:rsidP="00336E76">
            <w:pPr>
              <w:pStyle w:val="TableHeader"/>
              <w:rPr>
                <w:rFonts w:ascii="Times New Roman" w:hAnsi="Times New Roman"/>
                <w:szCs w:val="20"/>
              </w:rPr>
            </w:pPr>
            <w:r w:rsidRPr="00153D9E">
              <w:rPr>
                <w:rFonts w:ascii="Times New Roman" w:hAnsi="Times New Roman"/>
                <w:szCs w:val="20"/>
              </w:rPr>
              <w:t>Factor</w:t>
            </w:r>
          </w:p>
        </w:tc>
        <w:tc>
          <w:tcPr>
            <w:tcW w:w="3041" w:type="dxa"/>
            <w:tcBorders>
              <w:left w:val="single" w:sz="4" w:space="0" w:color="FFFFFF" w:themeColor="background1"/>
              <w:bottom w:val="single" w:sz="4" w:space="0" w:color="auto"/>
              <w:right w:val="single" w:sz="4" w:space="0" w:color="FFFFFF" w:themeColor="background1"/>
            </w:tcBorders>
            <w:shd w:val="clear" w:color="auto" w:fill="002060"/>
            <w:vAlign w:val="center"/>
            <w:hideMark/>
          </w:tcPr>
          <w:p w:rsidR="00A317E4" w:rsidRPr="00153D9E" w:rsidRDefault="008C46A8" w:rsidP="00336E76">
            <w:pPr>
              <w:pStyle w:val="TableHeader"/>
              <w:rPr>
                <w:rFonts w:ascii="Times New Roman" w:hAnsi="Times New Roman"/>
                <w:szCs w:val="20"/>
              </w:rPr>
            </w:pPr>
            <w:r>
              <w:rPr>
                <w:rFonts w:ascii="Times New Roman" w:hAnsi="Times New Roman"/>
                <w:szCs w:val="20"/>
              </w:rPr>
              <w:t>Ex-Post</w:t>
            </w:r>
          </w:p>
        </w:tc>
        <w:tc>
          <w:tcPr>
            <w:tcW w:w="2847" w:type="dxa"/>
            <w:tcBorders>
              <w:left w:val="single" w:sz="4" w:space="0" w:color="FFFFFF" w:themeColor="background1"/>
              <w:bottom w:val="single" w:sz="4" w:space="0" w:color="auto"/>
              <w:right w:val="single" w:sz="4" w:space="0" w:color="FFFFFF" w:themeColor="background1"/>
            </w:tcBorders>
            <w:shd w:val="clear" w:color="auto" w:fill="002060"/>
            <w:vAlign w:val="center"/>
            <w:hideMark/>
          </w:tcPr>
          <w:p w:rsidR="00A317E4" w:rsidRPr="00153D9E" w:rsidRDefault="008C46A8" w:rsidP="00336E76">
            <w:pPr>
              <w:pStyle w:val="TableHeader"/>
              <w:rPr>
                <w:rFonts w:ascii="Times New Roman" w:hAnsi="Times New Roman"/>
                <w:szCs w:val="20"/>
              </w:rPr>
            </w:pPr>
            <w:r>
              <w:rPr>
                <w:rFonts w:ascii="Times New Roman" w:hAnsi="Times New Roman"/>
                <w:szCs w:val="20"/>
              </w:rPr>
              <w:t>Ex-Ante</w:t>
            </w:r>
          </w:p>
        </w:tc>
        <w:tc>
          <w:tcPr>
            <w:tcW w:w="2229" w:type="dxa"/>
            <w:tcBorders>
              <w:left w:val="single" w:sz="4" w:space="0" w:color="FFFFFF" w:themeColor="background1"/>
              <w:bottom w:val="single" w:sz="4" w:space="0" w:color="auto"/>
            </w:tcBorders>
            <w:shd w:val="clear" w:color="auto" w:fill="002060"/>
            <w:vAlign w:val="center"/>
            <w:hideMark/>
          </w:tcPr>
          <w:p w:rsidR="00A317E4" w:rsidRPr="00153D9E" w:rsidRDefault="00A317E4" w:rsidP="00336E76">
            <w:pPr>
              <w:pStyle w:val="TableHeader"/>
              <w:rPr>
                <w:rFonts w:ascii="Times New Roman" w:hAnsi="Times New Roman"/>
                <w:szCs w:val="20"/>
              </w:rPr>
            </w:pPr>
            <w:r w:rsidRPr="00153D9E">
              <w:rPr>
                <w:rFonts w:ascii="Times New Roman" w:hAnsi="Times New Roman"/>
                <w:szCs w:val="20"/>
              </w:rPr>
              <w:t>Expected Impact</w:t>
            </w:r>
          </w:p>
        </w:tc>
      </w:tr>
      <w:tr w:rsidR="00A317E4" w:rsidRPr="001D7FAA" w:rsidTr="007E7593">
        <w:trPr>
          <w:trHeight w:val="1824"/>
          <w:jc w:val="center"/>
        </w:trPr>
        <w:tc>
          <w:tcPr>
            <w:tcW w:w="1370" w:type="dxa"/>
            <w:shd w:val="clear" w:color="auto" w:fill="FFFFFF" w:themeFill="background1"/>
            <w:noWrap/>
            <w:vAlign w:val="center"/>
            <w:hideMark/>
          </w:tcPr>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Weather</w:t>
            </w:r>
          </w:p>
        </w:tc>
        <w:tc>
          <w:tcPr>
            <w:tcW w:w="3041" w:type="dxa"/>
            <w:shd w:val="clear" w:color="auto" w:fill="FFFFFF" w:themeFill="background1"/>
            <w:noWrap/>
            <w:vAlign w:val="center"/>
            <w:hideMark/>
          </w:tcPr>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Default CPP customers:</w:t>
            </w:r>
          </w:p>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79.9 &lt; event day mean17 &lt; 86.3</w:t>
            </w:r>
          </w:p>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Average event day mean17 = 83.2</w:t>
            </w:r>
          </w:p>
          <w:p w:rsidR="00A317E4" w:rsidRPr="00153D9E" w:rsidRDefault="00A317E4" w:rsidP="00336E76">
            <w:pPr>
              <w:pStyle w:val="TableText"/>
              <w:spacing w:before="100" w:after="100"/>
              <w:contextualSpacing/>
              <w:rPr>
                <w:rFonts w:ascii="Times New Roman" w:hAnsi="Times New Roman"/>
                <w:sz w:val="20"/>
                <w:szCs w:val="20"/>
              </w:rPr>
            </w:pPr>
          </w:p>
        </w:tc>
        <w:tc>
          <w:tcPr>
            <w:tcW w:w="2847" w:type="dxa"/>
            <w:shd w:val="clear" w:color="auto" w:fill="FFFFFF" w:themeFill="background1"/>
            <w:vAlign w:val="center"/>
            <w:hideMark/>
          </w:tcPr>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Program specific mean17 for 1-in-2 typical event day = 72.5 and 73.2 for SDG&amp;E and CAISO weather, respectively</w:t>
            </w:r>
          </w:p>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Program specific mean17 for 1-in-10 typical event day = 77.5 and 76.0 for SDG&amp;E and CAISO weather, respectively</w:t>
            </w:r>
          </w:p>
        </w:tc>
        <w:tc>
          <w:tcPr>
            <w:tcW w:w="2229" w:type="dxa"/>
            <w:shd w:val="clear" w:color="auto" w:fill="FFFFFF" w:themeFill="background1"/>
            <w:vAlign w:val="center"/>
            <w:hideMark/>
          </w:tcPr>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Ex ante estimates are sensitive to variation in mean17 – impacts will be lower based on both SDG&amp;E weather and CAISO weather</w:t>
            </w:r>
          </w:p>
        </w:tc>
      </w:tr>
      <w:tr w:rsidR="00A317E4" w:rsidRPr="001D7FAA" w:rsidTr="007E7593">
        <w:trPr>
          <w:trHeight w:val="772"/>
          <w:jc w:val="center"/>
        </w:trPr>
        <w:tc>
          <w:tcPr>
            <w:tcW w:w="1370" w:type="dxa"/>
            <w:shd w:val="clear" w:color="auto" w:fill="FFFFFF" w:themeFill="background1"/>
            <w:noWrap/>
            <w:vAlign w:val="center"/>
            <w:hideMark/>
          </w:tcPr>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Enrollment</w:t>
            </w:r>
          </w:p>
        </w:tc>
        <w:tc>
          <w:tcPr>
            <w:tcW w:w="3041" w:type="dxa"/>
            <w:shd w:val="clear" w:color="auto" w:fill="FFFFFF" w:themeFill="background1"/>
            <w:noWrap/>
            <w:vAlign w:val="center"/>
            <w:hideMark/>
          </w:tcPr>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Enrollment remained fairly constant over the 2015 summer</w:t>
            </w:r>
          </w:p>
        </w:tc>
        <w:tc>
          <w:tcPr>
            <w:tcW w:w="2847" w:type="dxa"/>
            <w:shd w:val="clear" w:color="auto" w:fill="FFFFFF" w:themeFill="background1"/>
            <w:vAlign w:val="center"/>
            <w:hideMark/>
          </w:tcPr>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2016 enrollment is forecast to be about 5% higher</w:t>
            </w:r>
          </w:p>
        </w:tc>
        <w:tc>
          <w:tcPr>
            <w:tcW w:w="2229" w:type="dxa"/>
            <w:shd w:val="clear" w:color="auto" w:fill="FFFFFF" w:themeFill="background1"/>
            <w:vAlign w:val="center"/>
            <w:hideMark/>
          </w:tcPr>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 xml:space="preserve">Ex ante estimates will be about 5% higher than </w:t>
            </w:r>
            <w:r w:rsidR="008C46A8">
              <w:rPr>
                <w:rFonts w:ascii="Times New Roman" w:hAnsi="Times New Roman"/>
                <w:sz w:val="20"/>
                <w:szCs w:val="20"/>
              </w:rPr>
              <w:t>ex-post</w:t>
            </w:r>
          </w:p>
        </w:tc>
      </w:tr>
      <w:tr w:rsidR="00A317E4" w:rsidRPr="00981BF8" w:rsidTr="007E7593">
        <w:trPr>
          <w:trHeight w:val="2708"/>
          <w:jc w:val="center"/>
        </w:trPr>
        <w:tc>
          <w:tcPr>
            <w:tcW w:w="1370" w:type="dxa"/>
            <w:shd w:val="clear" w:color="auto" w:fill="FFFFFF" w:themeFill="background1"/>
            <w:noWrap/>
            <w:vAlign w:val="center"/>
            <w:hideMark/>
          </w:tcPr>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Methodology</w:t>
            </w:r>
          </w:p>
        </w:tc>
        <w:tc>
          <w:tcPr>
            <w:tcW w:w="3041" w:type="dxa"/>
            <w:shd w:val="clear" w:color="auto" w:fill="FFFFFF" w:themeFill="background1"/>
            <w:vAlign w:val="center"/>
            <w:hideMark/>
          </w:tcPr>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2015 impacts based on combination of matched control groups and individual customer regressions</w:t>
            </w:r>
          </w:p>
        </w:tc>
        <w:tc>
          <w:tcPr>
            <w:tcW w:w="2847" w:type="dxa"/>
            <w:shd w:val="clear" w:color="auto" w:fill="FFFFFF" w:themeFill="background1"/>
            <w:vAlign w:val="center"/>
            <w:hideMark/>
          </w:tcPr>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 xml:space="preserve">Impacts: regression of </w:t>
            </w:r>
            <w:r w:rsidR="008C46A8">
              <w:rPr>
                <w:rFonts w:ascii="Times New Roman" w:hAnsi="Times New Roman"/>
                <w:sz w:val="20"/>
                <w:szCs w:val="20"/>
              </w:rPr>
              <w:t>ex-post</w:t>
            </w:r>
            <w:r w:rsidRPr="00153D9E">
              <w:rPr>
                <w:rFonts w:ascii="Times New Roman" w:hAnsi="Times New Roman"/>
                <w:sz w:val="20"/>
                <w:szCs w:val="20"/>
              </w:rPr>
              <w:t xml:space="preserve"> percent impacts against mean17 for each hour using two years’ worth of </w:t>
            </w:r>
            <w:r w:rsidR="008C46A8">
              <w:rPr>
                <w:rFonts w:ascii="Times New Roman" w:hAnsi="Times New Roman"/>
                <w:sz w:val="20"/>
                <w:szCs w:val="20"/>
              </w:rPr>
              <w:t>ex-post</w:t>
            </w:r>
            <w:r w:rsidRPr="00153D9E">
              <w:rPr>
                <w:rFonts w:ascii="Times New Roman" w:hAnsi="Times New Roman"/>
                <w:sz w:val="20"/>
                <w:szCs w:val="20"/>
              </w:rPr>
              <w:t xml:space="preserve"> impacts for persistent customers</w:t>
            </w:r>
          </w:p>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Reference Load: regression of kW against mean17 and date variables for each hour using default cpp population</w:t>
            </w:r>
          </w:p>
        </w:tc>
        <w:tc>
          <w:tcPr>
            <w:tcW w:w="2229" w:type="dxa"/>
            <w:shd w:val="clear" w:color="auto" w:fill="FFFFFF" w:themeFill="background1"/>
            <w:vAlign w:val="center"/>
            <w:hideMark/>
          </w:tcPr>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Pooled impacts from 2014 and 2015 for persistent customers exhibit a stronger temperature relationship than those for all customers. Impacts will be higher at higher temperatures and lower or similar at lower temperatures.</w:t>
            </w:r>
          </w:p>
          <w:p w:rsidR="00A317E4" w:rsidRPr="00153D9E" w:rsidRDefault="00A317E4" w:rsidP="00336E76">
            <w:pPr>
              <w:pStyle w:val="TableText"/>
              <w:spacing w:before="100" w:after="100"/>
              <w:contextualSpacing/>
              <w:rPr>
                <w:rFonts w:ascii="Times New Roman" w:hAnsi="Times New Roman"/>
                <w:sz w:val="20"/>
                <w:szCs w:val="20"/>
              </w:rPr>
            </w:pPr>
            <w:r w:rsidRPr="00153D9E">
              <w:rPr>
                <w:rFonts w:ascii="Times New Roman" w:hAnsi="Times New Roman"/>
                <w:sz w:val="20"/>
                <w:szCs w:val="20"/>
              </w:rPr>
              <w:t xml:space="preserve">Reference load of the </w:t>
            </w:r>
            <w:r w:rsidR="008C46A8">
              <w:rPr>
                <w:rFonts w:ascii="Times New Roman" w:hAnsi="Times New Roman"/>
                <w:sz w:val="20"/>
                <w:szCs w:val="20"/>
              </w:rPr>
              <w:t>ex-ante</w:t>
            </w:r>
            <w:r w:rsidRPr="00153D9E">
              <w:rPr>
                <w:rFonts w:ascii="Times New Roman" w:hAnsi="Times New Roman"/>
                <w:sz w:val="20"/>
                <w:szCs w:val="20"/>
              </w:rPr>
              <w:t xml:space="preserve"> population is similar to that of the </w:t>
            </w:r>
            <w:r w:rsidR="008C46A8">
              <w:rPr>
                <w:rFonts w:ascii="Times New Roman" w:hAnsi="Times New Roman"/>
                <w:sz w:val="20"/>
                <w:szCs w:val="20"/>
              </w:rPr>
              <w:t>ex-post</w:t>
            </w:r>
            <w:r w:rsidRPr="00153D9E">
              <w:rPr>
                <w:rFonts w:ascii="Times New Roman" w:hAnsi="Times New Roman"/>
                <w:sz w:val="20"/>
                <w:szCs w:val="20"/>
              </w:rPr>
              <w:t xml:space="preserve"> population.</w:t>
            </w:r>
          </w:p>
        </w:tc>
      </w:tr>
    </w:tbl>
    <w:p w:rsidR="00A317E4" w:rsidRDefault="00A317E4" w:rsidP="00A317E4">
      <w:pPr>
        <w:pStyle w:val="BodyParagraph"/>
      </w:pPr>
    </w:p>
    <w:p w:rsidR="00A317E4" w:rsidRPr="008227A8" w:rsidRDefault="00A317E4" w:rsidP="00153D9E">
      <w:pPr>
        <w:pStyle w:val="BodyParagraph"/>
        <w:spacing w:after="0" w:line="276" w:lineRule="auto"/>
        <w:ind w:firstLine="360"/>
        <w:rPr>
          <w:rFonts w:ascii="Times New Roman" w:hAnsi="Times New Roman"/>
          <w:color w:val="000000" w:themeColor="text1"/>
          <w:sz w:val="24"/>
          <w:szCs w:val="24"/>
        </w:rPr>
      </w:pPr>
      <w:r w:rsidRPr="00826B23">
        <w:rPr>
          <w:rFonts w:ascii="Times New Roman" w:hAnsi="Times New Roman"/>
          <w:color w:val="000000" w:themeColor="text1"/>
          <w:sz w:val="22"/>
        </w:rPr>
        <w:t xml:space="preserve">Table </w:t>
      </w:r>
      <w:r w:rsidR="00153D9E" w:rsidRPr="00826B23">
        <w:rPr>
          <w:rFonts w:ascii="Times New Roman" w:hAnsi="Times New Roman"/>
          <w:color w:val="000000" w:themeColor="text1"/>
          <w:sz w:val="22"/>
        </w:rPr>
        <w:t>3-</w:t>
      </w:r>
      <w:r w:rsidR="0024252A">
        <w:rPr>
          <w:rFonts w:ascii="Times New Roman" w:hAnsi="Times New Roman"/>
          <w:color w:val="000000" w:themeColor="text1"/>
          <w:sz w:val="22"/>
        </w:rPr>
        <w:t>6</w:t>
      </w:r>
      <w:r w:rsidRPr="008227A8">
        <w:rPr>
          <w:rFonts w:ascii="Times New Roman" w:hAnsi="Times New Roman"/>
          <w:color w:val="000000" w:themeColor="text1"/>
          <w:sz w:val="24"/>
          <w:szCs w:val="24"/>
        </w:rPr>
        <w:t xml:space="preserve"> shows how aggregate load impacts change for large default CPP customers as a result of differences in the factors underlying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and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estimates. The third column uses the 2015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impacts and the projected enrollment for August of 2016 to produce a scaled-up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impact estimate, which is approximately the same as the average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impact since enrollment grew very little. The next column shows what the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model would produce using the same August 2016 enrollment figures and the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weather conditions for each event day. The final four columns show how aggregate load reductions vary with the different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weather scenarios. The impacts are similar across SDG&amp;E and CAISO weather scenarios. On average across all event days, the impacts derived from the 1-in-10 conditions are </w:t>
      </w:r>
      <w:r w:rsidRPr="008227A8">
        <w:rPr>
          <w:rFonts w:ascii="Times New Roman" w:hAnsi="Times New Roman"/>
          <w:color w:val="000000" w:themeColor="text1"/>
          <w:sz w:val="24"/>
          <w:szCs w:val="24"/>
        </w:rPr>
        <w:lastRenderedPageBreak/>
        <w:t xml:space="preserve">most similar to those derived using the 2015 SDG&amp;E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weather conditions, although the impacts are still lower than the average </w:t>
      </w:r>
      <w:r w:rsidR="008C46A8"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day by about 12%.</w:t>
      </w:r>
    </w:p>
    <w:p w:rsidR="00153D9E" w:rsidRPr="00153D9E" w:rsidRDefault="00153D9E" w:rsidP="00153D9E">
      <w:pPr>
        <w:pStyle w:val="BodyParagraph"/>
        <w:spacing w:after="0" w:line="276" w:lineRule="auto"/>
        <w:ind w:firstLine="360"/>
        <w:rPr>
          <w:rFonts w:ascii="Times New Roman" w:hAnsi="Times New Roman"/>
          <w:color w:val="0000FF"/>
          <w:sz w:val="24"/>
          <w:szCs w:val="24"/>
        </w:rPr>
      </w:pPr>
    </w:p>
    <w:p w:rsidR="00A317E4" w:rsidRPr="00153D9E" w:rsidRDefault="00A317E4" w:rsidP="00A317E4">
      <w:pPr>
        <w:pStyle w:val="TableFigureCaption"/>
        <w:rPr>
          <w:rFonts w:ascii="Times New Roman" w:hAnsi="Times New Roman"/>
          <w:noProof/>
        </w:rPr>
      </w:pPr>
      <w:r w:rsidRPr="00153D9E">
        <w:rPr>
          <w:rFonts w:ascii="Times New Roman" w:hAnsi="Times New Roman"/>
        </w:rPr>
        <w:t xml:space="preserve">Table </w:t>
      </w:r>
      <w:r w:rsidR="00153D9E" w:rsidRPr="00153D9E">
        <w:rPr>
          <w:rFonts w:ascii="Times New Roman" w:hAnsi="Times New Roman"/>
        </w:rPr>
        <w:t>3-</w:t>
      </w:r>
      <w:r w:rsidR="0024252A">
        <w:rPr>
          <w:rFonts w:ascii="Times New Roman" w:hAnsi="Times New Roman"/>
        </w:rPr>
        <w:t>6</w:t>
      </w:r>
      <w:r w:rsidRPr="00153D9E">
        <w:rPr>
          <w:rFonts w:ascii="Times New Roman" w:hAnsi="Times New Roman"/>
        </w:rPr>
        <w:t xml:space="preserve">: Differences in Large C&amp;I </w:t>
      </w:r>
      <w:r w:rsidR="008C46A8">
        <w:rPr>
          <w:rFonts w:ascii="Times New Roman" w:hAnsi="Times New Roman"/>
        </w:rPr>
        <w:t>Ex-Post</w:t>
      </w:r>
      <w:r w:rsidRPr="00153D9E">
        <w:rPr>
          <w:rFonts w:ascii="Times New Roman" w:hAnsi="Times New Roman"/>
        </w:rPr>
        <w:t xml:space="preserve"> and </w:t>
      </w:r>
      <w:r w:rsidR="008C46A8">
        <w:rPr>
          <w:rFonts w:ascii="Times New Roman" w:hAnsi="Times New Roman"/>
        </w:rPr>
        <w:t>Ex-Ante</w:t>
      </w:r>
      <w:r w:rsidRPr="00153D9E">
        <w:rPr>
          <w:rFonts w:ascii="Times New Roman" w:hAnsi="Times New Roman"/>
        </w:rPr>
        <w:t xml:space="preserve"> Impacts Due to Key Factors</w:t>
      </w:r>
    </w:p>
    <w:tbl>
      <w:tblPr>
        <w:tblW w:w="9397" w:type="dxa"/>
        <w:jc w:val="center"/>
        <w:tblInd w:w="-795" w:type="dxa"/>
        <w:tblLook w:val="04A0" w:firstRow="1" w:lastRow="0" w:firstColumn="1" w:lastColumn="0" w:noHBand="0" w:noVBand="1"/>
      </w:tblPr>
      <w:tblGrid>
        <w:gridCol w:w="1106"/>
        <w:gridCol w:w="728"/>
        <w:gridCol w:w="984"/>
        <w:gridCol w:w="1568"/>
        <w:gridCol w:w="1441"/>
        <w:gridCol w:w="850"/>
        <w:gridCol w:w="928"/>
        <w:gridCol w:w="864"/>
        <w:gridCol w:w="928"/>
      </w:tblGrid>
      <w:tr w:rsidR="00A317E4" w:rsidRPr="00153D9E" w:rsidTr="007E7593">
        <w:trPr>
          <w:trHeight w:val="962"/>
          <w:jc w:val="center"/>
        </w:trPr>
        <w:tc>
          <w:tcPr>
            <w:tcW w:w="1106" w:type="dxa"/>
            <w:vMerge w:val="restart"/>
            <w:tcBorders>
              <w:top w:val="single" w:sz="4" w:space="0" w:color="auto"/>
              <w:left w:val="single" w:sz="4" w:space="0" w:color="auto"/>
              <w:bottom w:val="single" w:sz="4" w:space="0" w:color="000000"/>
              <w:right w:val="single" w:sz="4" w:space="0" w:color="FFFFFF"/>
            </w:tcBorders>
            <w:shd w:val="clear" w:color="auto" w:fill="002060"/>
            <w:vAlign w:val="center"/>
            <w:hideMark/>
          </w:tcPr>
          <w:p w:rsidR="00A317E4" w:rsidRPr="00153D9E" w:rsidRDefault="00A317E4" w:rsidP="00336E76">
            <w:pPr>
              <w:contextualSpacing/>
              <w:jc w:val="center"/>
              <w:rPr>
                <w:b/>
                <w:bCs/>
                <w:color w:val="FFFFFF"/>
                <w:sz w:val="20"/>
                <w:szCs w:val="20"/>
              </w:rPr>
            </w:pPr>
            <w:r w:rsidRPr="00153D9E">
              <w:rPr>
                <w:b/>
                <w:bCs/>
                <w:color w:val="FFFFFF"/>
                <w:sz w:val="20"/>
                <w:szCs w:val="20"/>
              </w:rPr>
              <w:t>Date</w:t>
            </w:r>
          </w:p>
        </w:tc>
        <w:tc>
          <w:tcPr>
            <w:tcW w:w="728" w:type="dxa"/>
            <w:tcBorders>
              <w:top w:val="single" w:sz="4" w:space="0" w:color="auto"/>
              <w:left w:val="nil"/>
              <w:bottom w:val="single" w:sz="4" w:space="0" w:color="FFFFFF"/>
              <w:right w:val="single" w:sz="4" w:space="0" w:color="FFFFFF"/>
            </w:tcBorders>
            <w:shd w:val="clear" w:color="auto" w:fill="002060"/>
            <w:vAlign w:val="center"/>
            <w:hideMark/>
          </w:tcPr>
          <w:p w:rsidR="00A317E4" w:rsidRPr="00153D9E" w:rsidRDefault="00A317E4" w:rsidP="00336E76">
            <w:pPr>
              <w:contextualSpacing/>
              <w:jc w:val="center"/>
              <w:rPr>
                <w:b/>
                <w:bCs/>
                <w:color w:val="FFFFFF"/>
                <w:sz w:val="20"/>
                <w:szCs w:val="20"/>
              </w:rPr>
            </w:pPr>
            <w:r w:rsidRPr="00153D9E">
              <w:rPr>
                <w:b/>
                <w:bCs/>
                <w:color w:val="FFFFFF"/>
                <w:sz w:val="20"/>
                <w:szCs w:val="20"/>
              </w:rPr>
              <w:t>Mean 17</w:t>
            </w:r>
          </w:p>
        </w:tc>
        <w:tc>
          <w:tcPr>
            <w:tcW w:w="984" w:type="dxa"/>
            <w:tcBorders>
              <w:top w:val="single" w:sz="4" w:space="0" w:color="auto"/>
              <w:left w:val="nil"/>
              <w:bottom w:val="single" w:sz="4" w:space="0" w:color="FFFFFF"/>
              <w:right w:val="single" w:sz="4" w:space="0" w:color="FFFFFF"/>
            </w:tcBorders>
            <w:shd w:val="clear" w:color="auto" w:fill="002060"/>
            <w:vAlign w:val="center"/>
            <w:hideMark/>
          </w:tcPr>
          <w:p w:rsidR="00A317E4" w:rsidRPr="00153D9E" w:rsidRDefault="008C46A8" w:rsidP="00336E76">
            <w:pPr>
              <w:contextualSpacing/>
              <w:jc w:val="center"/>
              <w:rPr>
                <w:b/>
                <w:bCs/>
                <w:color w:val="FFFFFF"/>
                <w:sz w:val="20"/>
                <w:szCs w:val="20"/>
              </w:rPr>
            </w:pPr>
            <w:r>
              <w:rPr>
                <w:b/>
                <w:bCs/>
                <w:color w:val="FFFFFF"/>
                <w:sz w:val="20"/>
                <w:szCs w:val="20"/>
              </w:rPr>
              <w:t>Ex-Post</w:t>
            </w:r>
            <w:r w:rsidR="00A317E4" w:rsidRPr="00153D9E">
              <w:rPr>
                <w:b/>
                <w:bCs/>
                <w:color w:val="FFFFFF"/>
                <w:sz w:val="20"/>
                <w:szCs w:val="20"/>
              </w:rPr>
              <w:t xml:space="preserve"> Impact</w:t>
            </w:r>
          </w:p>
        </w:tc>
        <w:tc>
          <w:tcPr>
            <w:tcW w:w="1568" w:type="dxa"/>
            <w:tcBorders>
              <w:top w:val="single" w:sz="4" w:space="0" w:color="auto"/>
              <w:left w:val="nil"/>
              <w:bottom w:val="single" w:sz="4" w:space="0" w:color="FFFFFF"/>
              <w:right w:val="single" w:sz="4" w:space="0" w:color="FFFFFF"/>
            </w:tcBorders>
            <w:shd w:val="clear" w:color="auto" w:fill="002060"/>
            <w:vAlign w:val="center"/>
            <w:hideMark/>
          </w:tcPr>
          <w:p w:rsidR="00A317E4" w:rsidRPr="00153D9E" w:rsidRDefault="008C46A8" w:rsidP="00336E76">
            <w:pPr>
              <w:contextualSpacing/>
              <w:jc w:val="center"/>
              <w:rPr>
                <w:b/>
                <w:bCs/>
                <w:color w:val="FFFFFF"/>
                <w:sz w:val="20"/>
                <w:szCs w:val="20"/>
              </w:rPr>
            </w:pPr>
            <w:r>
              <w:rPr>
                <w:b/>
                <w:bCs/>
                <w:color w:val="FFFFFF"/>
                <w:sz w:val="20"/>
                <w:szCs w:val="20"/>
              </w:rPr>
              <w:t>Ex-Post</w:t>
            </w:r>
            <w:r w:rsidR="00A317E4" w:rsidRPr="00153D9E">
              <w:rPr>
                <w:b/>
                <w:bCs/>
                <w:color w:val="FFFFFF"/>
                <w:sz w:val="20"/>
                <w:szCs w:val="20"/>
              </w:rPr>
              <w:t xml:space="preserve"> Impact with </w:t>
            </w:r>
            <w:r>
              <w:rPr>
                <w:b/>
                <w:bCs/>
                <w:color w:val="FFFFFF"/>
                <w:sz w:val="20"/>
                <w:szCs w:val="20"/>
              </w:rPr>
              <w:t>Ex-Ante</w:t>
            </w:r>
            <w:r w:rsidR="00A317E4" w:rsidRPr="00153D9E">
              <w:rPr>
                <w:b/>
                <w:bCs/>
                <w:color w:val="FFFFFF"/>
                <w:sz w:val="20"/>
                <w:szCs w:val="20"/>
              </w:rPr>
              <w:t xml:space="preserve"> Enrollment</w:t>
            </w:r>
          </w:p>
        </w:tc>
        <w:tc>
          <w:tcPr>
            <w:tcW w:w="1441" w:type="dxa"/>
            <w:tcBorders>
              <w:top w:val="single" w:sz="4" w:space="0" w:color="auto"/>
              <w:left w:val="nil"/>
              <w:bottom w:val="single" w:sz="4" w:space="0" w:color="FFFFFF"/>
              <w:right w:val="single" w:sz="4" w:space="0" w:color="FFFFFF"/>
            </w:tcBorders>
            <w:shd w:val="clear" w:color="auto" w:fill="002060"/>
            <w:vAlign w:val="center"/>
            <w:hideMark/>
          </w:tcPr>
          <w:p w:rsidR="00A317E4" w:rsidRPr="00153D9E" w:rsidRDefault="008C46A8" w:rsidP="00336E76">
            <w:pPr>
              <w:contextualSpacing/>
              <w:jc w:val="center"/>
              <w:rPr>
                <w:b/>
                <w:bCs/>
                <w:color w:val="FFFFFF"/>
                <w:sz w:val="20"/>
                <w:szCs w:val="20"/>
              </w:rPr>
            </w:pPr>
            <w:r>
              <w:rPr>
                <w:b/>
                <w:bCs/>
                <w:color w:val="FFFFFF"/>
                <w:sz w:val="20"/>
                <w:szCs w:val="20"/>
              </w:rPr>
              <w:t>Ex-Ante</w:t>
            </w:r>
            <w:r w:rsidR="00A317E4" w:rsidRPr="00153D9E">
              <w:rPr>
                <w:b/>
                <w:bCs/>
                <w:color w:val="FFFFFF"/>
                <w:sz w:val="20"/>
                <w:szCs w:val="20"/>
              </w:rPr>
              <w:t xml:space="preserve"> Model </w:t>
            </w:r>
            <w:r>
              <w:rPr>
                <w:b/>
                <w:bCs/>
                <w:color w:val="FFFFFF"/>
                <w:sz w:val="20"/>
                <w:szCs w:val="20"/>
              </w:rPr>
              <w:t>Ex-Post</w:t>
            </w:r>
            <w:r w:rsidR="00A317E4" w:rsidRPr="00153D9E">
              <w:rPr>
                <w:b/>
                <w:bCs/>
                <w:color w:val="FFFFFF"/>
                <w:sz w:val="20"/>
                <w:szCs w:val="20"/>
              </w:rPr>
              <w:t xml:space="preserve"> Weather</w:t>
            </w:r>
          </w:p>
        </w:tc>
        <w:tc>
          <w:tcPr>
            <w:tcW w:w="850" w:type="dxa"/>
            <w:tcBorders>
              <w:top w:val="single" w:sz="4" w:space="0" w:color="auto"/>
              <w:left w:val="nil"/>
              <w:bottom w:val="single" w:sz="4" w:space="0" w:color="FFFFFF"/>
              <w:right w:val="single" w:sz="4" w:space="0" w:color="FFFFFF"/>
            </w:tcBorders>
            <w:shd w:val="clear" w:color="auto" w:fill="002060"/>
            <w:vAlign w:val="center"/>
            <w:hideMark/>
          </w:tcPr>
          <w:p w:rsidR="00A317E4" w:rsidRPr="00153D9E" w:rsidRDefault="00A317E4" w:rsidP="00336E76">
            <w:pPr>
              <w:contextualSpacing/>
              <w:jc w:val="center"/>
              <w:rPr>
                <w:b/>
                <w:bCs/>
                <w:color w:val="FFFFFF"/>
                <w:sz w:val="20"/>
                <w:szCs w:val="20"/>
              </w:rPr>
            </w:pPr>
            <w:r w:rsidRPr="00153D9E">
              <w:rPr>
                <w:b/>
                <w:bCs/>
                <w:color w:val="FFFFFF"/>
                <w:sz w:val="20"/>
                <w:szCs w:val="20"/>
              </w:rPr>
              <w:t>CAISO 1-in-2</w:t>
            </w:r>
          </w:p>
        </w:tc>
        <w:tc>
          <w:tcPr>
            <w:tcW w:w="928" w:type="dxa"/>
            <w:tcBorders>
              <w:top w:val="single" w:sz="4" w:space="0" w:color="auto"/>
              <w:left w:val="nil"/>
              <w:bottom w:val="single" w:sz="4" w:space="0" w:color="FFFFFF"/>
              <w:right w:val="single" w:sz="4" w:space="0" w:color="FFFFFF"/>
            </w:tcBorders>
            <w:shd w:val="clear" w:color="auto" w:fill="002060"/>
            <w:vAlign w:val="center"/>
            <w:hideMark/>
          </w:tcPr>
          <w:p w:rsidR="00A317E4" w:rsidRPr="00153D9E" w:rsidRDefault="00A317E4" w:rsidP="00336E76">
            <w:pPr>
              <w:contextualSpacing/>
              <w:jc w:val="center"/>
              <w:rPr>
                <w:b/>
                <w:bCs/>
                <w:color w:val="FFFFFF"/>
                <w:sz w:val="20"/>
                <w:szCs w:val="20"/>
              </w:rPr>
            </w:pPr>
            <w:r w:rsidRPr="00153D9E">
              <w:rPr>
                <w:b/>
                <w:bCs/>
                <w:color w:val="FFFFFF"/>
                <w:sz w:val="20"/>
                <w:szCs w:val="20"/>
              </w:rPr>
              <w:t>SDG&amp;E 1-in-2</w:t>
            </w:r>
          </w:p>
        </w:tc>
        <w:tc>
          <w:tcPr>
            <w:tcW w:w="864" w:type="dxa"/>
            <w:tcBorders>
              <w:top w:val="single" w:sz="4" w:space="0" w:color="auto"/>
              <w:left w:val="nil"/>
              <w:bottom w:val="single" w:sz="4" w:space="0" w:color="FFFFFF"/>
              <w:right w:val="single" w:sz="4" w:space="0" w:color="FFFFFF"/>
            </w:tcBorders>
            <w:shd w:val="clear" w:color="auto" w:fill="002060"/>
            <w:vAlign w:val="center"/>
            <w:hideMark/>
          </w:tcPr>
          <w:p w:rsidR="00A317E4" w:rsidRPr="00153D9E" w:rsidRDefault="00A317E4" w:rsidP="00336E76">
            <w:pPr>
              <w:contextualSpacing/>
              <w:jc w:val="center"/>
              <w:rPr>
                <w:b/>
                <w:bCs/>
                <w:color w:val="FFFFFF"/>
                <w:sz w:val="20"/>
                <w:szCs w:val="20"/>
              </w:rPr>
            </w:pPr>
            <w:r w:rsidRPr="00153D9E">
              <w:rPr>
                <w:b/>
                <w:bCs/>
                <w:color w:val="FFFFFF"/>
                <w:sz w:val="20"/>
                <w:szCs w:val="20"/>
              </w:rPr>
              <w:t>CAISO 1-in-10</w:t>
            </w:r>
          </w:p>
        </w:tc>
        <w:tc>
          <w:tcPr>
            <w:tcW w:w="928" w:type="dxa"/>
            <w:tcBorders>
              <w:top w:val="single" w:sz="4" w:space="0" w:color="auto"/>
              <w:left w:val="nil"/>
              <w:bottom w:val="single" w:sz="4" w:space="0" w:color="FFFFFF"/>
              <w:right w:val="single" w:sz="4" w:space="0" w:color="auto"/>
            </w:tcBorders>
            <w:shd w:val="clear" w:color="auto" w:fill="002060"/>
            <w:vAlign w:val="center"/>
            <w:hideMark/>
          </w:tcPr>
          <w:p w:rsidR="00A317E4" w:rsidRPr="00153D9E" w:rsidRDefault="00A317E4" w:rsidP="00336E76">
            <w:pPr>
              <w:contextualSpacing/>
              <w:jc w:val="center"/>
              <w:rPr>
                <w:b/>
                <w:bCs/>
                <w:color w:val="FFFFFF"/>
                <w:sz w:val="20"/>
                <w:szCs w:val="20"/>
              </w:rPr>
            </w:pPr>
            <w:r w:rsidRPr="00153D9E">
              <w:rPr>
                <w:b/>
                <w:bCs/>
                <w:color w:val="FFFFFF"/>
                <w:sz w:val="20"/>
                <w:szCs w:val="20"/>
              </w:rPr>
              <w:t>SDG&amp;E 1-in-10</w:t>
            </w:r>
          </w:p>
        </w:tc>
      </w:tr>
      <w:tr w:rsidR="00A317E4" w:rsidRPr="00153D9E" w:rsidTr="007E7593">
        <w:trPr>
          <w:trHeight w:val="255"/>
          <w:jc w:val="center"/>
        </w:trPr>
        <w:tc>
          <w:tcPr>
            <w:tcW w:w="1106" w:type="dxa"/>
            <w:vMerge/>
            <w:tcBorders>
              <w:top w:val="single" w:sz="4" w:space="0" w:color="auto"/>
              <w:left w:val="single" w:sz="4" w:space="0" w:color="auto"/>
              <w:bottom w:val="single" w:sz="4" w:space="0" w:color="000000"/>
              <w:right w:val="single" w:sz="4" w:space="0" w:color="FFFFFF"/>
            </w:tcBorders>
            <w:shd w:val="clear" w:color="auto" w:fill="002060"/>
            <w:vAlign w:val="center"/>
            <w:hideMark/>
          </w:tcPr>
          <w:p w:rsidR="00A317E4" w:rsidRPr="00153D9E" w:rsidRDefault="00A317E4" w:rsidP="00336E76">
            <w:pPr>
              <w:contextualSpacing/>
              <w:rPr>
                <w:b/>
                <w:bCs/>
                <w:color w:val="FFFFFF"/>
                <w:sz w:val="20"/>
                <w:szCs w:val="20"/>
              </w:rPr>
            </w:pPr>
          </w:p>
        </w:tc>
        <w:tc>
          <w:tcPr>
            <w:tcW w:w="728" w:type="dxa"/>
            <w:tcBorders>
              <w:top w:val="nil"/>
              <w:left w:val="nil"/>
              <w:bottom w:val="single" w:sz="4" w:space="0" w:color="auto"/>
              <w:right w:val="single" w:sz="4" w:space="0" w:color="FFFFFF"/>
            </w:tcBorders>
            <w:shd w:val="clear" w:color="auto" w:fill="002060"/>
            <w:vAlign w:val="center"/>
            <w:hideMark/>
          </w:tcPr>
          <w:p w:rsidR="00A317E4" w:rsidRPr="00153D9E" w:rsidRDefault="00A317E4" w:rsidP="00336E76">
            <w:pPr>
              <w:contextualSpacing/>
              <w:jc w:val="center"/>
              <w:rPr>
                <w:b/>
                <w:bCs/>
                <w:color w:val="FFFFFF"/>
                <w:sz w:val="20"/>
                <w:szCs w:val="20"/>
              </w:rPr>
            </w:pPr>
            <w:r w:rsidRPr="00153D9E">
              <w:rPr>
                <w:b/>
                <w:bCs/>
                <w:color w:val="FFFFFF"/>
                <w:sz w:val="20"/>
                <w:szCs w:val="20"/>
              </w:rPr>
              <w:t>(F)</w:t>
            </w:r>
          </w:p>
        </w:tc>
        <w:tc>
          <w:tcPr>
            <w:tcW w:w="984" w:type="dxa"/>
            <w:tcBorders>
              <w:top w:val="nil"/>
              <w:left w:val="nil"/>
              <w:bottom w:val="single" w:sz="4" w:space="0" w:color="auto"/>
              <w:right w:val="single" w:sz="4" w:space="0" w:color="FFFFFF"/>
            </w:tcBorders>
            <w:shd w:val="clear" w:color="auto" w:fill="002060"/>
            <w:vAlign w:val="center"/>
            <w:hideMark/>
          </w:tcPr>
          <w:p w:rsidR="00A317E4" w:rsidRPr="00153D9E" w:rsidRDefault="00A317E4" w:rsidP="00336E76">
            <w:pPr>
              <w:contextualSpacing/>
              <w:jc w:val="center"/>
              <w:rPr>
                <w:b/>
                <w:bCs/>
                <w:color w:val="FFFFFF"/>
                <w:sz w:val="20"/>
                <w:szCs w:val="20"/>
              </w:rPr>
            </w:pPr>
            <w:r w:rsidRPr="00153D9E">
              <w:rPr>
                <w:b/>
                <w:bCs/>
                <w:color w:val="FFFFFF"/>
                <w:sz w:val="20"/>
                <w:szCs w:val="20"/>
              </w:rPr>
              <w:t>(MW)</w:t>
            </w:r>
          </w:p>
        </w:tc>
        <w:tc>
          <w:tcPr>
            <w:tcW w:w="1568" w:type="dxa"/>
            <w:tcBorders>
              <w:top w:val="nil"/>
              <w:left w:val="nil"/>
              <w:bottom w:val="single" w:sz="4" w:space="0" w:color="auto"/>
              <w:right w:val="single" w:sz="4" w:space="0" w:color="FFFFFF"/>
            </w:tcBorders>
            <w:shd w:val="clear" w:color="auto" w:fill="002060"/>
            <w:vAlign w:val="center"/>
            <w:hideMark/>
          </w:tcPr>
          <w:p w:rsidR="00A317E4" w:rsidRPr="00153D9E" w:rsidRDefault="00A317E4" w:rsidP="00336E76">
            <w:pPr>
              <w:contextualSpacing/>
              <w:jc w:val="center"/>
              <w:rPr>
                <w:b/>
                <w:bCs/>
                <w:color w:val="FFFFFF"/>
                <w:sz w:val="20"/>
                <w:szCs w:val="20"/>
              </w:rPr>
            </w:pPr>
            <w:r w:rsidRPr="00153D9E">
              <w:rPr>
                <w:b/>
                <w:bCs/>
                <w:color w:val="FFFFFF"/>
                <w:sz w:val="20"/>
                <w:szCs w:val="20"/>
              </w:rPr>
              <w:t>(MW)</w:t>
            </w:r>
          </w:p>
        </w:tc>
        <w:tc>
          <w:tcPr>
            <w:tcW w:w="1441" w:type="dxa"/>
            <w:tcBorders>
              <w:top w:val="nil"/>
              <w:left w:val="nil"/>
              <w:bottom w:val="single" w:sz="4" w:space="0" w:color="auto"/>
              <w:right w:val="single" w:sz="4" w:space="0" w:color="FFFFFF"/>
            </w:tcBorders>
            <w:shd w:val="clear" w:color="auto" w:fill="002060"/>
            <w:vAlign w:val="center"/>
            <w:hideMark/>
          </w:tcPr>
          <w:p w:rsidR="00A317E4" w:rsidRPr="00153D9E" w:rsidRDefault="00A317E4" w:rsidP="00336E76">
            <w:pPr>
              <w:contextualSpacing/>
              <w:jc w:val="center"/>
              <w:rPr>
                <w:b/>
                <w:bCs/>
                <w:color w:val="FFFFFF"/>
                <w:sz w:val="20"/>
                <w:szCs w:val="20"/>
              </w:rPr>
            </w:pPr>
            <w:r w:rsidRPr="00153D9E">
              <w:rPr>
                <w:b/>
                <w:bCs/>
                <w:color w:val="FFFFFF"/>
                <w:sz w:val="20"/>
                <w:szCs w:val="20"/>
              </w:rPr>
              <w:t>(MW)</w:t>
            </w:r>
          </w:p>
        </w:tc>
        <w:tc>
          <w:tcPr>
            <w:tcW w:w="850" w:type="dxa"/>
            <w:tcBorders>
              <w:top w:val="nil"/>
              <w:left w:val="nil"/>
              <w:bottom w:val="single" w:sz="4" w:space="0" w:color="auto"/>
              <w:right w:val="single" w:sz="4" w:space="0" w:color="FFFFFF"/>
            </w:tcBorders>
            <w:shd w:val="clear" w:color="auto" w:fill="002060"/>
            <w:vAlign w:val="center"/>
            <w:hideMark/>
          </w:tcPr>
          <w:p w:rsidR="00A317E4" w:rsidRPr="00153D9E" w:rsidRDefault="00A317E4" w:rsidP="00336E76">
            <w:pPr>
              <w:contextualSpacing/>
              <w:jc w:val="center"/>
              <w:rPr>
                <w:b/>
                <w:bCs/>
                <w:color w:val="FFFFFF"/>
                <w:sz w:val="20"/>
                <w:szCs w:val="20"/>
              </w:rPr>
            </w:pPr>
            <w:r w:rsidRPr="00153D9E">
              <w:rPr>
                <w:b/>
                <w:bCs/>
                <w:color w:val="FFFFFF"/>
                <w:sz w:val="20"/>
                <w:szCs w:val="20"/>
              </w:rPr>
              <w:t>(MW)</w:t>
            </w:r>
          </w:p>
        </w:tc>
        <w:tc>
          <w:tcPr>
            <w:tcW w:w="928" w:type="dxa"/>
            <w:tcBorders>
              <w:top w:val="nil"/>
              <w:left w:val="nil"/>
              <w:bottom w:val="single" w:sz="4" w:space="0" w:color="auto"/>
              <w:right w:val="single" w:sz="4" w:space="0" w:color="FFFFFF"/>
            </w:tcBorders>
            <w:shd w:val="clear" w:color="auto" w:fill="002060"/>
            <w:vAlign w:val="center"/>
            <w:hideMark/>
          </w:tcPr>
          <w:p w:rsidR="00A317E4" w:rsidRPr="00153D9E" w:rsidRDefault="00A317E4" w:rsidP="00336E76">
            <w:pPr>
              <w:contextualSpacing/>
              <w:jc w:val="center"/>
              <w:rPr>
                <w:b/>
                <w:bCs/>
                <w:color w:val="FFFFFF"/>
                <w:sz w:val="20"/>
                <w:szCs w:val="20"/>
              </w:rPr>
            </w:pPr>
            <w:r w:rsidRPr="00153D9E">
              <w:rPr>
                <w:b/>
                <w:bCs/>
                <w:color w:val="FFFFFF"/>
                <w:sz w:val="20"/>
                <w:szCs w:val="20"/>
              </w:rPr>
              <w:t>(MW)</w:t>
            </w:r>
          </w:p>
        </w:tc>
        <w:tc>
          <w:tcPr>
            <w:tcW w:w="864" w:type="dxa"/>
            <w:tcBorders>
              <w:top w:val="nil"/>
              <w:left w:val="nil"/>
              <w:bottom w:val="single" w:sz="4" w:space="0" w:color="auto"/>
              <w:right w:val="single" w:sz="4" w:space="0" w:color="FFFFFF"/>
            </w:tcBorders>
            <w:shd w:val="clear" w:color="auto" w:fill="002060"/>
            <w:vAlign w:val="center"/>
            <w:hideMark/>
          </w:tcPr>
          <w:p w:rsidR="00A317E4" w:rsidRPr="00153D9E" w:rsidRDefault="00A317E4" w:rsidP="00336E76">
            <w:pPr>
              <w:contextualSpacing/>
              <w:jc w:val="center"/>
              <w:rPr>
                <w:b/>
                <w:bCs/>
                <w:color w:val="FFFFFF"/>
                <w:sz w:val="20"/>
                <w:szCs w:val="20"/>
              </w:rPr>
            </w:pPr>
            <w:r w:rsidRPr="00153D9E">
              <w:rPr>
                <w:b/>
                <w:bCs/>
                <w:color w:val="FFFFFF"/>
                <w:sz w:val="20"/>
                <w:szCs w:val="20"/>
              </w:rPr>
              <w:t>(MW)</w:t>
            </w:r>
          </w:p>
        </w:tc>
        <w:tc>
          <w:tcPr>
            <w:tcW w:w="928" w:type="dxa"/>
            <w:tcBorders>
              <w:top w:val="nil"/>
              <w:left w:val="nil"/>
              <w:bottom w:val="single" w:sz="4" w:space="0" w:color="auto"/>
              <w:right w:val="single" w:sz="4" w:space="0" w:color="auto"/>
            </w:tcBorders>
            <w:shd w:val="clear" w:color="auto" w:fill="002060"/>
            <w:vAlign w:val="center"/>
            <w:hideMark/>
          </w:tcPr>
          <w:p w:rsidR="00A317E4" w:rsidRPr="00153D9E" w:rsidRDefault="00A317E4" w:rsidP="00336E76">
            <w:pPr>
              <w:contextualSpacing/>
              <w:jc w:val="center"/>
              <w:rPr>
                <w:b/>
                <w:bCs/>
                <w:color w:val="FFFFFF"/>
                <w:sz w:val="20"/>
                <w:szCs w:val="20"/>
              </w:rPr>
            </w:pPr>
            <w:r w:rsidRPr="00153D9E">
              <w:rPr>
                <w:b/>
                <w:bCs/>
                <w:color w:val="FFFFFF"/>
                <w:sz w:val="20"/>
                <w:szCs w:val="20"/>
              </w:rPr>
              <w:t>(MW)</w:t>
            </w:r>
          </w:p>
        </w:tc>
      </w:tr>
      <w:tr w:rsidR="00A317E4" w:rsidRPr="00153D9E" w:rsidTr="007E7593">
        <w:trPr>
          <w:trHeight w:val="255"/>
          <w:jc w:val="center"/>
        </w:trPr>
        <w:tc>
          <w:tcPr>
            <w:tcW w:w="1106" w:type="dxa"/>
            <w:tcBorders>
              <w:top w:val="nil"/>
              <w:left w:val="single" w:sz="4" w:space="0" w:color="auto"/>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8/27/2015</w:t>
            </w:r>
          </w:p>
        </w:tc>
        <w:tc>
          <w:tcPr>
            <w:tcW w:w="728"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79.9</w:t>
            </w:r>
          </w:p>
        </w:tc>
        <w:tc>
          <w:tcPr>
            <w:tcW w:w="984"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21.1</w:t>
            </w:r>
          </w:p>
        </w:tc>
        <w:tc>
          <w:tcPr>
            <w:tcW w:w="1568"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22.3</w:t>
            </w:r>
          </w:p>
        </w:tc>
        <w:tc>
          <w:tcPr>
            <w:tcW w:w="1441"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25.6</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20.8</w:t>
            </w:r>
          </w:p>
        </w:tc>
        <w:tc>
          <w:tcPr>
            <w:tcW w:w="92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20.6</w:t>
            </w:r>
          </w:p>
        </w:tc>
        <w:tc>
          <w:tcPr>
            <w:tcW w:w="8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21.8</w:t>
            </w:r>
          </w:p>
        </w:tc>
        <w:tc>
          <w:tcPr>
            <w:tcW w:w="9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22.4</w:t>
            </w:r>
          </w:p>
        </w:tc>
      </w:tr>
      <w:tr w:rsidR="00A317E4" w:rsidRPr="00153D9E" w:rsidTr="007E7593">
        <w:trPr>
          <w:trHeight w:val="255"/>
          <w:jc w:val="center"/>
        </w:trPr>
        <w:tc>
          <w:tcPr>
            <w:tcW w:w="1106" w:type="dxa"/>
            <w:tcBorders>
              <w:top w:val="nil"/>
              <w:left w:val="single" w:sz="4" w:space="0" w:color="auto"/>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8/28/2015</w:t>
            </w:r>
          </w:p>
        </w:tc>
        <w:tc>
          <w:tcPr>
            <w:tcW w:w="728"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82.0</w:t>
            </w:r>
          </w:p>
        </w:tc>
        <w:tc>
          <w:tcPr>
            <w:tcW w:w="984"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25.7</w:t>
            </w:r>
          </w:p>
        </w:tc>
        <w:tc>
          <w:tcPr>
            <w:tcW w:w="1568"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27.1</w:t>
            </w:r>
          </w:p>
        </w:tc>
        <w:tc>
          <w:tcPr>
            <w:tcW w:w="1441"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27.3</w:t>
            </w:r>
          </w:p>
        </w:tc>
        <w:tc>
          <w:tcPr>
            <w:tcW w:w="850" w:type="dxa"/>
            <w:vMerge/>
            <w:tcBorders>
              <w:top w:val="nil"/>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c>
          <w:tcPr>
            <w:tcW w:w="928" w:type="dxa"/>
            <w:vMerge/>
            <w:tcBorders>
              <w:top w:val="nil"/>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c>
          <w:tcPr>
            <w:tcW w:w="864" w:type="dxa"/>
            <w:vMerge/>
            <w:tcBorders>
              <w:top w:val="nil"/>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r>
      <w:tr w:rsidR="00A317E4" w:rsidRPr="00153D9E" w:rsidTr="007E7593">
        <w:trPr>
          <w:trHeight w:val="255"/>
          <w:jc w:val="center"/>
        </w:trPr>
        <w:tc>
          <w:tcPr>
            <w:tcW w:w="1106" w:type="dxa"/>
            <w:tcBorders>
              <w:top w:val="nil"/>
              <w:left w:val="single" w:sz="4" w:space="0" w:color="auto"/>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9/9/2015</w:t>
            </w:r>
          </w:p>
        </w:tc>
        <w:tc>
          <w:tcPr>
            <w:tcW w:w="728"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86.3</w:t>
            </w:r>
          </w:p>
        </w:tc>
        <w:tc>
          <w:tcPr>
            <w:tcW w:w="984"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35.9</w:t>
            </w:r>
          </w:p>
        </w:tc>
        <w:tc>
          <w:tcPr>
            <w:tcW w:w="1568"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37.8</w:t>
            </w:r>
          </w:p>
        </w:tc>
        <w:tc>
          <w:tcPr>
            <w:tcW w:w="1441"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30.8</w:t>
            </w:r>
          </w:p>
        </w:tc>
        <w:tc>
          <w:tcPr>
            <w:tcW w:w="850" w:type="dxa"/>
            <w:vMerge/>
            <w:tcBorders>
              <w:top w:val="nil"/>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c>
          <w:tcPr>
            <w:tcW w:w="928" w:type="dxa"/>
            <w:vMerge/>
            <w:tcBorders>
              <w:top w:val="nil"/>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c>
          <w:tcPr>
            <w:tcW w:w="864" w:type="dxa"/>
            <w:vMerge/>
            <w:tcBorders>
              <w:top w:val="nil"/>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r>
      <w:tr w:rsidR="00A317E4" w:rsidRPr="00153D9E" w:rsidTr="007E7593">
        <w:trPr>
          <w:trHeight w:val="255"/>
          <w:jc w:val="center"/>
        </w:trPr>
        <w:tc>
          <w:tcPr>
            <w:tcW w:w="1106" w:type="dxa"/>
            <w:tcBorders>
              <w:top w:val="nil"/>
              <w:left w:val="single" w:sz="4" w:space="0" w:color="auto"/>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9/10/2015</w:t>
            </w:r>
          </w:p>
        </w:tc>
        <w:tc>
          <w:tcPr>
            <w:tcW w:w="728"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85.1</w:t>
            </w:r>
          </w:p>
        </w:tc>
        <w:tc>
          <w:tcPr>
            <w:tcW w:w="984"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27.5</w:t>
            </w:r>
          </w:p>
        </w:tc>
        <w:tc>
          <w:tcPr>
            <w:tcW w:w="1568"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29.0</w:t>
            </w:r>
          </w:p>
        </w:tc>
        <w:tc>
          <w:tcPr>
            <w:tcW w:w="1441"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29.8</w:t>
            </w:r>
          </w:p>
        </w:tc>
        <w:tc>
          <w:tcPr>
            <w:tcW w:w="850" w:type="dxa"/>
            <w:vMerge/>
            <w:tcBorders>
              <w:top w:val="nil"/>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c>
          <w:tcPr>
            <w:tcW w:w="928" w:type="dxa"/>
            <w:vMerge/>
            <w:tcBorders>
              <w:top w:val="nil"/>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c>
          <w:tcPr>
            <w:tcW w:w="864" w:type="dxa"/>
            <w:vMerge/>
            <w:tcBorders>
              <w:top w:val="nil"/>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r>
      <w:tr w:rsidR="00A317E4" w:rsidRPr="00153D9E" w:rsidTr="007E7593">
        <w:trPr>
          <w:trHeight w:val="255"/>
          <w:jc w:val="center"/>
        </w:trPr>
        <w:tc>
          <w:tcPr>
            <w:tcW w:w="1106" w:type="dxa"/>
            <w:tcBorders>
              <w:top w:val="nil"/>
              <w:left w:val="single" w:sz="4" w:space="0" w:color="auto"/>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9/11/2015</w:t>
            </w:r>
          </w:p>
        </w:tc>
        <w:tc>
          <w:tcPr>
            <w:tcW w:w="728"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82.4</w:t>
            </w:r>
          </w:p>
        </w:tc>
        <w:tc>
          <w:tcPr>
            <w:tcW w:w="984"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16.4</w:t>
            </w:r>
          </w:p>
        </w:tc>
        <w:tc>
          <w:tcPr>
            <w:tcW w:w="1568"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17.2</w:t>
            </w:r>
          </w:p>
        </w:tc>
        <w:tc>
          <w:tcPr>
            <w:tcW w:w="1441"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27.6</w:t>
            </w:r>
          </w:p>
        </w:tc>
        <w:tc>
          <w:tcPr>
            <w:tcW w:w="850" w:type="dxa"/>
            <w:vMerge/>
            <w:tcBorders>
              <w:top w:val="nil"/>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c>
          <w:tcPr>
            <w:tcW w:w="928" w:type="dxa"/>
            <w:vMerge/>
            <w:tcBorders>
              <w:top w:val="nil"/>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c>
          <w:tcPr>
            <w:tcW w:w="864" w:type="dxa"/>
            <w:vMerge/>
            <w:tcBorders>
              <w:top w:val="nil"/>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r>
      <w:tr w:rsidR="00A317E4" w:rsidRPr="00153D9E" w:rsidTr="007E7593">
        <w:trPr>
          <w:trHeight w:val="255"/>
          <w:jc w:val="center"/>
        </w:trPr>
        <w:tc>
          <w:tcPr>
            <w:tcW w:w="1106" w:type="dxa"/>
            <w:tcBorders>
              <w:top w:val="nil"/>
              <w:left w:val="single" w:sz="4" w:space="0" w:color="auto"/>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Avg.</w:t>
            </w:r>
          </w:p>
        </w:tc>
        <w:tc>
          <w:tcPr>
            <w:tcW w:w="728"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83.2</w:t>
            </w:r>
          </w:p>
        </w:tc>
        <w:tc>
          <w:tcPr>
            <w:tcW w:w="984"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25.3</w:t>
            </w:r>
          </w:p>
        </w:tc>
        <w:tc>
          <w:tcPr>
            <w:tcW w:w="1568"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26.7</w:t>
            </w:r>
          </w:p>
        </w:tc>
        <w:tc>
          <w:tcPr>
            <w:tcW w:w="1441" w:type="dxa"/>
            <w:tcBorders>
              <w:top w:val="nil"/>
              <w:left w:val="nil"/>
              <w:bottom w:val="single" w:sz="4" w:space="0" w:color="auto"/>
              <w:right w:val="single" w:sz="4" w:space="0" w:color="auto"/>
            </w:tcBorders>
            <w:shd w:val="clear" w:color="auto" w:fill="auto"/>
            <w:noWrap/>
            <w:vAlign w:val="center"/>
            <w:hideMark/>
          </w:tcPr>
          <w:p w:rsidR="00A317E4" w:rsidRPr="00153D9E" w:rsidRDefault="00A317E4" w:rsidP="00336E76">
            <w:pPr>
              <w:contextualSpacing/>
              <w:jc w:val="center"/>
              <w:rPr>
                <w:color w:val="000000"/>
                <w:sz w:val="20"/>
                <w:szCs w:val="20"/>
              </w:rPr>
            </w:pPr>
            <w:r w:rsidRPr="00153D9E">
              <w:rPr>
                <w:color w:val="000000"/>
                <w:sz w:val="20"/>
                <w:szCs w:val="20"/>
              </w:rPr>
              <w:t>28.2</w:t>
            </w:r>
          </w:p>
        </w:tc>
        <w:tc>
          <w:tcPr>
            <w:tcW w:w="850" w:type="dxa"/>
            <w:vMerge/>
            <w:tcBorders>
              <w:top w:val="nil"/>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c>
          <w:tcPr>
            <w:tcW w:w="928" w:type="dxa"/>
            <w:vMerge/>
            <w:tcBorders>
              <w:top w:val="nil"/>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c>
          <w:tcPr>
            <w:tcW w:w="864" w:type="dxa"/>
            <w:vMerge/>
            <w:tcBorders>
              <w:top w:val="nil"/>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rsidR="00A317E4" w:rsidRPr="00153D9E" w:rsidRDefault="00A317E4" w:rsidP="00336E76">
            <w:pPr>
              <w:contextualSpacing/>
              <w:rPr>
                <w:color w:val="000000"/>
                <w:sz w:val="20"/>
                <w:szCs w:val="20"/>
              </w:rPr>
            </w:pPr>
          </w:p>
        </w:tc>
      </w:tr>
    </w:tbl>
    <w:p w:rsidR="00A317E4" w:rsidRPr="00153D9E" w:rsidRDefault="00A317E4" w:rsidP="00A317E4">
      <w:pPr>
        <w:pStyle w:val="BodyParagraph"/>
        <w:rPr>
          <w:rFonts w:ascii="Times New Roman" w:hAnsi="Times New Roman"/>
          <w:szCs w:val="20"/>
        </w:rPr>
      </w:pPr>
    </w:p>
    <w:p w:rsidR="00A317E4" w:rsidRPr="00153D9E" w:rsidRDefault="00A317E4" w:rsidP="00A317E4">
      <w:pPr>
        <w:pStyle w:val="Heading2"/>
        <w:spacing w:before="360" w:after="120"/>
        <w:ind w:left="547" w:hanging="547"/>
        <w:rPr>
          <w:rFonts w:ascii="Times New Roman" w:hAnsi="Times New Roman" w:cs="Times New Roman"/>
          <w:szCs w:val="24"/>
        </w:rPr>
      </w:pPr>
      <w:bookmarkStart w:id="105" w:name="_Toc415494814"/>
      <w:bookmarkStart w:id="106" w:name="_Toc445502820"/>
      <w:bookmarkStart w:id="107" w:name="_Toc447179788"/>
      <w:r w:rsidRPr="00153D9E">
        <w:rPr>
          <w:rFonts w:ascii="Times New Roman" w:hAnsi="Times New Roman" w:cs="Times New Roman"/>
          <w:szCs w:val="24"/>
        </w:rPr>
        <w:t xml:space="preserve">Medium C&amp;I </w:t>
      </w:r>
      <w:r w:rsidR="008C46A8">
        <w:rPr>
          <w:rFonts w:ascii="Times New Roman" w:hAnsi="Times New Roman" w:cs="Times New Roman"/>
          <w:szCs w:val="24"/>
        </w:rPr>
        <w:t>Ex-Ante</w:t>
      </w:r>
      <w:r w:rsidRPr="00153D9E">
        <w:rPr>
          <w:rFonts w:ascii="Times New Roman" w:hAnsi="Times New Roman" w:cs="Times New Roman"/>
          <w:szCs w:val="24"/>
        </w:rPr>
        <w:t xml:space="preserve"> Impacts</w:t>
      </w:r>
      <w:bookmarkEnd w:id="104"/>
      <w:bookmarkEnd w:id="105"/>
      <w:bookmarkEnd w:id="106"/>
      <w:bookmarkEnd w:id="107"/>
    </w:p>
    <w:p w:rsidR="00A317E4" w:rsidRPr="008227A8" w:rsidRDefault="00A317E4" w:rsidP="00153D9E">
      <w:pPr>
        <w:pStyle w:val="BodyParagraph"/>
        <w:tabs>
          <w:tab w:val="left" w:pos="4590"/>
        </w:tabs>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 xml:space="preserve">Overall, there is greater uncertainty regarding medium C&amp;I customer impacts under default CPP. </w:t>
      </w:r>
      <w:r w:rsidR="00D84FC4">
        <w:rPr>
          <w:rFonts w:ascii="Times New Roman" w:hAnsi="Times New Roman"/>
          <w:color w:val="000000" w:themeColor="text1"/>
          <w:sz w:val="24"/>
          <w:szCs w:val="24"/>
        </w:rPr>
        <w:t>O</w:t>
      </w:r>
      <w:r w:rsidRPr="008227A8">
        <w:rPr>
          <w:rFonts w:ascii="Times New Roman" w:hAnsi="Times New Roman"/>
          <w:color w:val="000000" w:themeColor="text1"/>
          <w:sz w:val="24"/>
          <w:szCs w:val="24"/>
        </w:rPr>
        <w:t xml:space="preserve">nly one year of data is available for default SMB CPP rates for California customers; at PG&amp;E, not SDG&amp;E. While some SDG&amp;E medium customers volunteered onto CPP rates, their mix and demand reductions are not representative of the current and future medium default customer population. 2015 was the first year of PG&amp;E’s small and medium business default CPP enrollment, while SDG&amp;E will begin defaulting SMB customers in early 2016 before the typical CPP event season. For this reason, the initial results from PG&amp;E’s program are being used to estimate SDG&amp;E’s </w:t>
      </w:r>
      <w:r w:rsidR="008C46A8" w:rsidRPr="008227A8">
        <w:rPr>
          <w:rFonts w:ascii="Times New Roman" w:hAnsi="Times New Roman"/>
          <w:color w:val="000000" w:themeColor="text1"/>
          <w:sz w:val="24"/>
          <w:szCs w:val="24"/>
        </w:rPr>
        <w:t>ex-ante</w:t>
      </w:r>
      <w:r w:rsidRPr="008227A8">
        <w:rPr>
          <w:rFonts w:ascii="Times New Roman" w:hAnsi="Times New Roman"/>
          <w:color w:val="000000" w:themeColor="text1"/>
          <w:sz w:val="24"/>
          <w:szCs w:val="24"/>
        </w:rPr>
        <w:t xml:space="preserve"> impacts. </w:t>
      </w:r>
    </w:p>
    <w:p w:rsidR="00A317E4" w:rsidRPr="008227A8" w:rsidRDefault="00A317E4" w:rsidP="00153D9E">
      <w:pPr>
        <w:pStyle w:val="BodyParagraph"/>
        <w:tabs>
          <w:tab w:val="left" w:pos="4590"/>
        </w:tabs>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 xml:space="preserve">To estimate impacts for the larger SMB population, Nexant used the PG&amp;E Medium CPP percent reductions as the estimate for SDG&amp;E defaulted medium customers, yielding percent reductions of 0.9%. The reference loads were developed by using interval data for customers that are eligible to be defaulted in March 2016. </w:t>
      </w:r>
      <w:r w:rsidRPr="00057690">
        <w:rPr>
          <w:rFonts w:ascii="Times New Roman" w:hAnsi="Times New Roman"/>
          <w:color w:val="000000" w:themeColor="text1"/>
          <w:sz w:val="22"/>
        </w:rPr>
        <w:t xml:space="preserve">Table </w:t>
      </w:r>
      <w:r w:rsidR="00057690" w:rsidRPr="00057690">
        <w:rPr>
          <w:rFonts w:ascii="Times New Roman" w:hAnsi="Times New Roman"/>
          <w:color w:val="000000" w:themeColor="text1"/>
          <w:sz w:val="22"/>
        </w:rPr>
        <w:t>3-9</w:t>
      </w:r>
      <w:r w:rsidRPr="008227A8">
        <w:rPr>
          <w:rFonts w:ascii="Times New Roman" w:hAnsi="Times New Roman"/>
          <w:color w:val="000000" w:themeColor="text1"/>
          <w:sz w:val="24"/>
          <w:szCs w:val="24"/>
        </w:rPr>
        <w:t xml:space="preserve"> presents SDG&amp;E's enrollment projections for medium C&amp;I customers through 2026. While the number of eligible customers is due to increase over the next ten years due to growth in accounts, higher levels of opt-out to a TOU rate reduce the CPP enrollment forecast over time. Of the customers who were already defaulted in March 2016, 16,260 customers are projected to remain on CPP in March 2026. </w:t>
      </w:r>
    </w:p>
    <w:p w:rsidR="00D84FC4" w:rsidRDefault="00D84FC4" w:rsidP="00D84FC4">
      <w:pPr>
        <w:pStyle w:val="TableFigureCaption"/>
        <w:jc w:val="left"/>
        <w:rPr>
          <w:rFonts w:ascii="Times New Roman" w:hAnsi="Times New Roman"/>
          <w:b w:val="0"/>
          <w:color w:val="000000" w:themeColor="text1"/>
          <w:sz w:val="24"/>
          <w:szCs w:val="24"/>
        </w:rPr>
      </w:pPr>
      <w:r>
        <w:rPr>
          <w:rFonts w:ascii="Times New Roman" w:hAnsi="Times New Roman"/>
          <w:b w:val="0"/>
          <w:color w:val="000000" w:themeColor="text1"/>
          <w:sz w:val="24"/>
          <w:szCs w:val="24"/>
        </w:rPr>
        <w:t xml:space="preserve">                     </w:t>
      </w:r>
    </w:p>
    <w:p w:rsidR="00A317E4" w:rsidRPr="00153D9E" w:rsidRDefault="00A317E4" w:rsidP="00D84FC4">
      <w:pPr>
        <w:pStyle w:val="TableFigureCaption"/>
        <w:jc w:val="left"/>
        <w:rPr>
          <w:rFonts w:ascii="Times New Roman" w:hAnsi="Times New Roman"/>
        </w:rPr>
      </w:pPr>
      <w:r w:rsidRPr="00153D9E">
        <w:rPr>
          <w:rFonts w:ascii="Times New Roman" w:hAnsi="Times New Roman"/>
        </w:rPr>
        <w:t xml:space="preserve">Table </w:t>
      </w:r>
      <w:r w:rsidR="00153D9E">
        <w:rPr>
          <w:rFonts w:ascii="Times New Roman" w:hAnsi="Times New Roman"/>
        </w:rPr>
        <w:t>3-</w:t>
      </w:r>
      <w:r w:rsidR="0024252A">
        <w:rPr>
          <w:rFonts w:ascii="Times New Roman" w:hAnsi="Times New Roman"/>
        </w:rPr>
        <w:t>7</w:t>
      </w:r>
      <w:r w:rsidRPr="00153D9E">
        <w:rPr>
          <w:rFonts w:ascii="Times New Roman" w:hAnsi="Times New Roman"/>
        </w:rPr>
        <w:t>: SDG&amp;E Enrollment Projections for Medium C&amp;I CPP Customers</w:t>
      </w:r>
    </w:p>
    <w:p w:rsidR="00A317E4" w:rsidRPr="00153D9E" w:rsidRDefault="00A317E4" w:rsidP="00536C86">
      <w:pPr>
        <w:pStyle w:val="TableFigureCaption"/>
        <w:rPr>
          <w:rFonts w:ascii="Times New Roman" w:hAnsi="Times New Roman"/>
        </w:rPr>
      </w:pPr>
      <w:r w:rsidRPr="00153D9E">
        <w:rPr>
          <w:rFonts w:ascii="Times New Roman" w:hAnsi="Times New Roman"/>
        </w:rPr>
        <w:t>by Forecast Year and Month</w:t>
      </w:r>
    </w:p>
    <w:tbl>
      <w:tblPr>
        <w:tblW w:w="9753" w:type="dxa"/>
        <w:tblInd w:w="-522" w:type="dxa"/>
        <w:tblLook w:val="04A0" w:firstRow="1" w:lastRow="0" w:firstColumn="1" w:lastColumn="0" w:noHBand="0" w:noVBand="1"/>
      </w:tblPr>
      <w:tblGrid>
        <w:gridCol w:w="767"/>
        <w:gridCol w:w="763"/>
        <w:gridCol w:w="720"/>
        <w:gridCol w:w="720"/>
        <w:gridCol w:w="829"/>
        <w:gridCol w:w="711"/>
        <w:gridCol w:w="711"/>
        <w:gridCol w:w="719"/>
        <w:gridCol w:w="720"/>
        <w:gridCol w:w="720"/>
        <w:gridCol w:w="720"/>
        <w:gridCol w:w="829"/>
        <w:gridCol w:w="824"/>
      </w:tblGrid>
      <w:tr w:rsidR="00F207DB" w:rsidRPr="006C5C5A" w:rsidTr="007E7593">
        <w:trPr>
          <w:trHeight w:val="255"/>
        </w:trPr>
        <w:tc>
          <w:tcPr>
            <w:tcW w:w="767" w:type="dxa"/>
            <w:tcBorders>
              <w:top w:val="single" w:sz="4" w:space="0" w:color="000000"/>
              <w:left w:val="single" w:sz="4" w:space="0" w:color="000000"/>
              <w:bottom w:val="single" w:sz="4" w:space="0" w:color="000000"/>
              <w:right w:val="single" w:sz="4" w:space="0" w:color="FFFFFF"/>
            </w:tcBorders>
            <w:shd w:val="clear" w:color="000000" w:fill="002060"/>
            <w:noWrap/>
            <w:vAlign w:val="center"/>
            <w:hideMark/>
          </w:tcPr>
          <w:p w:rsidR="00A317E4" w:rsidRPr="007E7593" w:rsidRDefault="00A317E4" w:rsidP="00336E76">
            <w:pPr>
              <w:pStyle w:val="TableHeader"/>
              <w:rPr>
                <w:rFonts w:ascii="Times New Roman" w:hAnsi="Times New Roman"/>
                <w:sz w:val="18"/>
                <w:szCs w:val="18"/>
              </w:rPr>
            </w:pPr>
            <w:r w:rsidRPr="007E7593">
              <w:rPr>
                <w:rFonts w:ascii="Times New Roman" w:hAnsi="Times New Roman"/>
                <w:sz w:val="18"/>
                <w:szCs w:val="18"/>
              </w:rPr>
              <w:t>Year</w:t>
            </w:r>
          </w:p>
        </w:tc>
        <w:tc>
          <w:tcPr>
            <w:tcW w:w="763" w:type="dxa"/>
            <w:tcBorders>
              <w:top w:val="single" w:sz="4" w:space="0" w:color="000000"/>
              <w:left w:val="nil"/>
              <w:bottom w:val="single" w:sz="4" w:space="0" w:color="000000"/>
              <w:right w:val="single" w:sz="4" w:space="0" w:color="FFFFFF"/>
            </w:tcBorders>
            <w:shd w:val="clear" w:color="000000" w:fill="002060"/>
            <w:noWrap/>
            <w:vAlign w:val="center"/>
            <w:hideMark/>
          </w:tcPr>
          <w:p w:rsidR="00A317E4" w:rsidRPr="007E7593" w:rsidRDefault="00A317E4" w:rsidP="00336E76">
            <w:pPr>
              <w:pStyle w:val="TableHeader"/>
              <w:rPr>
                <w:rFonts w:ascii="Times New Roman" w:hAnsi="Times New Roman"/>
                <w:sz w:val="18"/>
                <w:szCs w:val="18"/>
              </w:rPr>
            </w:pPr>
            <w:r w:rsidRPr="007E7593">
              <w:rPr>
                <w:rFonts w:ascii="Times New Roman" w:hAnsi="Times New Roman"/>
                <w:sz w:val="18"/>
                <w:szCs w:val="18"/>
              </w:rPr>
              <w:t>Jan.</w:t>
            </w:r>
          </w:p>
        </w:tc>
        <w:tc>
          <w:tcPr>
            <w:tcW w:w="720" w:type="dxa"/>
            <w:tcBorders>
              <w:top w:val="single" w:sz="4" w:space="0" w:color="000000"/>
              <w:left w:val="nil"/>
              <w:bottom w:val="single" w:sz="4" w:space="0" w:color="000000"/>
              <w:right w:val="single" w:sz="4" w:space="0" w:color="FFFFFF"/>
            </w:tcBorders>
            <w:shd w:val="clear" w:color="000000" w:fill="002060"/>
            <w:noWrap/>
            <w:vAlign w:val="center"/>
            <w:hideMark/>
          </w:tcPr>
          <w:p w:rsidR="00A317E4" w:rsidRPr="007E7593" w:rsidRDefault="00A317E4" w:rsidP="00336E76">
            <w:pPr>
              <w:pStyle w:val="TableHeader"/>
              <w:rPr>
                <w:rFonts w:ascii="Times New Roman" w:hAnsi="Times New Roman"/>
                <w:sz w:val="18"/>
                <w:szCs w:val="18"/>
              </w:rPr>
            </w:pPr>
            <w:r w:rsidRPr="007E7593">
              <w:rPr>
                <w:rFonts w:ascii="Times New Roman" w:hAnsi="Times New Roman"/>
                <w:sz w:val="18"/>
                <w:szCs w:val="18"/>
              </w:rPr>
              <w:t>Feb.</w:t>
            </w:r>
          </w:p>
        </w:tc>
        <w:tc>
          <w:tcPr>
            <w:tcW w:w="720" w:type="dxa"/>
            <w:tcBorders>
              <w:top w:val="single" w:sz="4" w:space="0" w:color="000000"/>
              <w:left w:val="nil"/>
              <w:bottom w:val="single" w:sz="4" w:space="0" w:color="000000"/>
              <w:right w:val="single" w:sz="4" w:space="0" w:color="FFFFFF"/>
            </w:tcBorders>
            <w:shd w:val="clear" w:color="000000" w:fill="002060"/>
            <w:noWrap/>
            <w:vAlign w:val="center"/>
            <w:hideMark/>
          </w:tcPr>
          <w:p w:rsidR="00A317E4" w:rsidRPr="007E7593" w:rsidRDefault="00A317E4" w:rsidP="00336E76">
            <w:pPr>
              <w:pStyle w:val="TableHeader"/>
              <w:rPr>
                <w:rFonts w:ascii="Times New Roman" w:hAnsi="Times New Roman"/>
                <w:sz w:val="18"/>
                <w:szCs w:val="18"/>
              </w:rPr>
            </w:pPr>
            <w:r w:rsidRPr="007E7593">
              <w:rPr>
                <w:rFonts w:ascii="Times New Roman" w:hAnsi="Times New Roman"/>
                <w:sz w:val="18"/>
                <w:szCs w:val="18"/>
              </w:rPr>
              <w:t>Mar.</w:t>
            </w:r>
          </w:p>
        </w:tc>
        <w:tc>
          <w:tcPr>
            <w:tcW w:w="829" w:type="dxa"/>
            <w:tcBorders>
              <w:top w:val="single" w:sz="4" w:space="0" w:color="000000"/>
              <w:left w:val="nil"/>
              <w:bottom w:val="single" w:sz="4" w:space="0" w:color="000000"/>
              <w:right w:val="single" w:sz="4" w:space="0" w:color="FFFFFF"/>
            </w:tcBorders>
            <w:shd w:val="clear" w:color="000000" w:fill="002060"/>
            <w:noWrap/>
            <w:vAlign w:val="center"/>
            <w:hideMark/>
          </w:tcPr>
          <w:p w:rsidR="00A317E4" w:rsidRPr="007E7593" w:rsidRDefault="00A317E4" w:rsidP="00336E76">
            <w:pPr>
              <w:pStyle w:val="TableHeader"/>
              <w:rPr>
                <w:rFonts w:ascii="Times New Roman" w:hAnsi="Times New Roman"/>
                <w:sz w:val="18"/>
                <w:szCs w:val="18"/>
              </w:rPr>
            </w:pPr>
            <w:r w:rsidRPr="007E7593">
              <w:rPr>
                <w:rFonts w:ascii="Times New Roman" w:hAnsi="Times New Roman"/>
                <w:sz w:val="18"/>
                <w:szCs w:val="18"/>
              </w:rPr>
              <w:t>Apr.</w:t>
            </w:r>
          </w:p>
        </w:tc>
        <w:tc>
          <w:tcPr>
            <w:tcW w:w="711" w:type="dxa"/>
            <w:tcBorders>
              <w:top w:val="single" w:sz="4" w:space="0" w:color="000000"/>
              <w:left w:val="nil"/>
              <w:bottom w:val="single" w:sz="4" w:space="0" w:color="000000"/>
              <w:right w:val="single" w:sz="4" w:space="0" w:color="FFFFFF"/>
            </w:tcBorders>
            <w:shd w:val="clear" w:color="000000" w:fill="002060"/>
            <w:noWrap/>
            <w:vAlign w:val="center"/>
            <w:hideMark/>
          </w:tcPr>
          <w:p w:rsidR="00A317E4" w:rsidRPr="007E7593" w:rsidRDefault="00A317E4" w:rsidP="00336E76">
            <w:pPr>
              <w:pStyle w:val="TableHeader"/>
              <w:rPr>
                <w:rFonts w:ascii="Times New Roman" w:hAnsi="Times New Roman"/>
                <w:sz w:val="18"/>
                <w:szCs w:val="18"/>
              </w:rPr>
            </w:pPr>
            <w:r w:rsidRPr="007E7593">
              <w:rPr>
                <w:rFonts w:ascii="Times New Roman" w:hAnsi="Times New Roman"/>
                <w:sz w:val="18"/>
                <w:szCs w:val="18"/>
              </w:rPr>
              <w:t>May</w:t>
            </w:r>
          </w:p>
        </w:tc>
        <w:tc>
          <w:tcPr>
            <w:tcW w:w="711" w:type="dxa"/>
            <w:tcBorders>
              <w:top w:val="single" w:sz="4" w:space="0" w:color="000000"/>
              <w:left w:val="nil"/>
              <w:bottom w:val="single" w:sz="4" w:space="0" w:color="000000"/>
              <w:right w:val="single" w:sz="4" w:space="0" w:color="FFFFFF"/>
            </w:tcBorders>
            <w:shd w:val="clear" w:color="000000" w:fill="002060"/>
            <w:noWrap/>
            <w:vAlign w:val="center"/>
            <w:hideMark/>
          </w:tcPr>
          <w:p w:rsidR="00A317E4" w:rsidRPr="007E7593" w:rsidRDefault="00A317E4" w:rsidP="00336E76">
            <w:pPr>
              <w:pStyle w:val="TableHeader"/>
              <w:rPr>
                <w:rFonts w:ascii="Times New Roman" w:hAnsi="Times New Roman"/>
                <w:sz w:val="18"/>
                <w:szCs w:val="18"/>
              </w:rPr>
            </w:pPr>
            <w:r w:rsidRPr="007E7593">
              <w:rPr>
                <w:rFonts w:ascii="Times New Roman" w:hAnsi="Times New Roman"/>
                <w:sz w:val="18"/>
                <w:szCs w:val="18"/>
              </w:rPr>
              <w:t>Jun.</w:t>
            </w:r>
          </w:p>
        </w:tc>
        <w:tc>
          <w:tcPr>
            <w:tcW w:w="719" w:type="dxa"/>
            <w:tcBorders>
              <w:top w:val="single" w:sz="4" w:space="0" w:color="000000"/>
              <w:left w:val="nil"/>
              <w:bottom w:val="single" w:sz="4" w:space="0" w:color="000000"/>
              <w:right w:val="single" w:sz="4" w:space="0" w:color="FFFFFF"/>
            </w:tcBorders>
            <w:shd w:val="clear" w:color="000000" w:fill="002060"/>
            <w:noWrap/>
            <w:vAlign w:val="center"/>
            <w:hideMark/>
          </w:tcPr>
          <w:p w:rsidR="00A317E4" w:rsidRPr="007E7593" w:rsidRDefault="00A317E4" w:rsidP="00336E76">
            <w:pPr>
              <w:pStyle w:val="TableHeader"/>
              <w:rPr>
                <w:rFonts w:ascii="Times New Roman" w:hAnsi="Times New Roman"/>
                <w:sz w:val="18"/>
                <w:szCs w:val="18"/>
              </w:rPr>
            </w:pPr>
            <w:r w:rsidRPr="007E7593">
              <w:rPr>
                <w:rFonts w:ascii="Times New Roman" w:hAnsi="Times New Roman"/>
                <w:sz w:val="18"/>
                <w:szCs w:val="18"/>
              </w:rPr>
              <w:t>Jul.</w:t>
            </w:r>
          </w:p>
        </w:tc>
        <w:tc>
          <w:tcPr>
            <w:tcW w:w="720" w:type="dxa"/>
            <w:tcBorders>
              <w:top w:val="single" w:sz="4" w:space="0" w:color="000000"/>
              <w:left w:val="nil"/>
              <w:bottom w:val="single" w:sz="4" w:space="0" w:color="000000"/>
              <w:right w:val="single" w:sz="4" w:space="0" w:color="FFFFFF"/>
            </w:tcBorders>
            <w:shd w:val="clear" w:color="000000" w:fill="002060"/>
            <w:noWrap/>
            <w:vAlign w:val="center"/>
            <w:hideMark/>
          </w:tcPr>
          <w:p w:rsidR="00A317E4" w:rsidRPr="007E7593" w:rsidRDefault="00A317E4" w:rsidP="00336E76">
            <w:pPr>
              <w:pStyle w:val="TableHeader"/>
              <w:rPr>
                <w:rFonts w:ascii="Times New Roman" w:hAnsi="Times New Roman"/>
                <w:sz w:val="18"/>
                <w:szCs w:val="18"/>
              </w:rPr>
            </w:pPr>
            <w:r w:rsidRPr="007E7593">
              <w:rPr>
                <w:rFonts w:ascii="Times New Roman" w:hAnsi="Times New Roman"/>
                <w:sz w:val="18"/>
                <w:szCs w:val="18"/>
              </w:rPr>
              <w:t>Aug.</w:t>
            </w:r>
          </w:p>
        </w:tc>
        <w:tc>
          <w:tcPr>
            <w:tcW w:w="720" w:type="dxa"/>
            <w:tcBorders>
              <w:top w:val="single" w:sz="4" w:space="0" w:color="000000"/>
              <w:left w:val="nil"/>
              <w:bottom w:val="single" w:sz="4" w:space="0" w:color="000000"/>
              <w:right w:val="single" w:sz="4" w:space="0" w:color="FFFFFF"/>
            </w:tcBorders>
            <w:shd w:val="clear" w:color="000000" w:fill="002060"/>
            <w:noWrap/>
            <w:vAlign w:val="center"/>
            <w:hideMark/>
          </w:tcPr>
          <w:p w:rsidR="00A317E4" w:rsidRPr="007E7593" w:rsidRDefault="00A317E4" w:rsidP="00336E76">
            <w:pPr>
              <w:pStyle w:val="TableHeader"/>
              <w:rPr>
                <w:rFonts w:ascii="Times New Roman" w:hAnsi="Times New Roman"/>
                <w:sz w:val="18"/>
                <w:szCs w:val="18"/>
              </w:rPr>
            </w:pPr>
            <w:r w:rsidRPr="007E7593">
              <w:rPr>
                <w:rFonts w:ascii="Times New Roman" w:hAnsi="Times New Roman"/>
                <w:sz w:val="18"/>
                <w:szCs w:val="18"/>
              </w:rPr>
              <w:t>Sep.</w:t>
            </w:r>
          </w:p>
        </w:tc>
        <w:tc>
          <w:tcPr>
            <w:tcW w:w="720" w:type="dxa"/>
            <w:tcBorders>
              <w:top w:val="single" w:sz="4" w:space="0" w:color="000000"/>
              <w:left w:val="nil"/>
              <w:bottom w:val="single" w:sz="4" w:space="0" w:color="000000"/>
              <w:right w:val="single" w:sz="4" w:space="0" w:color="FFFFFF"/>
            </w:tcBorders>
            <w:shd w:val="clear" w:color="000000" w:fill="002060"/>
            <w:noWrap/>
            <w:vAlign w:val="center"/>
            <w:hideMark/>
          </w:tcPr>
          <w:p w:rsidR="00A317E4" w:rsidRPr="007E7593" w:rsidRDefault="00A317E4" w:rsidP="00336E76">
            <w:pPr>
              <w:pStyle w:val="TableHeader"/>
              <w:rPr>
                <w:rFonts w:ascii="Times New Roman" w:hAnsi="Times New Roman"/>
                <w:sz w:val="18"/>
                <w:szCs w:val="18"/>
              </w:rPr>
            </w:pPr>
            <w:r w:rsidRPr="007E7593">
              <w:rPr>
                <w:rFonts w:ascii="Times New Roman" w:hAnsi="Times New Roman"/>
                <w:sz w:val="18"/>
                <w:szCs w:val="18"/>
              </w:rPr>
              <w:t>Oct.</w:t>
            </w:r>
          </w:p>
        </w:tc>
        <w:tc>
          <w:tcPr>
            <w:tcW w:w="829" w:type="dxa"/>
            <w:tcBorders>
              <w:top w:val="single" w:sz="4" w:space="0" w:color="000000"/>
              <w:left w:val="nil"/>
              <w:bottom w:val="single" w:sz="4" w:space="0" w:color="000000"/>
              <w:right w:val="single" w:sz="4" w:space="0" w:color="FFFFFF"/>
            </w:tcBorders>
            <w:shd w:val="clear" w:color="000000" w:fill="002060"/>
            <w:noWrap/>
            <w:vAlign w:val="center"/>
            <w:hideMark/>
          </w:tcPr>
          <w:p w:rsidR="00A317E4" w:rsidRPr="007E7593" w:rsidRDefault="00A317E4" w:rsidP="00336E76">
            <w:pPr>
              <w:pStyle w:val="TableHeader"/>
              <w:rPr>
                <w:rFonts w:ascii="Times New Roman" w:hAnsi="Times New Roman"/>
                <w:sz w:val="18"/>
                <w:szCs w:val="18"/>
              </w:rPr>
            </w:pPr>
            <w:r w:rsidRPr="007E7593">
              <w:rPr>
                <w:rFonts w:ascii="Times New Roman" w:hAnsi="Times New Roman"/>
                <w:sz w:val="18"/>
                <w:szCs w:val="18"/>
              </w:rPr>
              <w:t>Nov.</w:t>
            </w:r>
          </w:p>
        </w:tc>
        <w:tc>
          <w:tcPr>
            <w:tcW w:w="824" w:type="dxa"/>
            <w:tcBorders>
              <w:top w:val="single" w:sz="4" w:space="0" w:color="000000"/>
              <w:left w:val="nil"/>
              <w:bottom w:val="single" w:sz="4" w:space="0" w:color="000000"/>
              <w:right w:val="single" w:sz="4" w:space="0" w:color="000000"/>
            </w:tcBorders>
            <w:shd w:val="clear" w:color="000000" w:fill="002060"/>
            <w:noWrap/>
            <w:vAlign w:val="center"/>
            <w:hideMark/>
          </w:tcPr>
          <w:p w:rsidR="00A317E4" w:rsidRPr="007E7593" w:rsidRDefault="00A317E4" w:rsidP="00336E76">
            <w:pPr>
              <w:pStyle w:val="TableHeader"/>
              <w:rPr>
                <w:rFonts w:ascii="Times New Roman" w:hAnsi="Times New Roman"/>
                <w:sz w:val="18"/>
                <w:szCs w:val="18"/>
              </w:rPr>
            </w:pPr>
            <w:r w:rsidRPr="007E7593">
              <w:rPr>
                <w:rFonts w:ascii="Times New Roman" w:hAnsi="Times New Roman"/>
                <w:sz w:val="18"/>
                <w:szCs w:val="18"/>
              </w:rPr>
              <w:t>Dec.</w:t>
            </w:r>
          </w:p>
        </w:tc>
      </w:tr>
      <w:tr w:rsidR="00A317E4" w:rsidRPr="006C5C5A" w:rsidTr="007E7593">
        <w:trPr>
          <w:trHeight w:val="255"/>
        </w:trPr>
        <w:tc>
          <w:tcPr>
            <w:tcW w:w="767" w:type="dxa"/>
            <w:tcBorders>
              <w:top w:val="nil"/>
              <w:left w:val="single" w:sz="4" w:space="0" w:color="000000"/>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sz w:val="18"/>
                <w:szCs w:val="18"/>
              </w:rPr>
            </w:pPr>
            <w:r w:rsidRPr="007E7593">
              <w:rPr>
                <w:sz w:val="18"/>
                <w:szCs w:val="18"/>
              </w:rPr>
              <w:t>2016</w:t>
            </w:r>
          </w:p>
        </w:tc>
        <w:tc>
          <w:tcPr>
            <w:tcW w:w="763"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19,308</w:t>
            </w:r>
          </w:p>
        </w:tc>
        <w:tc>
          <w:tcPr>
            <w:tcW w:w="720"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19,308</w:t>
            </w:r>
          </w:p>
        </w:tc>
        <w:tc>
          <w:tcPr>
            <w:tcW w:w="720"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19,308</w:t>
            </w:r>
          </w:p>
        </w:tc>
        <w:tc>
          <w:tcPr>
            <w:tcW w:w="829"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19,308</w:t>
            </w:r>
          </w:p>
        </w:tc>
        <w:tc>
          <w:tcPr>
            <w:tcW w:w="711"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19,308</w:t>
            </w:r>
          </w:p>
        </w:tc>
        <w:tc>
          <w:tcPr>
            <w:tcW w:w="711"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19,308</w:t>
            </w:r>
          </w:p>
        </w:tc>
        <w:tc>
          <w:tcPr>
            <w:tcW w:w="719"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19,308</w:t>
            </w:r>
          </w:p>
        </w:tc>
        <w:tc>
          <w:tcPr>
            <w:tcW w:w="720"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19,308</w:t>
            </w:r>
          </w:p>
        </w:tc>
        <w:tc>
          <w:tcPr>
            <w:tcW w:w="720"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19,308</w:t>
            </w:r>
          </w:p>
        </w:tc>
        <w:tc>
          <w:tcPr>
            <w:tcW w:w="720"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19,308</w:t>
            </w:r>
          </w:p>
        </w:tc>
        <w:tc>
          <w:tcPr>
            <w:tcW w:w="829"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19,308</w:t>
            </w:r>
          </w:p>
        </w:tc>
        <w:tc>
          <w:tcPr>
            <w:tcW w:w="824"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19,308</w:t>
            </w:r>
          </w:p>
        </w:tc>
      </w:tr>
      <w:tr w:rsidR="00A317E4" w:rsidRPr="006C5C5A" w:rsidTr="007E7593">
        <w:trPr>
          <w:trHeight w:val="255"/>
        </w:trPr>
        <w:tc>
          <w:tcPr>
            <w:tcW w:w="767" w:type="dxa"/>
            <w:tcBorders>
              <w:top w:val="nil"/>
              <w:left w:val="single" w:sz="4" w:space="0" w:color="000000"/>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sz w:val="18"/>
                <w:szCs w:val="18"/>
              </w:rPr>
            </w:pPr>
            <w:r w:rsidRPr="007E7593">
              <w:rPr>
                <w:sz w:val="18"/>
                <w:szCs w:val="18"/>
              </w:rPr>
              <w:t>2017</w:t>
            </w:r>
          </w:p>
        </w:tc>
        <w:tc>
          <w:tcPr>
            <w:tcW w:w="763"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17,276</w:t>
            </w:r>
          </w:p>
        </w:tc>
        <w:tc>
          <w:tcPr>
            <w:tcW w:w="720"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17,276</w:t>
            </w:r>
          </w:p>
        </w:tc>
        <w:tc>
          <w:tcPr>
            <w:tcW w:w="720"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17,276</w:t>
            </w:r>
          </w:p>
        </w:tc>
        <w:tc>
          <w:tcPr>
            <w:tcW w:w="829"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17,276</w:t>
            </w:r>
          </w:p>
        </w:tc>
        <w:tc>
          <w:tcPr>
            <w:tcW w:w="711"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17,276</w:t>
            </w:r>
          </w:p>
        </w:tc>
        <w:tc>
          <w:tcPr>
            <w:tcW w:w="711"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17,276</w:t>
            </w:r>
          </w:p>
        </w:tc>
        <w:tc>
          <w:tcPr>
            <w:tcW w:w="719"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17,276</w:t>
            </w:r>
          </w:p>
        </w:tc>
        <w:tc>
          <w:tcPr>
            <w:tcW w:w="720"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17,276</w:t>
            </w:r>
          </w:p>
        </w:tc>
        <w:tc>
          <w:tcPr>
            <w:tcW w:w="720"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17,276</w:t>
            </w:r>
          </w:p>
        </w:tc>
        <w:tc>
          <w:tcPr>
            <w:tcW w:w="720"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17,276</w:t>
            </w:r>
          </w:p>
        </w:tc>
        <w:tc>
          <w:tcPr>
            <w:tcW w:w="829"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17,276</w:t>
            </w:r>
          </w:p>
        </w:tc>
        <w:tc>
          <w:tcPr>
            <w:tcW w:w="824"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17,276</w:t>
            </w:r>
          </w:p>
        </w:tc>
      </w:tr>
      <w:tr w:rsidR="00A317E4" w:rsidRPr="006C5C5A" w:rsidTr="007E7593">
        <w:trPr>
          <w:trHeight w:val="255"/>
        </w:trPr>
        <w:tc>
          <w:tcPr>
            <w:tcW w:w="767" w:type="dxa"/>
            <w:tcBorders>
              <w:top w:val="nil"/>
              <w:left w:val="single" w:sz="4" w:space="0" w:color="000000"/>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sz w:val="18"/>
                <w:szCs w:val="18"/>
              </w:rPr>
            </w:pPr>
            <w:r w:rsidRPr="007E7593">
              <w:rPr>
                <w:sz w:val="18"/>
                <w:szCs w:val="18"/>
              </w:rPr>
              <w:t>2026</w:t>
            </w:r>
          </w:p>
        </w:tc>
        <w:tc>
          <w:tcPr>
            <w:tcW w:w="763"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16,260</w:t>
            </w:r>
          </w:p>
        </w:tc>
        <w:tc>
          <w:tcPr>
            <w:tcW w:w="720"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16,260</w:t>
            </w:r>
          </w:p>
        </w:tc>
        <w:tc>
          <w:tcPr>
            <w:tcW w:w="720"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16,260</w:t>
            </w:r>
          </w:p>
        </w:tc>
        <w:tc>
          <w:tcPr>
            <w:tcW w:w="829"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16,260</w:t>
            </w:r>
          </w:p>
        </w:tc>
        <w:tc>
          <w:tcPr>
            <w:tcW w:w="711"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16,260</w:t>
            </w:r>
          </w:p>
        </w:tc>
        <w:tc>
          <w:tcPr>
            <w:tcW w:w="711"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16,260</w:t>
            </w:r>
          </w:p>
        </w:tc>
        <w:tc>
          <w:tcPr>
            <w:tcW w:w="719"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16,260</w:t>
            </w:r>
          </w:p>
        </w:tc>
        <w:tc>
          <w:tcPr>
            <w:tcW w:w="720"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16,260</w:t>
            </w:r>
          </w:p>
        </w:tc>
        <w:tc>
          <w:tcPr>
            <w:tcW w:w="720"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16,260</w:t>
            </w:r>
          </w:p>
        </w:tc>
        <w:tc>
          <w:tcPr>
            <w:tcW w:w="720"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16,260</w:t>
            </w:r>
          </w:p>
        </w:tc>
        <w:tc>
          <w:tcPr>
            <w:tcW w:w="829"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16,260</w:t>
            </w:r>
          </w:p>
        </w:tc>
        <w:tc>
          <w:tcPr>
            <w:tcW w:w="824" w:type="dxa"/>
            <w:tcBorders>
              <w:top w:val="nil"/>
              <w:left w:val="nil"/>
              <w:bottom w:val="single" w:sz="4" w:space="0" w:color="000000"/>
              <w:right w:val="single" w:sz="4" w:space="0" w:color="000000"/>
            </w:tcBorders>
            <w:shd w:val="clear" w:color="auto" w:fill="auto"/>
            <w:noWrap/>
            <w:vAlign w:val="center"/>
            <w:hideMark/>
          </w:tcPr>
          <w:p w:rsidR="00A317E4" w:rsidRPr="007E7593" w:rsidRDefault="00A317E4" w:rsidP="00336E76">
            <w:pPr>
              <w:contextualSpacing/>
              <w:jc w:val="center"/>
              <w:rPr>
                <w:color w:val="000000"/>
                <w:sz w:val="18"/>
                <w:szCs w:val="18"/>
              </w:rPr>
            </w:pPr>
            <w:r w:rsidRPr="007E7593">
              <w:rPr>
                <w:color w:val="000000"/>
                <w:sz w:val="18"/>
                <w:szCs w:val="18"/>
              </w:rPr>
              <w:t>16,260</w:t>
            </w:r>
          </w:p>
        </w:tc>
      </w:tr>
    </w:tbl>
    <w:p w:rsidR="00A317E4" w:rsidRPr="006C5C5A" w:rsidRDefault="00A317E4" w:rsidP="00A317E4">
      <w:pPr>
        <w:pStyle w:val="BodyParagraph"/>
      </w:pPr>
    </w:p>
    <w:p w:rsidR="00A317E4" w:rsidRPr="00153D9E" w:rsidRDefault="00A317E4" w:rsidP="00A317E4">
      <w:pPr>
        <w:pStyle w:val="Heading3"/>
        <w:keepLines/>
        <w:spacing w:before="0" w:after="120"/>
        <w:ind w:left="720"/>
        <w:rPr>
          <w:rFonts w:ascii="Times New Roman" w:hAnsi="Times New Roman" w:cs="Times New Roman"/>
        </w:rPr>
      </w:pPr>
      <w:bookmarkStart w:id="108" w:name="_Toc415494815"/>
      <w:bookmarkStart w:id="109" w:name="_Toc445502821"/>
      <w:bookmarkStart w:id="110" w:name="_Toc447179789"/>
      <w:r w:rsidRPr="00153D9E">
        <w:rPr>
          <w:rFonts w:ascii="Times New Roman" w:hAnsi="Times New Roman" w:cs="Times New Roman"/>
        </w:rPr>
        <w:lastRenderedPageBreak/>
        <w:t>Monthly System Peak Day Impacts</w:t>
      </w:r>
      <w:bookmarkEnd w:id="108"/>
      <w:bookmarkEnd w:id="109"/>
      <w:bookmarkEnd w:id="110"/>
    </w:p>
    <w:p w:rsidR="008227A8" w:rsidRDefault="008227A8" w:rsidP="00153D9E">
      <w:pPr>
        <w:pStyle w:val="BodyParagraph"/>
        <w:spacing w:after="0" w:line="276" w:lineRule="auto"/>
        <w:ind w:firstLine="360"/>
        <w:rPr>
          <w:rFonts w:ascii="Times New Roman" w:hAnsi="Times New Roman"/>
          <w:color w:val="000000" w:themeColor="text1"/>
          <w:sz w:val="24"/>
          <w:szCs w:val="24"/>
        </w:rPr>
      </w:pPr>
    </w:p>
    <w:p w:rsidR="00A317E4" w:rsidRPr="008227A8" w:rsidRDefault="00A317E4" w:rsidP="00153D9E">
      <w:pPr>
        <w:pStyle w:val="BodyParagraph"/>
        <w:spacing w:after="0" w:line="276" w:lineRule="auto"/>
        <w:ind w:firstLine="360"/>
        <w:rPr>
          <w:rFonts w:ascii="Times New Roman" w:hAnsi="Times New Roman"/>
          <w:color w:val="000000" w:themeColor="text1"/>
          <w:sz w:val="24"/>
          <w:szCs w:val="24"/>
        </w:rPr>
      </w:pPr>
      <w:r w:rsidRPr="00057690">
        <w:rPr>
          <w:rFonts w:ascii="Times New Roman" w:hAnsi="Times New Roman"/>
          <w:color w:val="000000" w:themeColor="text1"/>
          <w:sz w:val="22"/>
        </w:rPr>
        <w:t xml:space="preserve">Table </w:t>
      </w:r>
      <w:r w:rsidR="00153D9E" w:rsidRPr="00057690">
        <w:rPr>
          <w:rFonts w:ascii="Times New Roman" w:hAnsi="Times New Roman"/>
          <w:color w:val="000000" w:themeColor="text1"/>
          <w:sz w:val="22"/>
        </w:rPr>
        <w:t>3-</w:t>
      </w:r>
      <w:r w:rsidR="0024252A">
        <w:rPr>
          <w:rFonts w:ascii="Times New Roman" w:hAnsi="Times New Roman"/>
          <w:color w:val="000000" w:themeColor="text1"/>
          <w:sz w:val="22"/>
        </w:rPr>
        <w:t>8</w:t>
      </w:r>
      <w:r w:rsidRPr="008227A8">
        <w:rPr>
          <w:rFonts w:ascii="Times New Roman" w:hAnsi="Times New Roman"/>
          <w:color w:val="000000" w:themeColor="text1"/>
          <w:sz w:val="24"/>
          <w:szCs w:val="24"/>
        </w:rPr>
        <w:t xml:space="preserve"> summarizes the aggregate load impact estimates for medium C&amp;I customers on SDG&amp;E’s CPP rate for each forecast year under both 1-in-2 and 1-in-10 year weather scenarios based on both SDG&amp;E and CAISO weather scenarios. The table shows the average load reduction across the 1 PM to 6 PM event period for an August monthly system peak day.</w:t>
      </w:r>
    </w:p>
    <w:p w:rsidR="008227A8" w:rsidRDefault="008227A8" w:rsidP="00153D9E">
      <w:pPr>
        <w:pStyle w:val="BodyParagraph"/>
        <w:spacing w:after="0" w:line="276" w:lineRule="auto"/>
        <w:ind w:firstLine="360"/>
        <w:rPr>
          <w:rFonts w:ascii="Times New Roman" w:hAnsi="Times New Roman"/>
          <w:color w:val="000000" w:themeColor="text1"/>
          <w:sz w:val="24"/>
          <w:szCs w:val="24"/>
        </w:rPr>
      </w:pPr>
    </w:p>
    <w:p w:rsidR="00153D9E" w:rsidRPr="008227A8" w:rsidRDefault="00A317E4" w:rsidP="00153D9E">
      <w:pPr>
        <w:pStyle w:val="BodyParagraph"/>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 xml:space="preserve">Looking first at the aggregate load impacts based on SDG&amp;E-specific weather, August load reductions decrease from 4.4 MW in 2016 to 3.9 MW in 2017 under 1-in-10 weather conditions, and then increase to 4.8 MW in 2026. Once default CPP is fully implemented, medium customers are forecasted to reduce less than 1% of their demand under all weather conditions. </w:t>
      </w:r>
      <w:r w:rsidR="005A4343">
        <w:rPr>
          <w:rFonts w:ascii="Times New Roman" w:hAnsi="Times New Roman"/>
          <w:color w:val="000000" w:themeColor="text1"/>
          <w:sz w:val="24"/>
          <w:szCs w:val="24"/>
        </w:rPr>
        <w:t xml:space="preserve">based on the PG&amp;E default CPP results. </w:t>
      </w:r>
      <w:r w:rsidRPr="008227A8">
        <w:rPr>
          <w:rFonts w:ascii="Times New Roman" w:hAnsi="Times New Roman"/>
          <w:color w:val="000000" w:themeColor="text1"/>
          <w:sz w:val="24"/>
          <w:szCs w:val="24"/>
        </w:rPr>
        <w:t>Underlying the enrollment of SDG&amp;E customers on to the CPP rate are both the aggregate number of eligible accounts, forecasted to rise over time, and the rate at which they opt out of default CPP on to a TOU rate only. This forecasted opt-out rate is the reason why enrollment declines slowly over the first three years of the forecast, then flattens out in the later years. In the meantime, the awareness factor increases as described above. Together these conflicting influences cause the drop in aggregate impacts in the short to mid term, but then increase in the later years of the forecast period.. Impact estimates based on CAISO weather 1-in-2 year conditions are the same as under SDG&amp;E scenarios. Reference loads under the SDG&amp;E-specific 1-in-10 year weather are higher than CAISO-specific, while CAISO-specific weather yields higher reference loads in the 1-in-2 year weather scenario. In both cases, reference loads do not vary by more than 3% between the two scenarios.</w:t>
      </w:r>
    </w:p>
    <w:p w:rsidR="00580D5B" w:rsidRDefault="00580D5B" w:rsidP="000E71E6">
      <w:pPr>
        <w:pStyle w:val="BodyParagraph"/>
        <w:spacing w:after="0" w:line="276" w:lineRule="auto"/>
        <w:ind w:firstLine="360"/>
        <w:rPr>
          <w:rFonts w:ascii="Times New Roman" w:hAnsi="Times New Roman"/>
          <w:color w:val="0000FF"/>
          <w:sz w:val="24"/>
          <w:szCs w:val="24"/>
        </w:rPr>
      </w:pPr>
    </w:p>
    <w:p w:rsidR="00580D5B" w:rsidRPr="00153D9E" w:rsidRDefault="00580D5B" w:rsidP="00153D9E">
      <w:pPr>
        <w:pStyle w:val="BodyParagraph"/>
        <w:spacing w:after="0" w:line="276" w:lineRule="auto"/>
        <w:ind w:firstLine="360"/>
        <w:rPr>
          <w:rFonts w:ascii="Times New Roman" w:hAnsi="Times New Roman"/>
          <w:color w:val="0000FF"/>
          <w:sz w:val="24"/>
          <w:szCs w:val="24"/>
        </w:rPr>
      </w:pPr>
    </w:p>
    <w:p w:rsidR="00A317E4" w:rsidRPr="00153D9E" w:rsidRDefault="00153D9E" w:rsidP="00536C86">
      <w:pPr>
        <w:pStyle w:val="TableFigureCaption"/>
        <w:rPr>
          <w:rFonts w:ascii="Times New Roman" w:hAnsi="Times New Roman"/>
        </w:rPr>
      </w:pPr>
      <w:r w:rsidRPr="00153D9E">
        <w:rPr>
          <w:rFonts w:ascii="Times New Roman" w:hAnsi="Times New Roman"/>
        </w:rPr>
        <w:t>Table 3</w:t>
      </w:r>
      <w:r w:rsidR="00A317E4" w:rsidRPr="00153D9E">
        <w:rPr>
          <w:rFonts w:ascii="Times New Roman" w:hAnsi="Times New Roman"/>
        </w:rPr>
        <w:t>-</w:t>
      </w:r>
      <w:r w:rsidR="0024252A">
        <w:rPr>
          <w:rFonts w:ascii="Times New Roman" w:hAnsi="Times New Roman"/>
        </w:rPr>
        <w:t>8</w:t>
      </w:r>
      <w:r w:rsidR="00A317E4" w:rsidRPr="00153D9E">
        <w:rPr>
          <w:rFonts w:ascii="Times New Roman" w:hAnsi="Times New Roman"/>
        </w:rPr>
        <w:t xml:space="preserve">: Aggregate Default CPP </w:t>
      </w:r>
      <w:r w:rsidR="008C46A8">
        <w:rPr>
          <w:rFonts w:ascii="Times New Roman" w:hAnsi="Times New Roman"/>
        </w:rPr>
        <w:t>Ex-Ante</w:t>
      </w:r>
      <w:r w:rsidR="00A317E4" w:rsidRPr="00153D9E">
        <w:rPr>
          <w:rFonts w:ascii="Times New Roman" w:hAnsi="Times New Roman"/>
        </w:rPr>
        <w:t xml:space="preserve"> Load Impact Estimates by Weather Scenario for Medium C&amp;I, SDG&amp;E August System Peak Day (1 PM to 6 PM)</w:t>
      </w:r>
    </w:p>
    <w:tbl>
      <w:tblPr>
        <w:tblW w:w="9117" w:type="dxa"/>
        <w:jc w:val="center"/>
        <w:tblInd w:w="-261" w:type="dxa"/>
        <w:tblLook w:val="04A0" w:firstRow="1" w:lastRow="0" w:firstColumn="1" w:lastColumn="0" w:noHBand="0" w:noVBand="1"/>
      </w:tblPr>
      <w:tblGrid>
        <w:gridCol w:w="961"/>
        <w:gridCol w:w="886"/>
        <w:gridCol w:w="604"/>
        <w:gridCol w:w="991"/>
        <w:gridCol w:w="1103"/>
        <w:gridCol w:w="1330"/>
        <w:gridCol w:w="1287"/>
        <w:gridCol w:w="1007"/>
        <w:gridCol w:w="956"/>
      </w:tblGrid>
      <w:tr w:rsidR="00A317E4" w:rsidRPr="006C5C5A" w:rsidTr="00C20677">
        <w:trPr>
          <w:trHeight w:val="692"/>
          <w:jc w:val="center"/>
        </w:trPr>
        <w:tc>
          <w:tcPr>
            <w:tcW w:w="961" w:type="dxa"/>
            <w:vMerge w:val="restart"/>
            <w:tcBorders>
              <w:top w:val="single" w:sz="4" w:space="0" w:color="auto"/>
              <w:left w:val="single" w:sz="4" w:space="0" w:color="auto"/>
              <w:bottom w:val="single" w:sz="4" w:space="0" w:color="000000"/>
              <w:right w:val="single" w:sz="4" w:space="0" w:color="FFFFFF"/>
            </w:tcBorders>
            <w:shd w:val="clear" w:color="auto" w:fill="002060"/>
            <w:vAlign w:val="center"/>
            <w:hideMark/>
          </w:tcPr>
          <w:p w:rsidR="00A317E4" w:rsidRPr="00C20677" w:rsidRDefault="00A317E4" w:rsidP="00336E76">
            <w:pPr>
              <w:contextualSpacing/>
              <w:jc w:val="center"/>
              <w:rPr>
                <w:b/>
                <w:bCs/>
                <w:color w:val="FFFFFF"/>
                <w:sz w:val="18"/>
                <w:szCs w:val="18"/>
              </w:rPr>
            </w:pPr>
            <w:r w:rsidRPr="00C20677">
              <w:rPr>
                <w:b/>
                <w:bCs/>
                <w:color w:val="FFFFFF"/>
                <w:sz w:val="18"/>
                <w:szCs w:val="18"/>
              </w:rPr>
              <w:t>Weather Type</w:t>
            </w:r>
          </w:p>
        </w:tc>
        <w:tc>
          <w:tcPr>
            <w:tcW w:w="912" w:type="dxa"/>
            <w:vMerge w:val="restart"/>
            <w:tcBorders>
              <w:top w:val="single" w:sz="4" w:space="0" w:color="auto"/>
              <w:left w:val="single" w:sz="4" w:space="0" w:color="FFFFFF"/>
              <w:bottom w:val="single" w:sz="4" w:space="0" w:color="000000"/>
              <w:right w:val="single" w:sz="4" w:space="0" w:color="FFFFFF"/>
            </w:tcBorders>
            <w:shd w:val="clear" w:color="auto" w:fill="002060"/>
            <w:vAlign w:val="center"/>
            <w:hideMark/>
          </w:tcPr>
          <w:p w:rsidR="00A317E4" w:rsidRPr="00C20677" w:rsidRDefault="00A317E4" w:rsidP="00336E76">
            <w:pPr>
              <w:contextualSpacing/>
              <w:jc w:val="center"/>
              <w:rPr>
                <w:b/>
                <w:bCs/>
                <w:color w:val="FFFFFF"/>
                <w:sz w:val="18"/>
                <w:szCs w:val="18"/>
              </w:rPr>
            </w:pPr>
            <w:r w:rsidRPr="00C20677">
              <w:rPr>
                <w:b/>
                <w:bCs/>
                <w:color w:val="FFFFFF"/>
                <w:sz w:val="18"/>
                <w:szCs w:val="18"/>
              </w:rPr>
              <w:t>Weather Year</w:t>
            </w:r>
          </w:p>
        </w:tc>
        <w:tc>
          <w:tcPr>
            <w:tcW w:w="604" w:type="dxa"/>
            <w:vMerge w:val="restart"/>
            <w:tcBorders>
              <w:top w:val="single" w:sz="4" w:space="0" w:color="auto"/>
              <w:left w:val="single" w:sz="4" w:space="0" w:color="FFFFFF"/>
              <w:bottom w:val="single" w:sz="4" w:space="0" w:color="000000"/>
              <w:right w:val="single" w:sz="4" w:space="0" w:color="FFFFFF"/>
            </w:tcBorders>
            <w:shd w:val="clear" w:color="auto" w:fill="002060"/>
            <w:vAlign w:val="center"/>
            <w:hideMark/>
          </w:tcPr>
          <w:p w:rsidR="00A317E4" w:rsidRPr="00C20677" w:rsidRDefault="00A317E4" w:rsidP="00336E76">
            <w:pPr>
              <w:contextualSpacing/>
              <w:jc w:val="center"/>
              <w:rPr>
                <w:b/>
                <w:bCs/>
                <w:color w:val="FFFFFF"/>
                <w:sz w:val="18"/>
                <w:szCs w:val="18"/>
              </w:rPr>
            </w:pPr>
            <w:r w:rsidRPr="00C20677">
              <w:rPr>
                <w:b/>
                <w:bCs/>
                <w:color w:val="FFFFFF"/>
                <w:sz w:val="18"/>
                <w:szCs w:val="18"/>
              </w:rPr>
              <w:t>Year</w:t>
            </w:r>
          </w:p>
        </w:tc>
        <w:tc>
          <w:tcPr>
            <w:tcW w:w="991" w:type="dxa"/>
            <w:vMerge w:val="restart"/>
            <w:tcBorders>
              <w:top w:val="single" w:sz="4" w:space="0" w:color="auto"/>
              <w:left w:val="single" w:sz="4" w:space="0" w:color="FFFFFF"/>
              <w:bottom w:val="single" w:sz="4" w:space="0" w:color="000000"/>
              <w:right w:val="single" w:sz="4" w:space="0" w:color="FFFFFF"/>
            </w:tcBorders>
            <w:shd w:val="clear" w:color="auto" w:fill="002060"/>
            <w:vAlign w:val="center"/>
            <w:hideMark/>
          </w:tcPr>
          <w:p w:rsidR="00A317E4" w:rsidRPr="00C20677" w:rsidRDefault="00A317E4" w:rsidP="00336E76">
            <w:pPr>
              <w:contextualSpacing/>
              <w:jc w:val="center"/>
              <w:rPr>
                <w:b/>
                <w:bCs/>
                <w:color w:val="FFFFFF"/>
                <w:sz w:val="18"/>
                <w:szCs w:val="18"/>
              </w:rPr>
            </w:pPr>
            <w:r w:rsidRPr="00C20677">
              <w:rPr>
                <w:b/>
                <w:bCs/>
                <w:color w:val="FFFFFF"/>
                <w:sz w:val="18"/>
                <w:szCs w:val="18"/>
              </w:rPr>
              <w:t>Enrolled Accounts</w:t>
            </w:r>
          </w:p>
        </w:tc>
        <w:tc>
          <w:tcPr>
            <w:tcW w:w="1103" w:type="dxa"/>
            <w:tcBorders>
              <w:top w:val="single" w:sz="4" w:space="0" w:color="auto"/>
              <w:left w:val="nil"/>
              <w:bottom w:val="single" w:sz="4" w:space="0" w:color="FFFFFF"/>
              <w:right w:val="single" w:sz="4" w:space="0" w:color="FFFFFF"/>
            </w:tcBorders>
            <w:shd w:val="clear" w:color="auto" w:fill="002060"/>
            <w:vAlign w:val="center"/>
            <w:hideMark/>
          </w:tcPr>
          <w:p w:rsidR="00A317E4" w:rsidRPr="00C20677" w:rsidRDefault="00A317E4" w:rsidP="00336E76">
            <w:pPr>
              <w:contextualSpacing/>
              <w:jc w:val="center"/>
              <w:rPr>
                <w:b/>
                <w:bCs/>
                <w:color w:val="FFFFFF"/>
                <w:sz w:val="18"/>
                <w:szCs w:val="18"/>
              </w:rPr>
            </w:pPr>
            <w:r w:rsidRPr="00C20677">
              <w:rPr>
                <w:b/>
                <w:bCs/>
                <w:color w:val="FFFFFF"/>
                <w:sz w:val="18"/>
                <w:szCs w:val="18"/>
              </w:rPr>
              <w:t>Aggregate Reference Load</w:t>
            </w:r>
          </w:p>
        </w:tc>
        <w:tc>
          <w:tcPr>
            <w:tcW w:w="1330" w:type="dxa"/>
            <w:tcBorders>
              <w:top w:val="single" w:sz="4" w:space="0" w:color="auto"/>
              <w:left w:val="nil"/>
              <w:bottom w:val="single" w:sz="4" w:space="0" w:color="FFFFFF"/>
              <w:right w:val="single" w:sz="4" w:space="0" w:color="FFFFFF"/>
            </w:tcBorders>
            <w:shd w:val="clear" w:color="auto" w:fill="002060"/>
            <w:vAlign w:val="center"/>
            <w:hideMark/>
          </w:tcPr>
          <w:p w:rsidR="00A317E4" w:rsidRPr="00C20677" w:rsidRDefault="00A317E4" w:rsidP="00336E76">
            <w:pPr>
              <w:contextualSpacing/>
              <w:jc w:val="center"/>
              <w:rPr>
                <w:b/>
                <w:bCs/>
                <w:color w:val="FFFFFF"/>
                <w:sz w:val="18"/>
                <w:szCs w:val="18"/>
              </w:rPr>
            </w:pPr>
            <w:r w:rsidRPr="00C20677">
              <w:rPr>
                <w:b/>
                <w:bCs/>
                <w:color w:val="FFFFFF"/>
                <w:sz w:val="18"/>
                <w:szCs w:val="18"/>
              </w:rPr>
              <w:t>Aggregate Estimated Load w/ DR</w:t>
            </w:r>
          </w:p>
        </w:tc>
        <w:tc>
          <w:tcPr>
            <w:tcW w:w="1287" w:type="dxa"/>
            <w:tcBorders>
              <w:top w:val="single" w:sz="4" w:space="0" w:color="auto"/>
              <w:left w:val="nil"/>
              <w:bottom w:val="single" w:sz="4" w:space="0" w:color="FFFFFF"/>
              <w:right w:val="single" w:sz="4" w:space="0" w:color="FFFFFF"/>
            </w:tcBorders>
            <w:shd w:val="clear" w:color="auto" w:fill="002060"/>
            <w:vAlign w:val="center"/>
            <w:hideMark/>
          </w:tcPr>
          <w:p w:rsidR="00A317E4" w:rsidRPr="00C20677" w:rsidRDefault="00A317E4" w:rsidP="00336E76">
            <w:pPr>
              <w:contextualSpacing/>
              <w:jc w:val="center"/>
              <w:rPr>
                <w:b/>
                <w:bCs/>
                <w:color w:val="FFFFFF"/>
                <w:sz w:val="18"/>
                <w:szCs w:val="18"/>
              </w:rPr>
            </w:pPr>
            <w:r w:rsidRPr="00C20677">
              <w:rPr>
                <w:b/>
                <w:bCs/>
                <w:color w:val="FFFFFF"/>
                <w:sz w:val="18"/>
                <w:szCs w:val="18"/>
              </w:rPr>
              <w:t>Aggregate Load Impact</w:t>
            </w:r>
          </w:p>
        </w:tc>
        <w:tc>
          <w:tcPr>
            <w:tcW w:w="1007" w:type="dxa"/>
            <w:tcBorders>
              <w:top w:val="single" w:sz="4" w:space="0" w:color="auto"/>
              <w:left w:val="nil"/>
              <w:bottom w:val="single" w:sz="4" w:space="0" w:color="FFFFFF"/>
              <w:right w:val="single" w:sz="4" w:space="0" w:color="FFFFFF"/>
            </w:tcBorders>
            <w:shd w:val="clear" w:color="auto" w:fill="002060"/>
            <w:vAlign w:val="center"/>
            <w:hideMark/>
          </w:tcPr>
          <w:p w:rsidR="00A317E4" w:rsidRPr="00C20677" w:rsidRDefault="00A317E4" w:rsidP="00336E76">
            <w:pPr>
              <w:contextualSpacing/>
              <w:jc w:val="center"/>
              <w:rPr>
                <w:b/>
                <w:bCs/>
                <w:color w:val="FFFFFF"/>
                <w:sz w:val="18"/>
                <w:szCs w:val="18"/>
              </w:rPr>
            </w:pPr>
            <w:r w:rsidRPr="00C20677">
              <w:rPr>
                <w:b/>
                <w:bCs/>
                <w:color w:val="FFFFFF"/>
                <w:sz w:val="18"/>
                <w:szCs w:val="18"/>
              </w:rPr>
              <w:t>% Load Reduction</w:t>
            </w:r>
          </w:p>
        </w:tc>
        <w:tc>
          <w:tcPr>
            <w:tcW w:w="922" w:type="dxa"/>
            <w:tcBorders>
              <w:top w:val="single" w:sz="4" w:space="0" w:color="auto"/>
              <w:left w:val="nil"/>
              <w:bottom w:val="single" w:sz="4" w:space="0" w:color="FFFFFF"/>
              <w:right w:val="single" w:sz="4" w:space="0" w:color="auto"/>
            </w:tcBorders>
            <w:shd w:val="clear" w:color="auto" w:fill="002060"/>
            <w:vAlign w:val="center"/>
            <w:hideMark/>
          </w:tcPr>
          <w:p w:rsidR="00A317E4" w:rsidRPr="00C20677" w:rsidRDefault="00A317E4" w:rsidP="00336E76">
            <w:pPr>
              <w:contextualSpacing/>
              <w:jc w:val="center"/>
              <w:rPr>
                <w:b/>
                <w:bCs/>
                <w:color w:val="FFFFFF"/>
                <w:sz w:val="18"/>
                <w:szCs w:val="18"/>
              </w:rPr>
            </w:pPr>
            <w:r w:rsidRPr="00C20677">
              <w:rPr>
                <w:b/>
                <w:bCs/>
                <w:color w:val="FFFFFF"/>
                <w:sz w:val="18"/>
                <w:szCs w:val="18"/>
              </w:rPr>
              <w:t>Weighted Temp.</w:t>
            </w:r>
          </w:p>
        </w:tc>
      </w:tr>
      <w:tr w:rsidR="00A317E4" w:rsidRPr="006C5C5A" w:rsidTr="00C20677">
        <w:trPr>
          <w:trHeight w:val="350"/>
          <w:jc w:val="center"/>
        </w:trPr>
        <w:tc>
          <w:tcPr>
            <w:tcW w:w="961" w:type="dxa"/>
            <w:vMerge/>
            <w:tcBorders>
              <w:top w:val="single" w:sz="4" w:space="0" w:color="auto"/>
              <w:left w:val="single" w:sz="4" w:space="0" w:color="auto"/>
              <w:bottom w:val="single" w:sz="4" w:space="0" w:color="000000"/>
              <w:right w:val="single" w:sz="4" w:space="0" w:color="FFFFFF"/>
            </w:tcBorders>
            <w:shd w:val="clear" w:color="auto" w:fill="002060"/>
            <w:vAlign w:val="center"/>
            <w:hideMark/>
          </w:tcPr>
          <w:p w:rsidR="00A317E4" w:rsidRPr="00C20677" w:rsidRDefault="00A317E4" w:rsidP="00336E76">
            <w:pPr>
              <w:contextualSpacing/>
              <w:rPr>
                <w:b/>
                <w:bCs/>
                <w:color w:val="FFFFFF"/>
                <w:sz w:val="18"/>
                <w:szCs w:val="18"/>
              </w:rPr>
            </w:pPr>
          </w:p>
        </w:tc>
        <w:tc>
          <w:tcPr>
            <w:tcW w:w="912" w:type="dxa"/>
            <w:vMerge/>
            <w:tcBorders>
              <w:top w:val="single" w:sz="4" w:space="0" w:color="auto"/>
              <w:left w:val="single" w:sz="4" w:space="0" w:color="FFFFFF"/>
              <w:bottom w:val="single" w:sz="4" w:space="0" w:color="000000"/>
              <w:right w:val="single" w:sz="4" w:space="0" w:color="FFFFFF"/>
            </w:tcBorders>
            <w:shd w:val="clear" w:color="auto" w:fill="002060"/>
            <w:vAlign w:val="center"/>
            <w:hideMark/>
          </w:tcPr>
          <w:p w:rsidR="00A317E4" w:rsidRPr="00C20677" w:rsidRDefault="00A317E4" w:rsidP="00336E76">
            <w:pPr>
              <w:contextualSpacing/>
              <w:rPr>
                <w:b/>
                <w:bCs/>
                <w:color w:val="FFFFFF"/>
                <w:sz w:val="18"/>
                <w:szCs w:val="18"/>
              </w:rPr>
            </w:pPr>
          </w:p>
        </w:tc>
        <w:tc>
          <w:tcPr>
            <w:tcW w:w="604" w:type="dxa"/>
            <w:vMerge/>
            <w:tcBorders>
              <w:top w:val="single" w:sz="4" w:space="0" w:color="auto"/>
              <w:left w:val="single" w:sz="4" w:space="0" w:color="FFFFFF"/>
              <w:bottom w:val="single" w:sz="4" w:space="0" w:color="000000"/>
              <w:right w:val="single" w:sz="4" w:space="0" w:color="FFFFFF"/>
            </w:tcBorders>
            <w:shd w:val="clear" w:color="auto" w:fill="002060"/>
            <w:vAlign w:val="center"/>
            <w:hideMark/>
          </w:tcPr>
          <w:p w:rsidR="00A317E4" w:rsidRPr="00C20677" w:rsidRDefault="00A317E4" w:rsidP="00336E76">
            <w:pPr>
              <w:contextualSpacing/>
              <w:rPr>
                <w:b/>
                <w:bCs/>
                <w:color w:val="FFFFFF"/>
                <w:sz w:val="18"/>
                <w:szCs w:val="18"/>
              </w:rPr>
            </w:pPr>
          </w:p>
        </w:tc>
        <w:tc>
          <w:tcPr>
            <w:tcW w:w="991" w:type="dxa"/>
            <w:vMerge/>
            <w:tcBorders>
              <w:top w:val="single" w:sz="4" w:space="0" w:color="auto"/>
              <w:left w:val="single" w:sz="4" w:space="0" w:color="FFFFFF"/>
              <w:bottom w:val="single" w:sz="4" w:space="0" w:color="000000"/>
              <w:right w:val="single" w:sz="4" w:space="0" w:color="FFFFFF"/>
            </w:tcBorders>
            <w:shd w:val="clear" w:color="auto" w:fill="002060"/>
            <w:vAlign w:val="center"/>
            <w:hideMark/>
          </w:tcPr>
          <w:p w:rsidR="00A317E4" w:rsidRPr="00C20677" w:rsidRDefault="00A317E4" w:rsidP="00336E76">
            <w:pPr>
              <w:contextualSpacing/>
              <w:rPr>
                <w:b/>
                <w:bCs/>
                <w:color w:val="FFFFFF"/>
                <w:sz w:val="18"/>
                <w:szCs w:val="18"/>
              </w:rPr>
            </w:pPr>
          </w:p>
        </w:tc>
        <w:tc>
          <w:tcPr>
            <w:tcW w:w="1103" w:type="dxa"/>
            <w:tcBorders>
              <w:top w:val="nil"/>
              <w:left w:val="nil"/>
              <w:bottom w:val="single" w:sz="4" w:space="0" w:color="auto"/>
              <w:right w:val="single" w:sz="4" w:space="0" w:color="FFFFFF"/>
            </w:tcBorders>
            <w:shd w:val="clear" w:color="auto" w:fill="002060"/>
            <w:vAlign w:val="center"/>
            <w:hideMark/>
          </w:tcPr>
          <w:p w:rsidR="00A317E4" w:rsidRPr="00C20677" w:rsidRDefault="00A317E4" w:rsidP="00336E76">
            <w:pPr>
              <w:contextualSpacing/>
              <w:jc w:val="center"/>
              <w:rPr>
                <w:b/>
                <w:bCs/>
                <w:color w:val="FFFFFF"/>
                <w:sz w:val="18"/>
                <w:szCs w:val="18"/>
              </w:rPr>
            </w:pPr>
            <w:r w:rsidRPr="00C20677">
              <w:rPr>
                <w:b/>
                <w:bCs/>
                <w:color w:val="FFFFFF"/>
                <w:sz w:val="18"/>
                <w:szCs w:val="18"/>
              </w:rPr>
              <w:t>(MW 11 AM–6 PM)</w:t>
            </w:r>
          </w:p>
        </w:tc>
        <w:tc>
          <w:tcPr>
            <w:tcW w:w="1330" w:type="dxa"/>
            <w:tcBorders>
              <w:top w:val="nil"/>
              <w:left w:val="nil"/>
              <w:bottom w:val="single" w:sz="4" w:space="0" w:color="auto"/>
              <w:right w:val="single" w:sz="4" w:space="0" w:color="FFFFFF"/>
            </w:tcBorders>
            <w:shd w:val="clear" w:color="auto" w:fill="002060"/>
            <w:vAlign w:val="center"/>
            <w:hideMark/>
          </w:tcPr>
          <w:p w:rsidR="00A317E4" w:rsidRPr="00C20677" w:rsidRDefault="00A317E4" w:rsidP="00336E76">
            <w:pPr>
              <w:contextualSpacing/>
              <w:jc w:val="center"/>
              <w:rPr>
                <w:b/>
                <w:bCs/>
                <w:color w:val="FFFFFF"/>
                <w:sz w:val="18"/>
                <w:szCs w:val="18"/>
              </w:rPr>
            </w:pPr>
            <w:r w:rsidRPr="00C20677">
              <w:rPr>
                <w:b/>
                <w:bCs/>
                <w:color w:val="FFFFFF"/>
                <w:sz w:val="18"/>
                <w:szCs w:val="18"/>
              </w:rPr>
              <w:t>(MW 11 AM–6 PM)</w:t>
            </w:r>
          </w:p>
        </w:tc>
        <w:tc>
          <w:tcPr>
            <w:tcW w:w="1287" w:type="dxa"/>
            <w:tcBorders>
              <w:top w:val="nil"/>
              <w:left w:val="nil"/>
              <w:bottom w:val="single" w:sz="4" w:space="0" w:color="auto"/>
              <w:right w:val="single" w:sz="4" w:space="0" w:color="FFFFFF"/>
            </w:tcBorders>
            <w:shd w:val="clear" w:color="auto" w:fill="002060"/>
            <w:vAlign w:val="center"/>
            <w:hideMark/>
          </w:tcPr>
          <w:p w:rsidR="00A317E4" w:rsidRPr="00C20677" w:rsidRDefault="00A317E4" w:rsidP="00336E76">
            <w:pPr>
              <w:contextualSpacing/>
              <w:jc w:val="center"/>
              <w:rPr>
                <w:b/>
                <w:bCs/>
                <w:color w:val="FFFFFF"/>
                <w:sz w:val="18"/>
                <w:szCs w:val="18"/>
              </w:rPr>
            </w:pPr>
            <w:r w:rsidRPr="00C20677">
              <w:rPr>
                <w:b/>
                <w:bCs/>
                <w:color w:val="FFFFFF"/>
                <w:sz w:val="18"/>
                <w:szCs w:val="18"/>
              </w:rPr>
              <w:t>(MW 11 AM–6 PM)</w:t>
            </w:r>
          </w:p>
        </w:tc>
        <w:tc>
          <w:tcPr>
            <w:tcW w:w="1007" w:type="dxa"/>
            <w:tcBorders>
              <w:top w:val="nil"/>
              <w:left w:val="nil"/>
              <w:bottom w:val="single" w:sz="4" w:space="0" w:color="auto"/>
              <w:right w:val="single" w:sz="4" w:space="0" w:color="FFFFFF"/>
            </w:tcBorders>
            <w:shd w:val="clear" w:color="auto" w:fill="002060"/>
            <w:vAlign w:val="center"/>
            <w:hideMark/>
          </w:tcPr>
          <w:p w:rsidR="00A317E4" w:rsidRPr="00C20677" w:rsidRDefault="00A317E4" w:rsidP="00336E76">
            <w:pPr>
              <w:contextualSpacing/>
              <w:jc w:val="center"/>
              <w:rPr>
                <w:b/>
                <w:bCs/>
                <w:color w:val="FFFFFF"/>
                <w:sz w:val="18"/>
                <w:szCs w:val="18"/>
              </w:rPr>
            </w:pPr>
            <w:r w:rsidRPr="00C20677">
              <w:rPr>
                <w:b/>
                <w:bCs/>
                <w:color w:val="FFFFFF"/>
                <w:sz w:val="18"/>
                <w:szCs w:val="18"/>
              </w:rPr>
              <w:t>(%)</w:t>
            </w:r>
          </w:p>
        </w:tc>
        <w:tc>
          <w:tcPr>
            <w:tcW w:w="922" w:type="dxa"/>
            <w:tcBorders>
              <w:top w:val="nil"/>
              <w:left w:val="nil"/>
              <w:bottom w:val="single" w:sz="4" w:space="0" w:color="auto"/>
              <w:right w:val="single" w:sz="4" w:space="0" w:color="auto"/>
            </w:tcBorders>
            <w:shd w:val="clear" w:color="auto" w:fill="002060"/>
            <w:vAlign w:val="center"/>
            <w:hideMark/>
          </w:tcPr>
          <w:p w:rsidR="00A317E4" w:rsidRPr="00C20677" w:rsidRDefault="00A317E4" w:rsidP="00336E76">
            <w:pPr>
              <w:contextualSpacing/>
              <w:jc w:val="center"/>
              <w:rPr>
                <w:b/>
                <w:bCs/>
                <w:color w:val="FFFFFF"/>
                <w:sz w:val="18"/>
                <w:szCs w:val="18"/>
              </w:rPr>
            </w:pPr>
            <w:r w:rsidRPr="00C20677">
              <w:rPr>
                <w:b/>
                <w:bCs/>
                <w:color w:val="FFFFFF"/>
                <w:sz w:val="18"/>
                <w:szCs w:val="18"/>
              </w:rPr>
              <w:t>(°F)</w:t>
            </w:r>
          </w:p>
        </w:tc>
      </w:tr>
      <w:tr w:rsidR="00A317E4" w:rsidRPr="006C5C5A" w:rsidTr="00C20677">
        <w:trPr>
          <w:trHeight w:val="255"/>
          <w:jc w:val="center"/>
        </w:trPr>
        <w:tc>
          <w:tcPr>
            <w:tcW w:w="9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SDG&amp;E</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A317E4" w:rsidRPr="00C20677" w:rsidRDefault="00A317E4" w:rsidP="00336E76">
            <w:pPr>
              <w:contextualSpacing/>
              <w:jc w:val="center"/>
              <w:rPr>
                <w:color w:val="000000"/>
                <w:sz w:val="18"/>
                <w:szCs w:val="18"/>
              </w:rPr>
            </w:pPr>
            <w:r w:rsidRPr="00C20677">
              <w:rPr>
                <w:color w:val="000000"/>
                <w:sz w:val="18"/>
                <w:szCs w:val="18"/>
              </w:rPr>
              <w:t>1-in-10</w:t>
            </w:r>
          </w:p>
        </w:tc>
        <w:tc>
          <w:tcPr>
            <w:tcW w:w="604"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2016</w:t>
            </w:r>
          </w:p>
        </w:tc>
        <w:tc>
          <w:tcPr>
            <w:tcW w:w="991"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19,308</w:t>
            </w:r>
          </w:p>
        </w:tc>
        <w:tc>
          <w:tcPr>
            <w:tcW w:w="1103"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676.2</w:t>
            </w:r>
          </w:p>
        </w:tc>
        <w:tc>
          <w:tcPr>
            <w:tcW w:w="1330"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669.9</w:t>
            </w:r>
          </w:p>
        </w:tc>
        <w:tc>
          <w:tcPr>
            <w:tcW w:w="128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6.2</w:t>
            </w:r>
          </w:p>
        </w:tc>
        <w:tc>
          <w:tcPr>
            <w:tcW w:w="100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0.92%</w:t>
            </w:r>
          </w:p>
        </w:tc>
        <w:tc>
          <w:tcPr>
            <w:tcW w:w="922" w:type="dxa"/>
            <w:tcBorders>
              <w:top w:val="single" w:sz="4" w:space="0" w:color="auto"/>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91.0</w:t>
            </w:r>
          </w:p>
        </w:tc>
      </w:tr>
      <w:tr w:rsidR="00A317E4" w:rsidRPr="006C5C5A" w:rsidTr="00C20677">
        <w:trPr>
          <w:trHeight w:val="255"/>
          <w:jc w:val="center"/>
        </w:trPr>
        <w:tc>
          <w:tcPr>
            <w:tcW w:w="961"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912"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604"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2017</w:t>
            </w:r>
          </w:p>
        </w:tc>
        <w:tc>
          <w:tcPr>
            <w:tcW w:w="991"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17,276</w:t>
            </w:r>
          </w:p>
        </w:tc>
        <w:tc>
          <w:tcPr>
            <w:tcW w:w="1103"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605.0</w:t>
            </w:r>
          </w:p>
        </w:tc>
        <w:tc>
          <w:tcPr>
            <w:tcW w:w="1330"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599.4</w:t>
            </w:r>
          </w:p>
        </w:tc>
        <w:tc>
          <w:tcPr>
            <w:tcW w:w="128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5.6</w:t>
            </w:r>
          </w:p>
        </w:tc>
        <w:tc>
          <w:tcPr>
            <w:tcW w:w="100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0.92%</w:t>
            </w:r>
          </w:p>
        </w:tc>
        <w:tc>
          <w:tcPr>
            <w:tcW w:w="922"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91.0</w:t>
            </w:r>
          </w:p>
        </w:tc>
      </w:tr>
      <w:tr w:rsidR="00A317E4" w:rsidRPr="006C5C5A" w:rsidTr="00C20677">
        <w:trPr>
          <w:trHeight w:val="255"/>
          <w:jc w:val="center"/>
        </w:trPr>
        <w:tc>
          <w:tcPr>
            <w:tcW w:w="961"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912"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604"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2026</w:t>
            </w:r>
          </w:p>
        </w:tc>
        <w:tc>
          <w:tcPr>
            <w:tcW w:w="991"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16,260</w:t>
            </w:r>
          </w:p>
        </w:tc>
        <w:tc>
          <w:tcPr>
            <w:tcW w:w="1103"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569.4</w:t>
            </w:r>
          </w:p>
        </w:tc>
        <w:tc>
          <w:tcPr>
            <w:tcW w:w="1330"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564.2</w:t>
            </w:r>
          </w:p>
        </w:tc>
        <w:tc>
          <w:tcPr>
            <w:tcW w:w="128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5.2</w:t>
            </w:r>
          </w:p>
        </w:tc>
        <w:tc>
          <w:tcPr>
            <w:tcW w:w="100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0.92%</w:t>
            </w:r>
          </w:p>
        </w:tc>
        <w:tc>
          <w:tcPr>
            <w:tcW w:w="922"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91.0</w:t>
            </w:r>
          </w:p>
        </w:tc>
      </w:tr>
      <w:tr w:rsidR="00A317E4" w:rsidRPr="006C5C5A" w:rsidTr="00C20677">
        <w:trPr>
          <w:trHeight w:val="255"/>
          <w:jc w:val="center"/>
        </w:trPr>
        <w:tc>
          <w:tcPr>
            <w:tcW w:w="961"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A317E4" w:rsidRPr="00C20677" w:rsidRDefault="00A317E4" w:rsidP="00336E76">
            <w:pPr>
              <w:contextualSpacing/>
              <w:jc w:val="center"/>
              <w:rPr>
                <w:color w:val="000000"/>
                <w:sz w:val="18"/>
                <w:szCs w:val="18"/>
              </w:rPr>
            </w:pPr>
            <w:r w:rsidRPr="00C20677">
              <w:rPr>
                <w:color w:val="000000"/>
                <w:sz w:val="18"/>
                <w:szCs w:val="18"/>
              </w:rPr>
              <w:t>1-in-2</w:t>
            </w:r>
          </w:p>
        </w:tc>
        <w:tc>
          <w:tcPr>
            <w:tcW w:w="604"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2016</w:t>
            </w:r>
          </w:p>
        </w:tc>
        <w:tc>
          <w:tcPr>
            <w:tcW w:w="991"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19,308</w:t>
            </w:r>
          </w:p>
        </w:tc>
        <w:tc>
          <w:tcPr>
            <w:tcW w:w="1103"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631.6</w:t>
            </w:r>
          </w:p>
        </w:tc>
        <w:tc>
          <w:tcPr>
            <w:tcW w:w="1330"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625.8</w:t>
            </w:r>
          </w:p>
        </w:tc>
        <w:tc>
          <w:tcPr>
            <w:tcW w:w="128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5.8</w:t>
            </w:r>
          </w:p>
        </w:tc>
        <w:tc>
          <w:tcPr>
            <w:tcW w:w="100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0.92%</w:t>
            </w:r>
          </w:p>
        </w:tc>
        <w:tc>
          <w:tcPr>
            <w:tcW w:w="922"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83.5</w:t>
            </w:r>
          </w:p>
        </w:tc>
      </w:tr>
      <w:tr w:rsidR="00A317E4" w:rsidRPr="006C5C5A" w:rsidTr="00C20677">
        <w:trPr>
          <w:trHeight w:val="255"/>
          <w:jc w:val="center"/>
        </w:trPr>
        <w:tc>
          <w:tcPr>
            <w:tcW w:w="961"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912"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604"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2017</w:t>
            </w:r>
          </w:p>
        </w:tc>
        <w:tc>
          <w:tcPr>
            <w:tcW w:w="991"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17,276</w:t>
            </w:r>
          </w:p>
        </w:tc>
        <w:tc>
          <w:tcPr>
            <w:tcW w:w="1103"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565.1</w:t>
            </w:r>
          </w:p>
        </w:tc>
        <w:tc>
          <w:tcPr>
            <w:tcW w:w="1330"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559.9</w:t>
            </w:r>
          </w:p>
        </w:tc>
        <w:tc>
          <w:tcPr>
            <w:tcW w:w="128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5.2</w:t>
            </w:r>
          </w:p>
        </w:tc>
        <w:tc>
          <w:tcPr>
            <w:tcW w:w="100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0.92%</w:t>
            </w:r>
          </w:p>
        </w:tc>
        <w:tc>
          <w:tcPr>
            <w:tcW w:w="922"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83.5</w:t>
            </w:r>
          </w:p>
        </w:tc>
      </w:tr>
      <w:tr w:rsidR="00A317E4" w:rsidRPr="006C5C5A" w:rsidTr="00C20677">
        <w:trPr>
          <w:trHeight w:val="255"/>
          <w:jc w:val="center"/>
        </w:trPr>
        <w:tc>
          <w:tcPr>
            <w:tcW w:w="961"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912"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604"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2026</w:t>
            </w:r>
          </w:p>
        </w:tc>
        <w:tc>
          <w:tcPr>
            <w:tcW w:w="991"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16,260</w:t>
            </w:r>
          </w:p>
        </w:tc>
        <w:tc>
          <w:tcPr>
            <w:tcW w:w="1103"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531.9</w:t>
            </w:r>
          </w:p>
        </w:tc>
        <w:tc>
          <w:tcPr>
            <w:tcW w:w="1330"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527.0</w:t>
            </w:r>
          </w:p>
        </w:tc>
        <w:tc>
          <w:tcPr>
            <w:tcW w:w="128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4.9</w:t>
            </w:r>
          </w:p>
        </w:tc>
        <w:tc>
          <w:tcPr>
            <w:tcW w:w="100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0.92%</w:t>
            </w:r>
          </w:p>
        </w:tc>
        <w:tc>
          <w:tcPr>
            <w:tcW w:w="922"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88.5</w:t>
            </w:r>
          </w:p>
        </w:tc>
      </w:tr>
      <w:tr w:rsidR="00A317E4" w:rsidRPr="006C5C5A" w:rsidTr="00C20677">
        <w:trPr>
          <w:trHeight w:val="255"/>
          <w:jc w:val="center"/>
        </w:trPr>
        <w:tc>
          <w:tcPr>
            <w:tcW w:w="9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CAISO</w:t>
            </w: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A317E4" w:rsidRPr="00C20677" w:rsidRDefault="00A317E4" w:rsidP="00336E76">
            <w:pPr>
              <w:contextualSpacing/>
              <w:jc w:val="center"/>
              <w:rPr>
                <w:color w:val="000000"/>
                <w:sz w:val="18"/>
                <w:szCs w:val="18"/>
              </w:rPr>
            </w:pPr>
            <w:r w:rsidRPr="00C20677">
              <w:rPr>
                <w:color w:val="000000"/>
                <w:sz w:val="18"/>
                <w:szCs w:val="18"/>
              </w:rPr>
              <w:t>1-in-10</w:t>
            </w:r>
          </w:p>
        </w:tc>
        <w:tc>
          <w:tcPr>
            <w:tcW w:w="604"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2016</w:t>
            </w:r>
          </w:p>
        </w:tc>
        <w:tc>
          <w:tcPr>
            <w:tcW w:w="991"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19,308</w:t>
            </w:r>
          </w:p>
        </w:tc>
        <w:tc>
          <w:tcPr>
            <w:tcW w:w="1103"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656.2</w:t>
            </w:r>
          </w:p>
        </w:tc>
        <w:tc>
          <w:tcPr>
            <w:tcW w:w="1330"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650.2</w:t>
            </w:r>
          </w:p>
        </w:tc>
        <w:tc>
          <w:tcPr>
            <w:tcW w:w="128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6.0</w:t>
            </w:r>
          </w:p>
        </w:tc>
        <w:tc>
          <w:tcPr>
            <w:tcW w:w="100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0.92%</w:t>
            </w:r>
          </w:p>
        </w:tc>
        <w:tc>
          <w:tcPr>
            <w:tcW w:w="922"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88.5</w:t>
            </w:r>
          </w:p>
        </w:tc>
      </w:tr>
      <w:tr w:rsidR="00A317E4" w:rsidRPr="006C5C5A" w:rsidTr="00C20677">
        <w:trPr>
          <w:trHeight w:val="255"/>
          <w:jc w:val="center"/>
        </w:trPr>
        <w:tc>
          <w:tcPr>
            <w:tcW w:w="961"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912"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604"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2017</w:t>
            </w:r>
          </w:p>
        </w:tc>
        <w:tc>
          <w:tcPr>
            <w:tcW w:w="991"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17,276</w:t>
            </w:r>
          </w:p>
        </w:tc>
        <w:tc>
          <w:tcPr>
            <w:tcW w:w="1103"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587.2</w:t>
            </w:r>
          </w:p>
        </w:tc>
        <w:tc>
          <w:tcPr>
            <w:tcW w:w="1330"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581.8</w:t>
            </w:r>
          </w:p>
        </w:tc>
        <w:tc>
          <w:tcPr>
            <w:tcW w:w="128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5.4</w:t>
            </w:r>
          </w:p>
        </w:tc>
        <w:tc>
          <w:tcPr>
            <w:tcW w:w="100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0.92%</w:t>
            </w:r>
          </w:p>
        </w:tc>
        <w:tc>
          <w:tcPr>
            <w:tcW w:w="922"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88.5</w:t>
            </w:r>
          </w:p>
        </w:tc>
      </w:tr>
      <w:tr w:rsidR="00A317E4" w:rsidRPr="006C5C5A" w:rsidTr="00C20677">
        <w:trPr>
          <w:trHeight w:val="255"/>
          <w:jc w:val="center"/>
        </w:trPr>
        <w:tc>
          <w:tcPr>
            <w:tcW w:w="961"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912"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604"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2026</w:t>
            </w:r>
          </w:p>
        </w:tc>
        <w:tc>
          <w:tcPr>
            <w:tcW w:w="991"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16,260</w:t>
            </w:r>
          </w:p>
        </w:tc>
        <w:tc>
          <w:tcPr>
            <w:tcW w:w="1103"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552.6</w:t>
            </w:r>
          </w:p>
        </w:tc>
        <w:tc>
          <w:tcPr>
            <w:tcW w:w="1330"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547.5</w:t>
            </w:r>
          </w:p>
        </w:tc>
        <w:tc>
          <w:tcPr>
            <w:tcW w:w="128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5.1</w:t>
            </w:r>
          </w:p>
        </w:tc>
        <w:tc>
          <w:tcPr>
            <w:tcW w:w="100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0.92%</w:t>
            </w:r>
          </w:p>
        </w:tc>
        <w:tc>
          <w:tcPr>
            <w:tcW w:w="922"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88.5</w:t>
            </w:r>
          </w:p>
        </w:tc>
      </w:tr>
      <w:tr w:rsidR="00A317E4" w:rsidRPr="006C5C5A" w:rsidTr="00C20677">
        <w:trPr>
          <w:trHeight w:val="255"/>
          <w:jc w:val="center"/>
        </w:trPr>
        <w:tc>
          <w:tcPr>
            <w:tcW w:w="961"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A317E4" w:rsidRPr="00C20677" w:rsidRDefault="00A317E4" w:rsidP="00336E76">
            <w:pPr>
              <w:contextualSpacing/>
              <w:jc w:val="center"/>
              <w:rPr>
                <w:color w:val="000000"/>
                <w:sz w:val="18"/>
                <w:szCs w:val="18"/>
              </w:rPr>
            </w:pPr>
            <w:r w:rsidRPr="00C20677">
              <w:rPr>
                <w:color w:val="000000"/>
                <w:sz w:val="18"/>
                <w:szCs w:val="18"/>
              </w:rPr>
              <w:t>1-in-2</w:t>
            </w:r>
          </w:p>
        </w:tc>
        <w:tc>
          <w:tcPr>
            <w:tcW w:w="604"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2016</w:t>
            </w:r>
          </w:p>
        </w:tc>
        <w:tc>
          <w:tcPr>
            <w:tcW w:w="991"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19,308</w:t>
            </w:r>
          </w:p>
        </w:tc>
        <w:tc>
          <w:tcPr>
            <w:tcW w:w="1103"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649.8</w:t>
            </w:r>
          </w:p>
        </w:tc>
        <w:tc>
          <w:tcPr>
            <w:tcW w:w="1330"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643.8</w:t>
            </w:r>
          </w:p>
        </w:tc>
        <w:tc>
          <w:tcPr>
            <w:tcW w:w="128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6.0</w:t>
            </w:r>
          </w:p>
        </w:tc>
        <w:tc>
          <w:tcPr>
            <w:tcW w:w="100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0.92%</w:t>
            </w:r>
          </w:p>
        </w:tc>
        <w:tc>
          <w:tcPr>
            <w:tcW w:w="922"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88.1</w:t>
            </w:r>
          </w:p>
        </w:tc>
      </w:tr>
      <w:tr w:rsidR="00A317E4" w:rsidRPr="006C5C5A" w:rsidTr="00C20677">
        <w:trPr>
          <w:trHeight w:val="255"/>
          <w:jc w:val="center"/>
        </w:trPr>
        <w:tc>
          <w:tcPr>
            <w:tcW w:w="961"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912"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604"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2017</w:t>
            </w:r>
          </w:p>
        </w:tc>
        <w:tc>
          <w:tcPr>
            <w:tcW w:w="991"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17,276</w:t>
            </w:r>
          </w:p>
        </w:tc>
        <w:tc>
          <w:tcPr>
            <w:tcW w:w="1103"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581.4</w:t>
            </w:r>
          </w:p>
        </w:tc>
        <w:tc>
          <w:tcPr>
            <w:tcW w:w="1330"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576.1</w:t>
            </w:r>
          </w:p>
        </w:tc>
        <w:tc>
          <w:tcPr>
            <w:tcW w:w="128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5.4</w:t>
            </w:r>
          </w:p>
        </w:tc>
        <w:tc>
          <w:tcPr>
            <w:tcW w:w="100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0.92%</w:t>
            </w:r>
          </w:p>
        </w:tc>
        <w:tc>
          <w:tcPr>
            <w:tcW w:w="922"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88.1</w:t>
            </w:r>
          </w:p>
        </w:tc>
      </w:tr>
      <w:tr w:rsidR="00A317E4" w:rsidRPr="00C46C78" w:rsidTr="00C20677">
        <w:trPr>
          <w:trHeight w:val="255"/>
          <w:jc w:val="center"/>
        </w:trPr>
        <w:tc>
          <w:tcPr>
            <w:tcW w:w="961"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912" w:type="dxa"/>
            <w:vMerge/>
            <w:tcBorders>
              <w:top w:val="nil"/>
              <w:left w:val="single" w:sz="4" w:space="0" w:color="auto"/>
              <w:bottom w:val="single" w:sz="4" w:space="0" w:color="auto"/>
              <w:right w:val="single" w:sz="4" w:space="0" w:color="auto"/>
            </w:tcBorders>
            <w:vAlign w:val="center"/>
            <w:hideMark/>
          </w:tcPr>
          <w:p w:rsidR="00A317E4" w:rsidRPr="00C20677" w:rsidRDefault="00A317E4" w:rsidP="00336E76">
            <w:pPr>
              <w:contextualSpacing/>
              <w:jc w:val="center"/>
              <w:rPr>
                <w:color w:val="000000"/>
                <w:sz w:val="18"/>
                <w:szCs w:val="18"/>
              </w:rPr>
            </w:pPr>
          </w:p>
        </w:tc>
        <w:tc>
          <w:tcPr>
            <w:tcW w:w="604"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2026</w:t>
            </w:r>
          </w:p>
        </w:tc>
        <w:tc>
          <w:tcPr>
            <w:tcW w:w="991"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16,260</w:t>
            </w:r>
          </w:p>
        </w:tc>
        <w:tc>
          <w:tcPr>
            <w:tcW w:w="1103"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547.2</w:t>
            </w:r>
          </w:p>
        </w:tc>
        <w:tc>
          <w:tcPr>
            <w:tcW w:w="1330"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542.2</w:t>
            </w:r>
          </w:p>
        </w:tc>
        <w:tc>
          <w:tcPr>
            <w:tcW w:w="128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5.0</w:t>
            </w:r>
          </w:p>
        </w:tc>
        <w:tc>
          <w:tcPr>
            <w:tcW w:w="1007"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0.92%</w:t>
            </w:r>
          </w:p>
        </w:tc>
        <w:tc>
          <w:tcPr>
            <w:tcW w:w="922" w:type="dxa"/>
            <w:tcBorders>
              <w:top w:val="nil"/>
              <w:left w:val="nil"/>
              <w:bottom w:val="single" w:sz="4" w:space="0" w:color="auto"/>
              <w:right w:val="single" w:sz="4" w:space="0" w:color="auto"/>
            </w:tcBorders>
            <w:shd w:val="clear" w:color="auto" w:fill="auto"/>
            <w:noWrap/>
            <w:vAlign w:val="center"/>
            <w:hideMark/>
          </w:tcPr>
          <w:p w:rsidR="00A317E4" w:rsidRPr="00C20677" w:rsidRDefault="00A317E4" w:rsidP="00336E76">
            <w:pPr>
              <w:contextualSpacing/>
              <w:jc w:val="center"/>
              <w:rPr>
                <w:color w:val="000000"/>
                <w:sz w:val="18"/>
                <w:szCs w:val="18"/>
              </w:rPr>
            </w:pPr>
            <w:r w:rsidRPr="00C20677">
              <w:rPr>
                <w:color w:val="000000"/>
                <w:sz w:val="18"/>
                <w:szCs w:val="18"/>
              </w:rPr>
              <w:t>88.1</w:t>
            </w:r>
          </w:p>
        </w:tc>
      </w:tr>
    </w:tbl>
    <w:p w:rsidR="00A317E4" w:rsidRDefault="00A317E4" w:rsidP="00A317E4">
      <w:pPr>
        <w:rPr>
          <w:rFonts w:ascii="Arial" w:hAnsi="Arial"/>
          <w:b/>
          <w:color w:val="0070CD"/>
          <w:sz w:val="28"/>
          <w:szCs w:val="28"/>
        </w:rPr>
      </w:pPr>
    </w:p>
    <w:p w:rsidR="005418E4" w:rsidRPr="00711930" w:rsidRDefault="005418E4" w:rsidP="00DF4737">
      <w:pPr>
        <w:pStyle w:val="Heading1"/>
        <w:spacing w:after="0" w:line="276" w:lineRule="auto"/>
        <w:rPr>
          <w:rFonts w:ascii="Times New Roman" w:hAnsi="Times New Roman" w:cs="Times New Roman"/>
          <w:color w:val="000000" w:themeColor="text1"/>
        </w:rPr>
      </w:pPr>
      <w:bookmarkStart w:id="111" w:name="_Toc259624207"/>
      <w:bookmarkStart w:id="112" w:name="_Toc259628883"/>
      <w:bookmarkStart w:id="113" w:name="_Toc289248356"/>
      <w:bookmarkStart w:id="114" w:name="_Toc351990574"/>
      <w:bookmarkStart w:id="115" w:name="_Toc352084151"/>
      <w:bookmarkStart w:id="116" w:name="_Toc447179790"/>
      <w:bookmarkEnd w:id="99"/>
      <w:bookmarkEnd w:id="100"/>
      <w:bookmarkEnd w:id="101"/>
      <w:r w:rsidRPr="00711930">
        <w:rPr>
          <w:rFonts w:ascii="Times New Roman" w:hAnsi="Times New Roman" w:cs="Times New Roman"/>
          <w:color w:val="000000" w:themeColor="text1"/>
        </w:rPr>
        <w:lastRenderedPageBreak/>
        <w:t>Summary of SDG&amp;E’s Base Interruptible Program Report</w:t>
      </w:r>
      <w:bookmarkEnd w:id="111"/>
      <w:bookmarkEnd w:id="112"/>
      <w:bookmarkEnd w:id="113"/>
      <w:bookmarkEnd w:id="114"/>
      <w:bookmarkEnd w:id="115"/>
      <w:bookmarkEnd w:id="116"/>
    </w:p>
    <w:p w:rsidR="005418E4" w:rsidRPr="00711930" w:rsidRDefault="00D174B4" w:rsidP="00DF4737">
      <w:pPr>
        <w:pStyle w:val="Heading2"/>
        <w:spacing w:after="0" w:line="276" w:lineRule="auto"/>
        <w:rPr>
          <w:rFonts w:ascii="Times New Roman" w:hAnsi="Times New Roman" w:cs="Times New Roman"/>
          <w:color w:val="000000" w:themeColor="text1"/>
        </w:rPr>
      </w:pPr>
      <w:bookmarkStart w:id="117" w:name="_Toc259624208"/>
      <w:bookmarkStart w:id="118" w:name="_Toc259628884"/>
      <w:bookmarkStart w:id="119" w:name="_Toc289248357"/>
      <w:bookmarkStart w:id="120" w:name="_Toc351990575"/>
      <w:bookmarkStart w:id="121" w:name="_Toc352084152"/>
      <w:bookmarkStart w:id="122" w:name="_Toc447179791"/>
      <w:r w:rsidRPr="00711930">
        <w:rPr>
          <w:rFonts w:ascii="Times New Roman" w:hAnsi="Times New Roman" w:cs="Times New Roman"/>
          <w:color w:val="000000" w:themeColor="text1"/>
        </w:rPr>
        <w:t xml:space="preserve">BIP </w:t>
      </w:r>
      <w:r w:rsidR="005418E4" w:rsidRPr="00711930">
        <w:rPr>
          <w:rFonts w:ascii="Times New Roman" w:hAnsi="Times New Roman" w:cs="Times New Roman"/>
          <w:color w:val="000000" w:themeColor="text1"/>
        </w:rPr>
        <w:t>Program Description</w:t>
      </w:r>
      <w:bookmarkEnd w:id="117"/>
      <w:bookmarkEnd w:id="118"/>
      <w:bookmarkEnd w:id="119"/>
      <w:bookmarkEnd w:id="120"/>
      <w:bookmarkEnd w:id="121"/>
      <w:bookmarkEnd w:id="122"/>
      <w:r w:rsidR="005418E4" w:rsidRPr="00711930">
        <w:rPr>
          <w:rFonts w:ascii="Times New Roman" w:hAnsi="Times New Roman" w:cs="Times New Roman"/>
          <w:color w:val="000000" w:themeColor="text1"/>
        </w:rPr>
        <w:tab/>
      </w:r>
    </w:p>
    <w:p w:rsidR="00DD2342" w:rsidRPr="00711930" w:rsidRDefault="00DD2342" w:rsidP="00DF4737">
      <w:pPr>
        <w:pStyle w:val="BodyParagraph"/>
        <w:spacing w:after="0" w:line="276" w:lineRule="auto"/>
        <w:ind w:left="360"/>
        <w:rPr>
          <w:rFonts w:ascii="Times New Roman" w:hAnsi="Times New Roman"/>
          <w:color w:val="000000" w:themeColor="text1"/>
          <w:sz w:val="24"/>
          <w:szCs w:val="24"/>
        </w:rPr>
      </w:pPr>
    </w:p>
    <w:p w:rsidR="00FE2D63" w:rsidRPr="008227A8" w:rsidRDefault="00FE2D63" w:rsidP="00E55F5C">
      <w:pPr>
        <w:spacing w:line="276" w:lineRule="auto"/>
        <w:ind w:firstLine="360"/>
        <w:rPr>
          <w:color w:val="000000" w:themeColor="text1"/>
        </w:rPr>
      </w:pPr>
      <w:r w:rsidRPr="008227A8">
        <w:rPr>
          <w:color w:val="000000" w:themeColor="text1"/>
        </w:rPr>
        <w:t>SDG&amp;E’s BIP is a voluntary program that offers participants a monthly capacity bill credit in exchange for committing to reduce their demand to a contracted FSL on short notice during emergency situations. Non-residential customers who can commit to curtail 15 percent of monthly peak demand with a minimum load reduction of 100 kW are eligible for the program.  Customers are notified no later than 30 minutes before the event. Monthly incentive payments are $12 per kW during May through October and $2 per kW during all other months. Curtailment events for an individual BIP customer are limited to a single 4-hour event per day, no more than 10 events per month and no more than 120 event hours per calendar year.  A curtailment event may be called under BIP at any time during the year.</w:t>
      </w:r>
    </w:p>
    <w:p w:rsidR="00FE2D63" w:rsidRPr="008227A8" w:rsidRDefault="00FE2D63" w:rsidP="00E55F5C">
      <w:pPr>
        <w:spacing w:line="276" w:lineRule="auto"/>
        <w:ind w:firstLine="360"/>
        <w:rPr>
          <w:color w:val="000000" w:themeColor="text1"/>
        </w:rPr>
      </w:pPr>
    </w:p>
    <w:p w:rsidR="00FE2D63" w:rsidRPr="008227A8" w:rsidRDefault="00FE2D63" w:rsidP="00E55F5C">
      <w:pPr>
        <w:spacing w:line="276" w:lineRule="auto"/>
        <w:ind w:firstLine="360"/>
        <w:rPr>
          <w:color w:val="000000" w:themeColor="text1"/>
        </w:rPr>
      </w:pPr>
      <w:r w:rsidRPr="008227A8">
        <w:rPr>
          <w:color w:val="000000" w:themeColor="text1"/>
        </w:rPr>
        <w:t>Participation in SDG&amp;E’s program has been low, consistent with the California Public Utilities Commission (“Commission” or “CPUC”) direction to focus marketing efforts on price responsive programs. There were no participants in 2006, three participants in 2007, five participants in 2008, 20 in 2009, 19 customers in 2010, 21 customers in 2011, 11 in 2012,</w:t>
      </w:r>
      <w:r w:rsidRPr="008227A8">
        <w:rPr>
          <w:rStyle w:val="FootnoteReference"/>
          <w:color w:val="000000" w:themeColor="text1"/>
        </w:rPr>
        <w:footnoteReference w:id="10"/>
      </w:r>
      <w:r w:rsidRPr="008227A8">
        <w:rPr>
          <w:color w:val="000000" w:themeColor="text1"/>
        </w:rPr>
        <w:t xml:space="preserve"> seven participants in 2013 and 2014, and five participants in 2015.</w:t>
      </w:r>
    </w:p>
    <w:p w:rsidR="00FE2D63" w:rsidRDefault="00FE2D63" w:rsidP="00B073DC">
      <w:pPr>
        <w:pStyle w:val="BodyParagraph"/>
        <w:spacing w:after="0" w:line="276" w:lineRule="auto"/>
        <w:ind w:firstLine="360"/>
        <w:rPr>
          <w:rFonts w:ascii="Times New Roman" w:hAnsi="Times New Roman"/>
          <w:color w:val="0000FF"/>
          <w:sz w:val="24"/>
          <w:szCs w:val="24"/>
        </w:rPr>
      </w:pPr>
    </w:p>
    <w:p w:rsidR="00EB0D96" w:rsidRPr="00711930" w:rsidRDefault="00EB0D96" w:rsidP="00650CA1">
      <w:pPr>
        <w:pStyle w:val="Heading2"/>
        <w:spacing w:after="0" w:line="276" w:lineRule="auto"/>
        <w:rPr>
          <w:rFonts w:ascii="Times New Roman" w:hAnsi="Times New Roman" w:cs="Times New Roman"/>
          <w:color w:val="000000" w:themeColor="text1"/>
        </w:rPr>
      </w:pPr>
      <w:bookmarkStart w:id="123" w:name="_Toc351990576"/>
      <w:bookmarkStart w:id="124" w:name="_Toc352084153"/>
      <w:bookmarkStart w:id="125" w:name="_Toc447179792"/>
      <w:r w:rsidRPr="00711930">
        <w:rPr>
          <w:rFonts w:ascii="Times New Roman" w:hAnsi="Times New Roman" w:cs="Times New Roman"/>
          <w:color w:val="000000" w:themeColor="text1"/>
        </w:rPr>
        <w:t xml:space="preserve">BIP </w:t>
      </w:r>
      <w:bookmarkEnd w:id="123"/>
      <w:bookmarkEnd w:id="124"/>
      <w:r w:rsidR="00AC58B3" w:rsidRPr="00711930">
        <w:rPr>
          <w:rFonts w:ascii="Times New Roman" w:hAnsi="Times New Roman" w:cs="Times New Roman"/>
          <w:color w:val="000000" w:themeColor="text1"/>
        </w:rPr>
        <w:t>E</w:t>
      </w:r>
      <w:r w:rsidR="000327F0" w:rsidRPr="00711930">
        <w:rPr>
          <w:rFonts w:ascii="Times New Roman" w:hAnsi="Times New Roman" w:cs="Times New Roman"/>
          <w:color w:val="000000" w:themeColor="text1"/>
        </w:rPr>
        <w:t>x</w:t>
      </w:r>
      <w:r w:rsidR="00AC58B3" w:rsidRPr="00711930">
        <w:rPr>
          <w:rFonts w:ascii="Times New Roman" w:hAnsi="Times New Roman" w:cs="Times New Roman"/>
          <w:color w:val="000000" w:themeColor="text1"/>
        </w:rPr>
        <w:t>-Post Evaluation Methodology</w:t>
      </w:r>
      <w:bookmarkEnd w:id="125"/>
    </w:p>
    <w:p w:rsidR="00EB0D96" w:rsidRPr="00205691" w:rsidRDefault="00EB0D96" w:rsidP="00650CA1">
      <w:pPr>
        <w:pStyle w:val="BodyParagraph"/>
        <w:spacing w:after="0" w:line="276" w:lineRule="auto"/>
        <w:rPr>
          <w:rFonts w:ascii="Times New Roman" w:hAnsi="Times New Roman"/>
          <w:color w:val="000000" w:themeColor="text1"/>
          <w:sz w:val="24"/>
          <w:szCs w:val="24"/>
        </w:rPr>
      </w:pPr>
    </w:p>
    <w:p w:rsidR="00517145" w:rsidRPr="008227A8" w:rsidRDefault="00517145" w:rsidP="00517145">
      <w:pPr>
        <w:spacing w:line="276" w:lineRule="auto"/>
        <w:ind w:firstLine="360"/>
        <w:rPr>
          <w:color w:val="000000" w:themeColor="text1"/>
        </w:rPr>
      </w:pPr>
      <w:r w:rsidRPr="008227A8">
        <w:rPr>
          <w:color w:val="000000" w:themeColor="text1"/>
        </w:rPr>
        <w:t xml:space="preserve">We estimated </w:t>
      </w:r>
      <w:r w:rsidRPr="008227A8">
        <w:rPr>
          <w:i/>
          <w:color w:val="000000" w:themeColor="text1"/>
        </w:rPr>
        <w:t>ex-post</w:t>
      </w:r>
      <w:r w:rsidRPr="008227A8">
        <w:rPr>
          <w:color w:val="000000" w:themeColor="text1"/>
        </w:rPr>
        <w:t xml:space="preserve"> hourly load impacts using regression equations applied to customer-level hourly load data. The regression equation models hourly load as a function of a set of variables designed to control for factors affecting consumers’ hourly demand levels, such as:</w:t>
      </w:r>
    </w:p>
    <w:p w:rsidR="00517145" w:rsidRPr="008227A8" w:rsidRDefault="00517145" w:rsidP="00517145">
      <w:pPr>
        <w:spacing w:line="276" w:lineRule="auto"/>
        <w:rPr>
          <w:color w:val="000000" w:themeColor="text1"/>
        </w:rPr>
      </w:pPr>
    </w:p>
    <w:p w:rsidR="00517145" w:rsidRPr="008227A8" w:rsidRDefault="00517145" w:rsidP="00517145">
      <w:pPr>
        <w:numPr>
          <w:ilvl w:val="0"/>
          <w:numId w:val="7"/>
        </w:numPr>
        <w:tabs>
          <w:tab w:val="clear" w:pos="1440"/>
          <w:tab w:val="num" w:pos="720"/>
        </w:tabs>
        <w:spacing w:line="276" w:lineRule="auto"/>
        <w:ind w:left="720"/>
        <w:rPr>
          <w:color w:val="000000" w:themeColor="text1"/>
        </w:rPr>
      </w:pPr>
      <w:r w:rsidRPr="008227A8">
        <w:rPr>
          <w:color w:val="000000" w:themeColor="text1"/>
        </w:rPr>
        <w:t>Seasonal and hourly time patterns (</w:t>
      </w:r>
      <w:r w:rsidRPr="008227A8">
        <w:rPr>
          <w:i/>
          <w:color w:val="000000" w:themeColor="text1"/>
        </w:rPr>
        <w:t>e.g.</w:t>
      </w:r>
      <w:r w:rsidRPr="008227A8">
        <w:rPr>
          <w:color w:val="000000" w:themeColor="text1"/>
        </w:rPr>
        <w:t>, year, month, day-of-week, and hour, plus various hour/day-type interactions);</w:t>
      </w:r>
    </w:p>
    <w:p w:rsidR="00517145" w:rsidRPr="008227A8" w:rsidRDefault="00517145" w:rsidP="00517145">
      <w:pPr>
        <w:numPr>
          <w:ilvl w:val="0"/>
          <w:numId w:val="7"/>
        </w:numPr>
        <w:tabs>
          <w:tab w:val="clear" w:pos="1440"/>
          <w:tab w:val="num" w:pos="720"/>
        </w:tabs>
        <w:spacing w:line="276" w:lineRule="auto"/>
        <w:ind w:left="720"/>
        <w:rPr>
          <w:color w:val="000000" w:themeColor="text1"/>
        </w:rPr>
      </w:pPr>
      <w:r w:rsidRPr="008227A8">
        <w:rPr>
          <w:color w:val="000000" w:themeColor="text1"/>
        </w:rPr>
        <w:t>Weather, including hour-specific weather coefficients;</w:t>
      </w:r>
    </w:p>
    <w:p w:rsidR="00517145" w:rsidRPr="008227A8" w:rsidRDefault="00517145" w:rsidP="00517145">
      <w:pPr>
        <w:numPr>
          <w:ilvl w:val="0"/>
          <w:numId w:val="7"/>
        </w:numPr>
        <w:tabs>
          <w:tab w:val="clear" w:pos="1440"/>
          <w:tab w:val="num" w:pos="720"/>
        </w:tabs>
        <w:spacing w:line="276" w:lineRule="auto"/>
        <w:ind w:left="720"/>
        <w:rPr>
          <w:color w:val="000000" w:themeColor="text1"/>
        </w:rPr>
      </w:pPr>
      <w:r w:rsidRPr="008227A8">
        <w:rPr>
          <w:color w:val="000000" w:themeColor="text1"/>
        </w:rPr>
        <w:t xml:space="preserve">Event variables. A series of dummy variables was included to account for each hour of each event day, allowing us to estimate the load impacts for all hours across the event days.  </w:t>
      </w:r>
    </w:p>
    <w:p w:rsidR="00517145" w:rsidRPr="008227A8" w:rsidRDefault="00517145" w:rsidP="00517145">
      <w:pPr>
        <w:spacing w:line="276" w:lineRule="auto"/>
        <w:rPr>
          <w:color w:val="000000" w:themeColor="text1"/>
        </w:rPr>
      </w:pPr>
    </w:p>
    <w:p w:rsidR="00517145" w:rsidRPr="008227A8" w:rsidRDefault="00517145" w:rsidP="00517145">
      <w:pPr>
        <w:spacing w:line="276" w:lineRule="auto"/>
        <w:ind w:firstLine="360"/>
        <w:rPr>
          <w:color w:val="000000" w:themeColor="text1"/>
        </w:rPr>
      </w:pPr>
      <w:r w:rsidRPr="008227A8">
        <w:rPr>
          <w:color w:val="000000" w:themeColor="text1"/>
        </w:rPr>
        <w:t xml:space="preserve">The models use the level of hourly demand (kW) as the dependent variable and a separate equation is estimated for each enrolled customer. As a result, the coefficients on the event day/hour variables are direct estimates of the </w:t>
      </w:r>
      <w:r w:rsidRPr="008227A8">
        <w:rPr>
          <w:i/>
          <w:color w:val="000000" w:themeColor="text1"/>
        </w:rPr>
        <w:t>ex-post</w:t>
      </w:r>
      <w:r w:rsidRPr="008227A8">
        <w:rPr>
          <w:color w:val="000000" w:themeColor="text1"/>
        </w:rPr>
        <w:t xml:space="preserve"> load impacts. For example, a BIP hour 15 event coefficient of -100 would mean that the customer reduced load by 100 kWh during hour 15 </w:t>
      </w:r>
      <w:r w:rsidRPr="008227A8">
        <w:rPr>
          <w:color w:val="000000" w:themeColor="text1"/>
        </w:rPr>
        <w:lastRenderedPageBreak/>
        <w:t>of that event day relative to its normal usage in that hour. Weekends and holidays were excluded from the estimation database.</w:t>
      </w:r>
      <w:r w:rsidRPr="008227A8">
        <w:rPr>
          <w:rStyle w:val="FootnoteReference"/>
          <w:color w:val="000000" w:themeColor="text1"/>
        </w:rPr>
        <w:footnoteReference w:id="11"/>
      </w:r>
      <w:r w:rsidRPr="008227A8">
        <w:rPr>
          <w:color w:val="000000" w:themeColor="text1"/>
        </w:rPr>
        <w:t xml:space="preserve">  </w:t>
      </w:r>
    </w:p>
    <w:p w:rsidR="00517145" w:rsidRPr="00517145" w:rsidRDefault="00517145" w:rsidP="00517145">
      <w:pPr>
        <w:rPr>
          <w:color w:val="0000CC"/>
        </w:rPr>
      </w:pPr>
    </w:p>
    <w:p w:rsidR="00517145" w:rsidRPr="00517145" w:rsidRDefault="00517145" w:rsidP="00517145">
      <w:pPr>
        <w:pStyle w:val="Heading3"/>
        <w:tabs>
          <w:tab w:val="left" w:pos="720"/>
        </w:tabs>
        <w:ind w:hanging="1260"/>
        <w:rPr>
          <w:rFonts w:ascii="Times New Roman" w:hAnsi="Times New Roman" w:cs="Times New Roman"/>
          <w:sz w:val="22"/>
          <w:szCs w:val="22"/>
        </w:rPr>
      </w:pPr>
      <w:bookmarkStart w:id="126" w:name="_Toc446079765"/>
      <w:bookmarkStart w:id="127" w:name="_Toc447179793"/>
      <w:r w:rsidRPr="00517145">
        <w:rPr>
          <w:rFonts w:ascii="Times New Roman" w:hAnsi="Times New Roman" w:cs="Times New Roman"/>
          <w:sz w:val="22"/>
          <w:szCs w:val="22"/>
        </w:rPr>
        <w:t>Regression Model</w:t>
      </w:r>
      <w:bookmarkEnd w:id="126"/>
      <w:bookmarkEnd w:id="127"/>
    </w:p>
    <w:p w:rsidR="00517145" w:rsidRDefault="00517145" w:rsidP="00517145"/>
    <w:p w:rsidR="00517145" w:rsidRPr="008227A8" w:rsidRDefault="00517145" w:rsidP="00517145">
      <w:pPr>
        <w:spacing w:line="276" w:lineRule="auto"/>
        <w:ind w:firstLine="360"/>
        <w:rPr>
          <w:color w:val="000000" w:themeColor="text1"/>
        </w:rPr>
      </w:pPr>
      <w:r w:rsidRPr="008227A8">
        <w:rPr>
          <w:color w:val="000000" w:themeColor="text1"/>
        </w:rPr>
        <w:t>A modified model was used for SDG&amp;E customers. To better capture the greatly shifting load profiles across months of a few relatively large customers, an interaction term between month and hour was added. To address the potential for overfitting with this near doubling of the total number of estimated coefficients, the interaction terms between specific days of the week (Monday and Friday) and hour were removed.</w:t>
      </w:r>
    </w:p>
    <w:p w:rsidR="00517145" w:rsidRDefault="00517145" w:rsidP="00517145"/>
    <w:p w:rsidR="00517145" w:rsidRDefault="00517145" w:rsidP="00517145">
      <w:pPr>
        <w:jc w:val="center"/>
      </w:pPr>
      <w:r w:rsidRPr="00C810F3">
        <w:rPr>
          <w:position w:val="-124"/>
        </w:rPr>
        <w:object w:dxaOrig="7580" w:dyaOrig="2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pt;height:126.75pt" o:ole="">
            <v:imagedata r:id="rId13" o:title=""/>
          </v:shape>
          <o:OLEObject Type="Embed" ProgID="Equation.3" ShapeID="_x0000_i1025" DrawAspect="Content" ObjectID="_1520921705" r:id="rId14"/>
        </w:object>
      </w:r>
    </w:p>
    <w:p w:rsidR="00517145" w:rsidRPr="00517145" w:rsidRDefault="00517145" w:rsidP="00517145">
      <w:pPr>
        <w:pStyle w:val="TableCaption"/>
        <w:keepLines/>
        <w:rPr>
          <w:sz w:val="22"/>
          <w:szCs w:val="22"/>
        </w:rPr>
      </w:pPr>
      <w:bookmarkStart w:id="128" w:name="_Toc446082399"/>
      <w:r w:rsidRPr="00517145">
        <w:rPr>
          <w:sz w:val="22"/>
          <w:szCs w:val="22"/>
        </w:rPr>
        <w:lastRenderedPageBreak/>
        <w:t xml:space="preserve">Table 4.1: Descriptions of Variables included in the </w:t>
      </w:r>
      <w:r w:rsidRPr="00517145">
        <w:rPr>
          <w:i/>
          <w:sz w:val="22"/>
          <w:szCs w:val="22"/>
        </w:rPr>
        <w:t>Ex-post</w:t>
      </w:r>
      <w:r w:rsidRPr="00517145">
        <w:rPr>
          <w:sz w:val="22"/>
          <w:szCs w:val="22"/>
        </w:rPr>
        <w:t xml:space="preserve"> Regression Equation</w:t>
      </w:r>
      <w:bookmarkEnd w:id="12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6948"/>
      </w:tblGrid>
      <w:tr w:rsidR="00517145" w:rsidRPr="00517145" w:rsidTr="00517145">
        <w:trPr>
          <w:trHeight w:val="422"/>
          <w:jc w:val="center"/>
        </w:trPr>
        <w:tc>
          <w:tcPr>
            <w:tcW w:w="1908" w:type="dxa"/>
            <w:shd w:val="clear" w:color="auto" w:fill="002060"/>
            <w:vAlign w:val="center"/>
          </w:tcPr>
          <w:p w:rsidR="00517145" w:rsidRPr="00517145" w:rsidRDefault="00517145" w:rsidP="00C20677">
            <w:pPr>
              <w:keepNext/>
              <w:keepLines/>
              <w:jc w:val="center"/>
              <w:rPr>
                <w:b/>
                <w:color w:val="FFFFFF" w:themeColor="background1"/>
                <w:sz w:val="20"/>
                <w:szCs w:val="20"/>
              </w:rPr>
            </w:pPr>
            <w:r w:rsidRPr="00517145">
              <w:rPr>
                <w:b/>
                <w:color w:val="FFFFFF" w:themeColor="background1"/>
                <w:sz w:val="20"/>
                <w:szCs w:val="20"/>
              </w:rPr>
              <w:t xml:space="preserve">Variable Name </w:t>
            </w:r>
          </w:p>
        </w:tc>
        <w:tc>
          <w:tcPr>
            <w:tcW w:w="6948" w:type="dxa"/>
            <w:shd w:val="clear" w:color="auto" w:fill="002060"/>
            <w:vAlign w:val="center"/>
          </w:tcPr>
          <w:p w:rsidR="00517145" w:rsidRPr="00517145" w:rsidRDefault="00517145" w:rsidP="00517145">
            <w:pPr>
              <w:keepNext/>
              <w:keepLines/>
              <w:jc w:val="center"/>
              <w:rPr>
                <w:b/>
                <w:color w:val="FFFFFF" w:themeColor="background1"/>
                <w:sz w:val="20"/>
                <w:szCs w:val="20"/>
              </w:rPr>
            </w:pPr>
            <w:r w:rsidRPr="00517145">
              <w:rPr>
                <w:b/>
                <w:color w:val="FFFFFF" w:themeColor="background1"/>
                <w:sz w:val="20"/>
                <w:szCs w:val="20"/>
              </w:rPr>
              <w:t>Variable Description</w:t>
            </w:r>
          </w:p>
        </w:tc>
      </w:tr>
      <w:tr w:rsidR="00517145" w:rsidTr="00C20677">
        <w:trPr>
          <w:trHeight w:val="331"/>
          <w:jc w:val="center"/>
        </w:trPr>
        <w:tc>
          <w:tcPr>
            <w:tcW w:w="1908" w:type="dxa"/>
            <w:shd w:val="clear" w:color="auto" w:fill="auto"/>
            <w:vAlign w:val="center"/>
          </w:tcPr>
          <w:p w:rsidR="00517145" w:rsidRPr="00517145" w:rsidRDefault="00517145" w:rsidP="00C20677">
            <w:pPr>
              <w:keepNext/>
              <w:keepLines/>
              <w:jc w:val="center"/>
              <w:rPr>
                <w:sz w:val="20"/>
                <w:szCs w:val="20"/>
              </w:rPr>
            </w:pPr>
            <w:r w:rsidRPr="00517145">
              <w:rPr>
                <w:i/>
                <w:sz w:val="20"/>
                <w:szCs w:val="20"/>
              </w:rPr>
              <w:t>Q</w:t>
            </w:r>
            <w:r w:rsidRPr="00517145">
              <w:rPr>
                <w:i/>
                <w:sz w:val="20"/>
                <w:szCs w:val="20"/>
                <w:vertAlign w:val="subscript"/>
              </w:rPr>
              <w:t>t</w:t>
            </w:r>
          </w:p>
        </w:tc>
        <w:tc>
          <w:tcPr>
            <w:tcW w:w="6948" w:type="dxa"/>
            <w:shd w:val="clear" w:color="auto" w:fill="auto"/>
            <w:vAlign w:val="center"/>
          </w:tcPr>
          <w:p w:rsidR="00517145" w:rsidRPr="00517145" w:rsidRDefault="00517145" w:rsidP="00C20677">
            <w:pPr>
              <w:keepNext/>
              <w:keepLines/>
              <w:rPr>
                <w:sz w:val="20"/>
                <w:szCs w:val="20"/>
              </w:rPr>
            </w:pPr>
            <w:r w:rsidRPr="00517145">
              <w:rPr>
                <w:sz w:val="20"/>
                <w:szCs w:val="20"/>
              </w:rPr>
              <w:t xml:space="preserve">the demand in hour </w:t>
            </w:r>
            <w:r w:rsidRPr="00517145">
              <w:rPr>
                <w:i/>
                <w:sz w:val="20"/>
                <w:szCs w:val="20"/>
              </w:rPr>
              <w:t>t</w:t>
            </w:r>
            <w:r w:rsidRPr="00517145">
              <w:rPr>
                <w:sz w:val="20"/>
                <w:szCs w:val="20"/>
              </w:rPr>
              <w:t xml:space="preserve"> for a BIP customer </w:t>
            </w:r>
          </w:p>
        </w:tc>
      </w:tr>
      <w:tr w:rsidR="00517145" w:rsidTr="00C20677">
        <w:trPr>
          <w:trHeight w:val="331"/>
          <w:jc w:val="center"/>
        </w:trPr>
        <w:tc>
          <w:tcPr>
            <w:tcW w:w="1908" w:type="dxa"/>
            <w:shd w:val="clear" w:color="auto" w:fill="auto"/>
            <w:vAlign w:val="center"/>
          </w:tcPr>
          <w:p w:rsidR="00517145" w:rsidRPr="00517145" w:rsidRDefault="00517145" w:rsidP="00C20677">
            <w:pPr>
              <w:keepNext/>
              <w:keepLines/>
              <w:jc w:val="center"/>
              <w:rPr>
                <w:sz w:val="20"/>
                <w:szCs w:val="20"/>
              </w:rPr>
            </w:pPr>
            <w:r w:rsidRPr="00517145">
              <w:rPr>
                <w:sz w:val="20"/>
                <w:szCs w:val="20"/>
              </w:rPr>
              <w:t xml:space="preserve">The various </w:t>
            </w:r>
            <w:r w:rsidRPr="00517145">
              <w:rPr>
                <w:i/>
                <w:sz w:val="20"/>
                <w:szCs w:val="20"/>
              </w:rPr>
              <w:t>b</w:t>
            </w:r>
            <w:r w:rsidRPr="00517145">
              <w:rPr>
                <w:sz w:val="20"/>
                <w:szCs w:val="20"/>
              </w:rPr>
              <w:t xml:space="preserve">’s </w:t>
            </w:r>
          </w:p>
        </w:tc>
        <w:tc>
          <w:tcPr>
            <w:tcW w:w="6948" w:type="dxa"/>
            <w:shd w:val="clear" w:color="auto" w:fill="auto"/>
            <w:vAlign w:val="center"/>
          </w:tcPr>
          <w:p w:rsidR="00517145" w:rsidRPr="00517145" w:rsidRDefault="00517145" w:rsidP="00C20677">
            <w:pPr>
              <w:keepNext/>
              <w:keepLines/>
              <w:rPr>
                <w:sz w:val="20"/>
                <w:szCs w:val="20"/>
              </w:rPr>
            </w:pPr>
            <w:r w:rsidRPr="00517145">
              <w:rPr>
                <w:sz w:val="20"/>
                <w:szCs w:val="20"/>
              </w:rPr>
              <w:t>the estimated parameters</w:t>
            </w:r>
          </w:p>
        </w:tc>
      </w:tr>
      <w:tr w:rsidR="00517145" w:rsidTr="00C20677">
        <w:trPr>
          <w:trHeight w:val="331"/>
          <w:jc w:val="center"/>
        </w:trPr>
        <w:tc>
          <w:tcPr>
            <w:tcW w:w="1908" w:type="dxa"/>
            <w:shd w:val="clear" w:color="auto" w:fill="auto"/>
            <w:vAlign w:val="center"/>
          </w:tcPr>
          <w:p w:rsidR="00517145" w:rsidRPr="00517145" w:rsidRDefault="00517145" w:rsidP="00C20677">
            <w:pPr>
              <w:keepNext/>
              <w:keepLines/>
              <w:jc w:val="center"/>
              <w:rPr>
                <w:sz w:val="20"/>
                <w:szCs w:val="20"/>
              </w:rPr>
            </w:pPr>
            <w:r w:rsidRPr="00517145">
              <w:rPr>
                <w:i/>
                <w:sz w:val="20"/>
                <w:szCs w:val="20"/>
              </w:rPr>
              <w:t>h</w:t>
            </w:r>
            <w:r w:rsidRPr="00517145">
              <w:rPr>
                <w:i/>
                <w:sz w:val="20"/>
                <w:szCs w:val="20"/>
                <w:vertAlign w:val="subscript"/>
              </w:rPr>
              <w:t>i,t</w:t>
            </w:r>
          </w:p>
        </w:tc>
        <w:tc>
          <w:tcPr>
            <w:tcW w:w="6948" w:type="dxa"/>
            <w:shd w:val="clear" w:color="auto" w:fill="auto"/>
            <w:vAlign w:val="center"/>
          </w:tcPr>
          <w:p w:rsidR="00517145" w:rsidRPr="00517145" w:rsidRDefault="00517145" w:rsidP="00C20677">
            <w:pPr>
              <w:keepNext/>
              <w:keepLines/>
              <w:rPr>
                <w:sz w:val="20"/>
                <w:szCs w:val="20"/>
              </w:rPr>
            </w:pPr>
            <w:r w:rsidRPr="00517145">
              <w:rPr>
                <w:sz w:val="20"/>
                <w:szCs w:val="20"/>
              </w:rPr>
              <w:t xml:space="preserve">an indicator variable for hour </w:t>
            </w:r>
            <w:r w:rsidRPr="00517145">
              <w:rPr>
                <w:i/>
                <w:sz w:val="20"/>
                <w:szCs w:val="20"/>
              </w:rPr>
              <w:t>i</w:t>
            </w:r>
            <w:r w:rsidRPr="00517145">
              <w:rPr>
                <w:sz w:val="20"/>
                <w:szCs w:val="20"/>
              </w:rPr>
              <w:t xml:space="preserve">, equal to one when </w:t>
            </w:r>
            <w:r w:rsidRPr="00517145">
              <w:rPr>
                <w:i/>
                <w:sz w:val="20"/>
                <w:szCs w:val="20"/>
              </w:rPr>
              <w:t>t</w:t>
            </w:r>
            <w:r w:rsidRPr="00517145">
              <w:rPr>
                <w:sz w:val="20"/>
                <w:szCs w:val="20"/>
              </w:rPr>
              <w:t xml:space="preserve"> corresponds to hour </w:t>
            </w:r>
            <w:r w:rsidRPr="00517145">
              <w:rPr>
                <w:i/>
                <w:sz w:val="20"/>
                <w:szCs w:val="20"/>
              </w:rPr>
              <w:t>i</w:t>
            </w:r>
            <w:r w:rsidRPr="00517145">
              <w:rPr>
                <w:sz w:val="20"/>
                <w:szCs w:val="20"/>
              </w:rPr>
              <w:t xml:space="preserve"> of a given day</w:t>
            </w:r>
          </w:p>
        </w:tc>
      </w:tr>
      <w:tr w:rsidR="00517145" w:rsidTr="00C20677">
        <w:trPr>
          <w:trHeight w:val="331"/>
          <w:jc w:val="center"/>
        </w:trPr>
        <w:tc>
          <w:tcPr>
            <w:tcW w:w="1908" w:type="dxa"/>
            <w:shd w:val="clear" w:color="auto" w:fill="auto"/>
            <w:vAlign w:val="center"/>
          </w:tcPr>
          <w:p w:rsidR="00517145" w:rsidRPr="00517145" w:rsidRDefault="00517145" w:rsidP="00C20677">
            <w:pPr>
              <w:keepNext/>
              <w:keepLines/>
              <w:jc w:val="center"/>
              <w:rPr>
                <w:sz w:val="20"/>
                <w:szCs w:val="20"/>
              </w:rPr>
            </w:pPr>
            <w:r w:rsidRPr="00517145">
              <w:rPr>
                <w:i/>
                <w:sz w:val="20"/>
                <w:szCs w:val="20"/>
              </w:rPr>
              <w:t>BIP</w:t>
            </w:r>
            <w:r w:rsidRPr="00517145">
              <w:rPr>
                <w:i/>
                <w:sz w:val="20"/>
                <w:szCs w:val="20"/>
                <w:vertAlign w:val="subscript"/>
              </w:rPr>
              <w:t>t</w:t>
            </w:r>
          </w:p>
        </w:tc>
        <w:tc>
          <w:tcPr>
            <w:tcW w:w="6948" w:type="dxa"/>
            <w:shd w:val="clear" w:color="auto" w:fill="auto"/>
            <w:vAlign w:val="center"/>
          </w:tcPr>
          <w:p w:rsidR="00517145" w:rsidRPr="00517145" w:rsidRDefault="00517145" w:rsidP="00C20677">
            <w:pPr>
              <w:keepNext/>
              <w:keepLines/>
              <w:rPr>
                <w:sz w:val="20"/>
                <w:szCs w:val="20"/>
              </w:rPr>
            </w:pPr>
            <w:r w:rsidRPr="00517145">
              <w:rPr>
                <w:sz w:val="20"/>
                <w:szCs w:val="20"/>
              </w:rPr>
              <w:t>an indicator variable for program event days</w:t>
            </w:r>
          </w:p>
        </w:tc>
      </w:tr>
      <w:tr w:rsidR="00517145" w:rsidTr="00C20677">
        <w:trPr>
          <w:trHeight w:val="331"/>
          <w:jc w:val="center"/>
        </w:trPr>
        <w:tc>
          <w:tcPr>
            <w:tcW w:w="1908" w:type="dxa"/>
            <w:shd w:val="clear" w:color="auto" w:fill="auto"/>
            <w:vAlign w:val="center"/>
          </w:tcPr>
          <w:p w:rsidR="00517145" w:rsidRPr="00517145" w:rsidRDefault="00517145" w:rsidP="00C20677">
            <w:pPr>
              <w:keepNext/>
              <w:keepLines/>
              <w:jc w:val="center"/>
              <w:rPr>
                <w:i/>
                <w:sz w:val="20"/>
                <w:szCs w:val="20"/>
              </w:rPr>
            </w:pPr>
            <w:r w:rsidRPr="00517145">
              <w:rPr>
                <w:i/>
                <w:sz w:val="20"/>
                <w:szCs w:val="20"/>
              </w:rPr>
              <w:t>E</w:t>
            </w:r>
          </w:p>
        </w:tc>
        <w:tc>
          <w:tcPr>
            <w:tcW w:w="6948" w:type="dxa"/>
            <w:shd w:val="clear" w:color="auto" w:fill="auto"/>
            <w:vAlign w:val="center"/>
          </w:tcPr>
          <w:p w:rsidR="00517145" w:rsidRPr="00517145" w:rsidRDefault="00517145" w:rsidP="00C20677">
            <w:pPr>
              <w:keepNext/>
              <w:keepLines/>
              <w:rPr>
                <w:sz w:val="20"/>
                <w:szCs w:val="20"/>
              </w:rPr>
            </w:pPr>
            <w:r w:rsidRPr="00517145">
              <w:rPr>
                <w:sz w:val="20"/>
                <w:szCs w:val="20"/>
              </w:rPr>
              <w:t xml:space="preserve">the number of program event days that occurred during the program year </w:t>
            </w:r>
          </w:p>
        </w:tc>
      </w:tr>
      <w:tr w:rsidR="00517145" w:rsidTr="00C20677">
        <w:trPr>
          <w:trHeight w:val="331"/>
          <w:jc w:val="center"/>
        </w:trPr>
        <w:tc>
          <w:tcPr>
            <w:tcW w:w="1908" w:type="dxa"/>
            <w:shd w:val="clear" w:color="auto" w:fill="auto"/>
            <w:vAlign w:val="center"/>
          </w:tcPr>
          <w:p w:rsidR="00517145" w:rsidRPr="00517145" w:rsidRDefault="00517145" w:rsidP="00C20677">
            <w:pPr>
              <w:keepNext/>
              <w:keepLines/>
              <w:jc w:val="center"/>
              <w:rPr>
                <w:i/>
                <w:sz w:val="20"/>
                <w:szCs w:val="20"/>
              </w:rPr>
            </w:pPr>
            <w:r w:rsidRPr="00517145">
              <w:rPr>
                <w:position w:val="-14"/>
                <w:sz w:val="20"/>
                <w:szCs w:val="20"/>
              </w:rPr>
              <w:object w:dxaOrig="1180" w:dyaOrig="400">
                <v:shape id="_x0000_i1026" type="#_x0000_t75" style="width:58.5pt;height:19.5pt" o:ole="">
                  <v:imagedata r:id="rId15" o:title=""/>
                </v:shape>
                <o:OLEObject Type="Embed" ProgID="Equation.3" ShapeID="_x0000_i1026" DrawAspect="Content" ObjectID="_1520921706" r:id="rId16"/>
              </w:object>
            </w:r>
          </w:p>
        </w:tc>
        <w:tc>
          <w:tcPr>
            <w:tcW w:w="6948" w:type="dxa"/>
            <w:shd w:val="clear" w:color="auto" w:fill="auto"/>
            <w:vAlign w:val="center"/>
          </w:tcPr>
          <w:p w:rsidR="00517145" w:rsidRPr="00517145" w:rsidRDefault="00517145" w:rsidP="00C20677">
            <w:pPr>
              <w:keepNext/>
              <w:keepLines/>
              <w:rPr>
                <w:sz w:val="20"/>
                <w:szCs w:val="20"/>
              </w:rPr>
            </w:pPr>
            <w:r w:rsidRPr="00517145">
              <w:rPr>
                <w:sz w:val="20"/>
                <w:szCs w:val="20"/>
              </w:rPr>
              <w:t xml:space="preserve">an indicator variable for event day </w:t>
            </w:r>
            <w:r w:rsidRPr="00517145">
              <w:rPr>
                <w:i/>
                <w:sz w:val="20"/>
                <w:szCs w:val="20"/>
              </w:rPr>
              <w:t>DR</w:t>
            </w:r>
            <w:r w:rsidRPr="00517145">
              <w:rPr>
                <w:sz w:val="20"/>
                <w:szCs w:val="20"/>
              </w:rPr>
              <w:t xml:space="preserve"> of other demand response programs in which the customer is enrolled (e.g. </w:t>
            </w:r>
            <w:r w:rsidRPr="00517145">
              <w:rPr>
                <w:i/>
                <w:sz w:val="20"/>
                <w:szCs w:val="20"/>
              </w:rPr>
              <w:t>DR</w:t>
            </w:r>
            <w:r w:rsidRPr="00517145">
              <w:rPr>
                <w:sz w:val="20"/>
                <w:szCs w:val="20"/>
              </w:rPr>
              <w:t xml:space="preserve"> = DBP Event 1, DBP Event 2, ...)</w:t>
            </w:r>
          </w:p>
        </w:tc>
      </w:tr>
      <w:tr w:rsidR="00517145" w:rsidTr="00C20677">
        <w:trPr>
          <w:trHeight w:val="331"/>
          <w:jc w:val="center"/>
        </w:trPr>
        <w:tc>
          <w:tcPr>
            <w:tcW w:w="1908" w:type="dxa"/>
            <w:shd w:val="clear" w:color="auto" w:fill="auto"/>
            <w:vAlign w:val="center"/>
          </w:tcPr>
          <w:p w:rsidR="00517145" w:rsidRPr="00517145" w:rsidRDefault="00517145" w:rsidP="00C20677">
            <w:pPr>
              <w:keepNext/>
              <w:keepLines/>
              <w:jc w:val="center"/>
              <w:rPr>
                <w:sz w:val="20"/>
                <w:szCs w:val="20"/>
              </w:rPr>
            </w:pPr>
            <w:r w:rsidRPr="00517145">
              <w:rPr>
                <w:i/>
                <w:sz w:val="20"/>
                <w:szCs w:val="20"/>
              </w:rPr>
              <w:t>Weather</w:t>
            </w:r>
            <w:r w:rsidRPr="00517145">
              <w:rPr>
                <w:i/>
                <w:sz w:val="20"/>
                <w:szCs w:val="20"/>
                <w:vertAlign w:val="subscript"/>
              </w:rPr>
              <w:t>t</w:t>
            </w:r>
          </w:p>
        </w:tc>
        <w:tc>
          <w:tcPr>
            <w:tcW w:w="6948" w:type="dxa"/>
            <w:shd w:val="clear" w:color="auto" w:fill="auto"/>
            <w:vAlign w:val="center"/>
          </w:tcPr>
          <w:p w:rsidR="00517145" w:rsidRPr="00517145" w:rsidRDefault="00517145" w:rsidP="00C20677">
            <w:pPr>
              <w:keepNext/>
              <w:keepLines/>
              <w:rPr>
                <w:sz w:val="20"/>
                <w:szCs w:val="20"/>
              </w:rPr>
            </w:pPr>
            <w:r w:rsidRPr="00517145">
              <w:rPr>
                <w:sz w:val="20"/>
                <w:szCs w:val="20"/>
              </w:rPr>
              <w:t xml:space="preserve">the weather variables selected using our model screening process </w:t>
            </w:r>
          </w:p>
        </w:tc>
      </w:tr>
      <w:tr w:rsidR="00517145" w:rsidTr="00C20677">
        <w:trPr>
          <w:trHeight w:val="331"/>
          <w:jc w:val="center"/>
        </w:trPr>
        <w:tc>
          <w:tcPr>
            <w:tcW w:w="1908" w:type="dxa"/>
            <w:shd w:val="clear" w:color="auto" w:fill="auto"/>
            <w:vAlign w:val="center"/>
          </w:tcPr>
          <w:p w:rsidR="00517145" w:rsidRPr="00517145" w:rsidRDefault="00517145" w:rsidP="00C20677">
            <w:pPr>
              <w:keepNext/>
              <w:keepLines/>
              <w:jc w:val="center"/>
              <w:rPr>
                <w:i/>
                <w:sz w:val="20"/>
                <w:szCs w:val="20"/>
              </w:rPr>
            </w:pPr>
            <w:r w:rsidRPr="00517145">
              <w:rPr>
                <w:i/>
                <w:sz w:val="20"/>
                <w:szCs w:val="20"/>
              </w:rPr>
              <w:t>MornLoad</w:t>
            </w:r>
            <w:r w:rsidRPr="00517145">
              <w:rPr>
                <w:i/>
                <w:sz w:val="20"/>
                <w:szCs w:val="20"/>
                <w:vertAlign w:val="subscript"/>
              </w:rPr>
              <w:t>t</w:t>
            </w:r>
          </w:p>
        </w:tc>
        <w:tc>
          <w:tcPr>
            <w:tcW w:w="6948" w:type="dxa"/>
            <w:shd w:val="clear" w:color="auto" w:fill="auto"/>
            <w:vAlign w:val="center"/>
          </w:tcPr>
          <w:p w:rsidR="00517145" w:rsidRPr="00517145" w:rsidRDefault="00517145" w:rsidP="00C20677">
            <w:pPr>
              <w:keepNext/>
              <w:keepLines/>
              <w:rPr>
                <w:sz w:val="20"/>
                <w:szCs w:val="20"/>
              </w:rPr>
            </w:pPr>
            <w:r w:rsidRPr="00517145">
              <w:rPr>
                <w:sz w:val="20"/>
                <w:szCs w:val="20"/>
              </w:rPr>
              <w:t>a variable equal to the average of the day’s load in hours 1 through 10</w:t>
            </w:r>
          </w:p>
        </w:tc>
      </w:tr>
      <w:tr w:rsidR="00517145" w:rsidTr="00C20677">
        <w:trPr>
          <w:trHeight w:val="331"/>
          <w:jc w:val="center"/>
        </w:trPr>
        <w:tc>
          <w:tcPr>
            <w:tcW w:w="1908" w:type="dxa"/>
            <w:shd w:val="clear" w:color="auto" w:fill="auto"/>
            <w:vAlign w:val="center"/>
          </w:tcPr>
          <w:p w:rsidR="00517145" w:rsidRPr="00517145" w:rsidRDefault="00517145" w:rsidP="00C20677">
            <w:pPr>
              <w:keepNext/>
              <w:keepLines/>
              <w:jc w:val="center"/>
              <w:rPr>
                <w:i/>
                <w:sz w:val="20"/>
                <w:szCs w:val="20"/>
              </w:rPr>
            </w:pPr>
            <w:r w:rsidRPr="00517145">
              <w:rPr>
                <w:i/>
                <w:sz w:val="20"/>
                <w:szCs w:val="20"/>
              </w:rPr>
              <w:t>MornLoadAlt</w:t>
            </w:r>
            <w:r w:rsidRPr="00517145">
              <w:rPr>
                <w:i/>
                <w:sz w:val="20"/>
                <w:szCs w:val="20"/>
                <w:vertAlign w:val="subscript"/>
              </w:rPr>
              <w:t>t</w:t>
            </w:r>
          </w:p>
        </w:tc>
        <w:tc>
          <w:tcPr>
            <w:tcW w:w="6948" w:type="dxa"/>
            <w:shd w:val="clear" w:color="auto" w:fill="auto"/>
            <w:vAlign w:val="center"/>
          </w:tcPr>
          <w:p w:rsidR="00517145" w:rsidRPr="00517145" w:rsidRDefault="00517145" w:rsidP="00C20677">
            <w:pPr>
              <w:keepNext/>
              <w:keepLines/>
              <w:rPr>
                <w:sz w:val="20"/>
                <w:szCs w:val="20"/>
              </w:rPr>
            </w:pPr>
            <w:r w:rsidRPr="00517145">
              <w:rPr>
                <w:sz w:val="20"/>
                <w:szCs w:val="20"/>
              </w:rPr>
              <w:t>a variable equal to the average of the day’s load in hours 9 through 12</w:t>
            </w:r>
          </w:p>
        </w:tc>
      </w:tr>
      <w:tr w:rsidR="00517145" w:rsidTr="00C20677">
        <w:trPr>
          <w:trHeight w:val="331"/>
          <w:jc w:val="center"/>
        </w:trPr>
        <w:tc>
          <w:tcPr>
            <w:tcW w:w="1908" w:type="dxa"/>
            <w:shd w:val="clear" w:color="auto" w:fill="auto"/>
            <w:vAlign w:val="center"/>
          </w:tcPr>
          <w:p w:rsidR="00517145" w:rsidRPr="00517145" w:rsidRDefault="00517145" w:rsidP="00C20677">
            <w:pPr>
              <w:keepNext/>
              <w:keepLines/>
              <w:jc w:val="center"/>
              <w:rPr>
                <w:sz w:val="20"/>
                <w:szCs w:val="20"/>
              </w:rPr>
            </w:pPr>
            <w:r w:rsidRPr="00517145">
              <w:rPr>
                <w:i/>
                <w:sz w:val="20"/>
                <w:szCs w:val="20"/>
              </w:rPr>
              <w:t>DTYPE</w:t>
            </w:r>
            <w:r w:rsidRPr="00517145">
              <w:rPr>
                <w:i/>
                <w:sz w:val="20"/>
                <w:szCs w:val="20"/>
                <w:vertAlign w:val="subscript"/>
              </w:rPr>
              <w:t>j,t</w:t>
            </w:r>
          </w:p>
        </w:tc>
        <w:tc>
          <w:tcPr>
            <w:tcW w:w="6948" w:type="dxa"/>
            <w:shd w:val="clear" w:color="auto" w:fill="auto"/>
            <w:vAlign w:val="center"/>
          </w:tcPr>
          <w:p w:rsidR="00517145" w:rsidRPr="00517145" w:rsidRDefault="00517145" w:rsidP="00C20677">
            <w:pPr>
              <w:keepNext/>
              <w:keepLines/>
              <w:rPr>
                <w:sz w:val="20"/>
                <w:szCs w:val="20"/>
              </w:rPr>
            </w:pPr>
            <w:r w:rsidRPr="00517145">
              <w:rPr>
                <w:sz w:val="20"/>
                <w:szCs w:val="20"/>
              </w:rPr>
              <w:t>a series of indicator variables for each day of the week</w:t>
            </w:r>
          </w:p>
        </w:tc>
      </w:tr>
      <w:tr w:rsidR="00517145" w:rsidTr="00C20677">
        <w:trPr>
          <w:trHeight w:val="331"/>
          <w:jc w:val="center"/>
        </w:trPr>
        <w:tc>
          <w:tcPr>
            <w:tcW w:w="1908" w:type="dxa"/>
            <w:shd w:val="clear" w:color="auto" w:fill="auto"/>
            <w:vAlign w:val="center"/>
          </w:tcPr>
          <w:p w:rsidR="00517145" w:rsidRPr="00517145" w:rsidRDefault="00517145" w:rsidP="00C20677">
            <w:pPr>
              <w:keepNext/>
              <w:keepLines/>
              <w:jc w:val="center"/>
              <w:rPr>
                <w:i/>
                <w:sz w:val="20"/>
                <w:szCs w:val="20"/>
              </w:rPr>
            </w:pPr>
            <w:r w:rsidRPr="00517145">
              <w:rPr>
                <w:i/>
                <w:sz w:val="20"/>
                <w:szCs w:val="20"/>
              </w:rPr>
              <w:t>MON</w:t>
            </w:r>
            <w:r w:rsidRPr="00517145">
              <w:rPr>
                <w:i/>
                <w:sz w:val="20"/>
                <w:szCs w:val="20"/>
                <w:vertAlign w:val="subscript"/>
              </w:rPr>
              <w:t>t</w:t>
            </w:r>
            <w:r w:rsidRPr="00517145">
              <w:rPr>
                <w:i/>
                <w:sz w:val="20"/>
                <w:szCs w:val="20"/>
              </w:rPr>
              <w:t>, FRI</w:t>
            </w:r>
            <w:r w:rsidRPr="00517145">
              <w:rPr>
                <w:i/>
                <w:sz w:val="20"/>
                <w:szCs w:val="20"/>
                <w:vertAlign w:val="subscript"/>
              </w:rPr>
              <w:t>t</w:t>
            </w:r>
            <w:r w:rsidRPr="00517145">
              <w:rPr>
                <w:sz w:val="20"/>
                <w:szCs w:val="20"/>
              </w:rPr>
              <w:t>,</w:t>
            </w:r>
          </w:p>
        </w:tc>
        <w:tc>
          <w:tcPr>
            <w:tcW w:w="6948" w:type="dxa"/>
            <w:shd w:val="clear" w:color="auto" w:fill="auto"/>
            <w:vAlign w:val="center"/>
          </w:tcPr>
          <w:p w:rsidR="00517145" w:rsidRPr="00517145" w:rsidRDefault="00517145" w:rsidP="00C20677">
            <w:pPr>
              <w:keepNext/>
              <w:keepLines/>
              <w:rPr>
                <w:sz w:val="20"/>
                <w:szCs w:val="20"/>
              </w:rPr>
            </w:pPr>
            <w:r w:rsidRPr="00517145">
              <w:rPr>
                <w:sz w:val="20"/>
                <w:szCs w:val="20"/>
              </w:rPr>
              <w:t>indicator variables for Monday and Friday</w:t>
            </w:r>
          </w:p>
        </w:tc>
      </w:tr>
      <w:tr w:rsidR="00517145" w:rsidTr="00C20677">
        <w:trPr>
          <w:trHeight w:val="331"/>
          <w:jc w:val="center"/>
        </w:trPr>
        <w:tc>
          <w:tcPr>
            <w:tcW w:w="1908" w:type="dxa"/>
            <w:shd w:val="clear" w:color="auto" w:fill="auto"/>
            <w:vAlign w:val="center"/>
          </w:tcPr>
          <w:p w:rsidR="00517145" w:rsidRPr="00517145" w:rsidRDefault="00517145" w:rsidP="00C20677">
            <w:pPr>
              <w:keepNext/>
              <w:keepLines/>
              <w:jc w:val="center"/>
              <w:rPr>
                <w:sz w:val="20"/>
                <w:szCs w:val="20"/>
              </w:rPr>
            </w:pPr>
            <w:r w:rsidRPr="00517145">
              <w:rPr>
                <w:i/>
                <w:sz w:val="20"/>
                <w:szCs w:val="20"/>
              </w:rPr>
              <w:t>MONTH</w:t>
            </w:r>
            <w:r w:rsidRPr="00517145">
              <w:rPr>
                <w:i/>
                <w:sz w:val="20"/>
                <w:szCs w:val="20"/>
                <w:vertAlign w:val="subscript"/>
              </w:rPr>
              <w:t>j,t</w:t>
            </w:r>
          </w:p>
        </w:tc>
        <w:tc>
          <w:tcPr>
            <w:tcW w:w="6948" w:type="dxa"/>
            <w:shd w:val="clear" w:color="auto" w:fill="auto"/>
            <w:vAlign w:val="center"/>
          </w:tcPr>
          <w:p w:rsidR="00517145" w:rsidRPr="00517145" w:rsidRDefault="00517145" w:rsidP="00C20677">
            <w:pPr>
              <w:keepNext/>
              <w:keepLines/>
              <w:rPr>
                <w:sz w:val="20"/>
                <w:szCs w:val="20"/>
              </w:rPr>
            </w:pPr>
            <w:r w:rsidRPr="00517145">
              <w:rPr>
                <w:sz w:val="20"/>
                <w:szCs w:val="20"/>
              </w:rPr>
              <w:t xml:space="preserve">a series of indicator variables for each month </w:t>
            </w:r>
          </w:p>
        </w:tc>
      </w:tr>
      <w:tr w:rsidR="00517145" w:rsidTr="00C20677">
        <w:trPr>
          <w:trHeight w:val="331"/>
          <w:jc w:val="center"/>
        </w:trPr>
        <w:tc>
          <w:tcPr>
            <w:tcW w:w="1908" w:type="dxa"/>
            <w:shd w:val="clear" w:color="auto" w:fill="auto"/>
            <w:vAlign w:val="center"/>
          </w:tcPr>
          <w:p w:rsidR="00517145" w:rsidRPr="00517145" w:rsidRDefault="00517145" w:rsidP="00C20677">
            <w:pPr>
              <w:keepNext/>
              <w:keepLines/>
              <w:jc w:val="center"/>
              <w:rPr>
                <w:i/>
                <w:sz w:val="20"/>
                <w:szCs w:val="20"/>
              </w:rPr>
            </w:pPr>
            <w:r w:rsidRPr="00517145">
              <w:rPr>
                <w:i/>
                <w:sz w:val="20"/>
                <w:szCs w:val="20"/>
              </w:rPr>
              <w:t>SUMMER</w:t>
            </w:r>
            <w:r w:rsidRPr="00517145">
              <w:rPr>
                <w:i/>
                <w:sz w:val="20"/>
                <w:szCs w:val="20"/>
                <w:vertAlign w:val="subscript"/>
              </w:rPr>
              <w:t>t</w:t>
            </w:r>
          </w:p>
        </w:tc>
        <w:tc>
          <w:tcPr>
            <w:tcW w:w="6948" w:type="dxa"/>
            <w:shd w:val="clear" w:color="auto" w:fill="auto"/>
            <w:vAlign w:val="center"/>
          </w:tcPr>
          <w:p w:rsidR="00517145" w:rsidRPr="00517145" w:rsidRDefault="00517145" w:rsidP="00C20677">
            <w:pPr>
              <w:keepNext/>
              <w:keepLines/>
              <w:rPr>
                <w:sz w:val="20"/>
                <w:szCs w:val="20"/>
              </w:rPr>
            </w:pPr>
            <w:r w:rsidRPr="00517145">
              <w:rPr>
                <w:sz w:val="20"/>
                <w:szCs w:val="20"/>
              </w:rPr>
              <w:t>an indicator variable for the summer pricing season</w:t>
            </w:r>
            <w:r w:rsidRPr="00517145">
              <w:rPr>
                <w:rStyle w:val="FootnoteReference"/>
                <w:sz w:val="20"/>
                <w:szCs w:val="20"/>
              </w:rPr>
              <w:footnoteReference w:id="12"/>
            </w:r>
          </w:p>
        </w:tc>
      </w:tr>
      <w:tr w:rsidR="00517145" w:rsidTr="00C20677">
        <w:trPr>
          <w:trHeight w:val="331"/>
          <w:jc w:val="center"/>
        </w:trPr>
        <w:tc>
          <w:tcPr>
            <w:tcW w:w="1908" w:type="dxa"/>
            <w:shd w:val="clear" w:color="auto" w:fill="auto"/>
            <w:vAlign w:val="center"/>
          </w:tcPr>
          <w:p w:rsidR="00517145" w:rsidRPr="00517145" w:rsidRDefault="00517145" w:rsidP="00C20677">
            <w:pPr>
              <w:keepNext/>
              <w:keepLines/>
              <w:jc w:val="center"/>
              <w:rPr>
                <w:i/>
                <w:sz w:val="20"/>
                <w:szCs w:val="20"/>
              </w:rPr>
            </w:pPr>
            <w:r w:rsidRPr="00517145">
              <w:rPr>
                <w:i/>
                <w:sz w:val="20"/>
                <w:szCs w:val="20"/>
              </w:rPr>
              <w:t>e</w:t>
            </w:r>
            <w:r w:rsidRPr="00517145">
              <w:rPr>
                <w:i/>
                <w:sz w:val="20"/>
                <w:szCs w:val="20"/>
                <w:vertAlign w:val="subscript"/>
              </w:rPr>
              <w:t>t</w:t>
            </w:r>
          </w:p>
        </w:tc>
        <w:tc>
          <w:tcPr>
            <w:tcW w:w="6948" w:type="dxa"/>
            <w:shd w:val="clear" w:color="auto" w:fill="auto"/>
            <w:vAlign w:val="center"/>
          </w:tcPr>
          <w:p w:rsidR="00517145" w:rsidRPr="00517145" w:rsidRDefault="00517145" w:rsidP="00C20677">
            <w:pPr>
              <w:keepNext/>
              <w:keepLines/>
              <w:rPr>
                <w:sz w:val="20"/>
                <w:szCs w:val="20"/>
              </w:rPr>
            </w:pPr>
            <w:r w:rsidRPr="00517145">
              <w:rPr>
                <w:sz w:val="20"/>
                <w:szCs w:val="20"/>
              </w:rPr>
              <w:t>the error term</w:t>
            </w:r>
          </w:p>
        </w:tc>
      </w:tr>
    </w:tbl>
    <w:p w:rsidR="00517145" w:rsidRDefault="00517145" w:rsidP="00517145"/>
    <w:p w:rsidR="00517145" w:rsidRPr="008227A8" w:rsidRDefault="00517145" w:rsidP="00517145">
      <w:pPr>
        <w:spacing w:line="276" w:lineRule="auto"/>
        <w:ind w:firstLine="360"/>
        <w:rPr>
          <w:color w:val="000000" w:themeColor="text1"/>
        </w:rPr>
      </w:pPr>
      <w:r w:rsidRPr="008227A8">
        <w:rPr>
          <w:color w:val="000000" w:themeColor="text1"/>
        </w:rPr>
        <w:t xml:space="preserve">The </w:t>
      </w:r>
      <w:r w:rsidRPr="008227A8">
        <w:rPr>
          <w:i/>
          <w:color w:val="000000" w:themeColor="text1"/>
        </w:rPr>
        <w:t>OtherEvt</w:t>
      </w:r>
      <w:r w:rsidRPr="008227A8">
        <w:rPr>
          <w:color w:val="000000" w:themeColor="text1"/>
        </w:rPr>
        <w:t xml:space="preserve"> variables help the model explain load changes that occur on event days for programs in which the BIP customers are dually enrolled. (In the absence of these variables, any load reductions that occur on such days may be falsely attributed to other included variables, such as weather condition or day type variables.) The “morning load” variables are included in the same spirit as the day-of adjustment to the 10-in-10 baseline settlement method used in some DR programs (</w:t>
      </w:r>
      <w:r w:rsidRPr="008227A8">
        <w:rPr>
          <w:i/>
          <w:color w:val="000000" w:themeColor="text1"/>
        </w:rPr>
        <w:t>e.g.</w:t>
      </w:r>
      <w:r w:rsidRPr="008227A8">
        <w:rPr>
          <w:color w:val="000000" w:themeColor="text1"/>
        </w:rPr>
        <w:t xml:space="preserve">, Demand Bidding Program, or DBP). That is, those variables help adjust the reference loads (or the loads that would have been observed in the absence of an event) for factors that affect pre-event usage, but are not accounted for by the other included variables. </w:t>
      </w:r>
    </w:p>
    <w:p w:rsidR="00517145" w:rsidRPr="008227A8" w:rsidRDefault="00517145" w:rsidP="00517145">
      <w:pPr>
        <w:spacing w:line="276" w:lineRule="auto"/>
        <w:ind w:firstLine="360"/>
        <w:rPr>
          <w:color w:val="000000" w:themeColor="text1"/>
        </w:rPr>
      </w:pPr>
    </w:p>
    <w:p w:rsidR="00517145" w:rsidRPr="008227A8" w:rsidRDefault="00517145" w:rsidP="00517145">
      <w:pPr>
        <w:spacing w:line="276" w:lineRule="auto"/>
        <w:ind w:firstLine="360"/>
        <w:rPr>
          <w:color w:val="000000" w:themeColor="text1"/>
        </w:rPr>
      </w:pPr>
      <w:r w:rsidRPr="008227A8">
        <w:rPr>
          <w:color w:val="000000" w:themeColor="text1"/>
        </w:rPr>
        <w:t>The model allows for the hourly load profile to differ by: day of week, with separate profiles for Monday, Tuesday through Thursday, and Friday; and by pricing season (</w:t>
      </w:r>
      <w:r w:rsidRPr="008227A8">
        <w:rPr>
          <w:i/>
          <w:color w:val="000000" w:themeColor="text1"/>
        </w:rPr>
        <w:t>i.e.</w:t>
      </w:r>
      <w:r w:rsidRPr="008227A8">
        <w:rPr>
          <w:color w:val="000000" w:themeColor="text1"/>
        </w:rPr>
        <w:t>, summer versus winter), in order to account for potential customer load changes in response to seasonal changes in rates.</w:t>
      </w:r>
    </w:p>
    <w:p w:rsidR="00517145" w:rsidRPr="008227A8" w:rsidRDefault="00517145" w:rsidP="00517145">
      <w:pPr>
        <w:spacing w:line="276" w:lineRule="auto"/>
        <w:ind w:firstLine="360"/>
        <w:rPr>
          <w:color w:val="000000" w:themeColor="text1"/>
        </w:rPr>
      </w:pPr>
    </w:p>
    <w:p w:rsidR="00517145" w:rsidRPr="008227A8" w:rsidRDefault="00517145" w:rsidP="00517145">
      <w:pPr>
        <w:spacing w:line="276" w:lineRule="auto"/>
        <w:ind w:firstLine="360"/>
        <w:rPr>
          <w:color w:val="000000" w:themeColor="text1"/>
        </w:rPr>
      </w:pPr>
      <w:r w:rsidRPr="008227A8">
        <w:rPr>
          <w:color w:val="000000" w:themeColor="text1"/>
        </w:rPr>
        <w:t xml:space="preserve">Separate models were estimated for each customer. The load impacts were aggregated across customer accounts as appropriate to arrive at program-level load impacts, as well as load impacts by industry group and local capacity area (LCA). </w:t>
      </w:r>
    </w:p>
    <w:p w:rsidR="00517145" w:rsidRPr="00517145" w:rsidRDefault="00517145" w:rsidP="00517145">
      <w:pPr>
        <w:spacing w:line="276" w:lineRule="auto"/>
        <w:ind w:firstLine="360"/>
        <w:rPr>
          <w:color w:val="0000CC"/>
        </w:rPr>
      </w:pPr>
    </w:p>
    <w:p w:rsidR="00517145" w:rsidRDefault="00517145" w:rsidP="00517145">
      <w:pPr>
        <w:spacing w:line="276" w:lineRule="auto"/>
        <w:ind w:firstLine="360"/>
        <w:rPr>
          <w:color w:val="000000" w:themeColor="text1"/>
        </w:rPr>
      </w:pPr>
      <w:r w:rsidRPr="008227A8">
        <w:rPr>
          <w:color w:val="000000" w:themeColor="text1"/>
        </w:rPr>
        <w:lastRenderedPageBreak/>
        <w:t>A parallel set of winter models was estimated for each customer. The structure matches the model described above, with the appropriate month indicators substituted in.</w:t>
      </w:r>
    </w:p>
    <w:p w:rsidR="000B4C34" w:rsidRPr="00D84FC4" w:rsidRDefault="000B4C34" w:rsidP="0024252A">
      <w:pPr>
        <w:rPr>
          <w:color w:val="000000" w:themeColor="text1"/>
        </w:rPr>
      </w:pPr>
    </w:p>
    <w:p w:rsidR="000B4C34" w:rsidRDefault="000B4C34" w:rsidP="00D84FC4">
      <w:pPr>
        <w:pStyle w:val="Heading2"/>
        <w:spacing w:after="0" w:line="276" w:lineRule="auto"/>
        <w:rPr>
          <w:rFonts w:ascii="Times New Roman" w:hAnsi="Times New Roman" w:cs="Times New Roman"/>
          <w:color w:val="000000" w:themeColor="text1"/>
        </w:rPr>
      </w:pPr>
      <w:bookmarkStart w:id="129" w:name="_Toc447179794"/>
      <w:r w:rsidRPr="00D84FC4">
        <w:rPr>
          <w:rFonts w:ascii="Times New Roman" w:hAnsi="Times New Roman" w:cs="Times New Roman"/>
          <w:color w:val="000000" w:themeColor="text1"/>
        </w:rPr>
        <w:t>BIP Ex-Post Load Impact Estimates</w:t>
      </w:r>
      <w:bookmarkEnd w:id="129"/>
    </w:p>
    <w:p w:rsidR="000B4C34" w:rsidRPr="00D84FC4" w:rsidRDefault="000B4C34" w:rsidP="00D84FC4"/>
    <w:p w:rsidR="000B4C34" w:rsidRPr="008227A8" w:rsidRDefault="000B4C34" w:rsidP="00517145">
      <w:pPr>
        <w:spacing w:line="276" w:lineRule="auto"/>
        <w:ind w:firstLine="360"/>
        <w:rPr>
          <w:color w:val="000000" w:themeColor="text1"/>
        </w:rPr>
      </w:pPr>
      <w:r>
        <w:rPr>
          <w:color w:val="000000" w:themeColor="text1"/>
        </w:rPr>
        <w:t>One BIP event was called on August 28</w:t>
      </w:r>
      <w:r w:rsidRPr="00D84FC4">
        <w:rPr>
          <w:color w:val="000000" w:themeColor="text1"/>
          <w:vertAlign w:val="superscript"/>
        </w:rPr>
        <w:t>th</w:t>
      </w:r>
      <w:r>
        <w:rPr>
          <w:color w:val="000000" w:themeColor="text1"/>
        </w:rPr>
        <w:t xml:space="preserve"> 2015 from The average load reduction was 1.5 MW.</w:t>
      </w:r>
    </w:p>
    <w:p w:rsidR="00BD3A0E" w:rsidRPr="00711930" w:rsidRDefault="000B4C34" w:rsidP="00517145">
      <w:pPr>
        <w:pStyle w:val="Heading2"/>
        <w:spacing w:after="0" w:line="276" w:lineRule="auto"/>
        <w:rPr>
          <w:rFonts w:ascii="Times New Roman" w:hAnsi="Times New Roman" w:cs="Times New Roman"/>
          <w:color w:val="000000" w:themeColor="text1"/>
        </w:rPr>
      </w:pPr>
      <w:r w:rsidRPr="00517145" w:rsidDel="000B4C34">
        <w:rPr>
          <w:color w:val="0000CC"/>
        </w:rPr>
        <w:t xml:space="preserve"> </w:t>
      </w:r>
      <w:bookmarkStart w:id="130" w:name="_Toc447179795"/>
      <w:r w:rsidR="00BD3A0E" w:rsidRPr="00711930">
        <w:rPr>
          <w:rFonts w:ascii="Times New Roman" w:hAnsi="Times New Roman" w:cs="Times New Roman"/>
          <w:color w:val="000000" w:themeColor="text1"/>
        </w:rPr>
        <w:t>BIP Ex-</w:t>
      </w:r>
      <w:r w:rsidR="00BD3A0E">
        <w:rPr>
          <w:rFonts w:ascii="Times New Roman" w:hAnsi="Times New Roman" w:cs="Times New Roman"/>
          <w:color w:val="000000" w:themeColor="text1"/>
        </w:rPr>
        <w:t xml:space="preserve">Ante </w:t>
      </w:r>
      <w:r w:rsidR="00BD3A0E" w:rsidRPr="00711930">
        <w:rPr>
          <w:rFonts w:ascii="Times New Roman" w:hAnsi="Times New Roman" w:cs="Times New Roman"/>
          <w:color w:val="000000" w:themeColor="text1"/>
        </w:rPr>
        <w:t>Evaluation Methodology</w:t>
      </w:r>
      <w:bookmarkEnd w:id="130"/>
    </w:p>
    <w:p w:rsidR="0062320E" w:rsidRDefault="0062320E" w:rsidP="0062320E">
      <w:pPr>
        <w:spacing w:line="276" w:lineRule="auto"/>
        <w:ind w:firstLine="360"/>
        <w:rPr>
          <w:color w:val="0000CC"/>
        </w:rPr>
      </w:pPr>
    </w:p>
    <w:p w:rsidR="0062320E" w:rsidRPr="008227A8" w:rsidRDefault="0062320E" w:rsidP="0062320E">
      <w:pPr>
        <w:spacing w:line="276" w:lineRule="auto"/>
        <w:ind w:firstLine="360"/>
        <w:rPr>
          <w:color w:val="000000" w:themeColor="text1"/>
        </w:rPr>
      </w:pPr>
      <w:r w:rsidRPr="008227A8">
        <w:rPr>
          <w:color w:val="000000" w:themeColor="text1"/>
        </w:rPr>
        <w:t xml:space="preserve">This section describes the methods used to develop the relevant groups of customers, to develop reference loads for the relevant customer types and event-day types, and to develop load impacts for a typical event day.  </w:t>
      </w:r>
    </w:p>
    <w:p w:rsidR="0062320E" w:rsidRPr="008227A8" w:rsidRDefault="0062320E" w:rsidP="0062320E">
      <w:pPr>
        <w:pStyle w:val="Heading3"/>
        <w:ind w:left="720"/>
        <w:rPr>
          <w:rFonts w:ascii="Times New Roman" w:hAnsi="Times New Roman" w:cs="Times New Roman"/>
          <w:color w:val="000000" w:themeColor="text1"/>
          <w:szCs w:val="24"/>
        </w:rPr>
      </w:pPr>
      <w:bookmarkStart w:id="131" w:name="_Toc411324211"/>
      <w:bookmarkStart w:id="132" w:name="_Toc446079781"/>
      <w:bookmarkStart w:id="133" w:name="_Toc447179796"/>
      <w:r w:rsidRPr="008227A8">
        <w:rPr>
          <w:rFonts w:ascii="Times New Roman" w:hAnsi="Times New Roman" w:cs="Times New Roman"/>
          <w:color w:val="000000" w:themeColor="text1"/>
          <w:szCs w:val="24"/>
        </w:rPr>
        <w:t>Development of Reference Loads and Load Impacts</w:t>
      </w:r>
      <w:bookmarkEnd w:id="131"/>
      <w:bookmarkEnd w:id="132"/>
      <w:bookmarkEnd w:id="133"/>
    </w:p>
    <w:p w:rsidR="0062320E" w:rsidRPr="008227A8" w:rsidRDefault="0062320E" w:rsidP="0062320E">
      <w:pPr>
        <w:rPr>
          <w:color w:val="000000" w:themeColor="text1"/>
        </w:rPr>
      </w:pPr>
    </w:p>
    <w:p w:rsidR="0062320E" w:rsidRPr="008227A8" w:rsidRDefault="0062320E" w:rsidP="0062320E">
      <w:pPr>
        <w:spacing w:line="276" w:lineRule="auto"/>
        <w:ind w:firstLine="360"/>
        <w:rPr>
          <w:color w:val="000000" w:themeColor="text1"/>
        </w:rPr>
      </w:pPr>
      <w:r w:rsidRPr="008227A8">
        <w:rPr>
          <w:color w:val="000000" w:themeColor="text1"/>
        </w:rPr>
        <w:t>Reference loads and load impacts for all of the above factors were developed in the following series of steps:</w:t>
      </w:r>
    </w:p>
    <w:p w:rsidR="0062320E" w:rsidRPr="008227A8" w:rsidRDefault="0062320E" w:rsidP="0062320E">
      <w:pPr>
        <w:spacing w:line="276" w:lineRule="auto"/>
        <w:ind w:firstLine="360"/>
        <w:rPr>
          <w:color w:val="000000" w:themeColor="text1"/>
        </w:rPr>
      </w:pPr>
    </w:p>
    <w:p w:rsidR="0062320E" w:rsidRPr="008227A8" w:rsidRDefault="0062320E" w:rsidP="0062320E">
      <w:pPr>
        <w:numPr>
          <w:ilvl w:val="0"/>
          <w:numId w:val="8"/>
        </w:numPr>
        <w:spacing w:line="276" w:lineRule="auto"/>
        <w:ind w:left="0" w:firstLine="360"/>
        <w:rPr>
          <w:color w:val="000000" w:themeColor="text1"/>
        </w:rPr>
      </w:pPr>
      <w:r w:rsidRPr="008227A8">
        <w:rPr>
          <w:color w:val="000000" w:themeColor="text1"/>
        </w:rPr>
        <w:t>Define data sources;</w:t>
      </w:r>
    </w:p>
    <w:p w:rsidR="0062320E" w:rsidRPr="008227A8" w:rsidRDefault="0062320E" w:rsidP="0062320E">
      <w:pPr>
        <w:numPr>
          <w:ilvl w:val="0"/>
          <w:numId w:val="8"/>
        </w:numPr>
        <w:spacing w:line="276" w:lineRule="auto"/>
        <w:rPr>
          <w:color w:val="000000" w:themeColor="text1"/>
        </w:rPr>
      </w:pPr>
      <w:r w:rsidRPr="008227A8">
        <w:rPr>
          <w:color w:val="000000" w:themeColor="text1"/>
        </w:rPr>
        <w:t xml:space="preserve">Estimate </w:t>
      </w:r>
      <w:r w:rsidRPr="008227A8">
        <w:rPr>
          <w:i/>
          <w:color w:val="000000" w:themeColor="text1"/>
        </w:rPr>
        <w:t>ex-ante</w:t>
      </w:r>
      <w:r w:rsidRPr="008227A8">
        <w:rPr>
          <w:color w:val="000000" w:themeColor="text1"/>
        </w:rPr>
        <w:t xml:space="preserve"> regressions and simulate reference loads by service account and scenario;</w:t>
      </w:r>
    </w:p>
    <w:p w:rsidR="0062320E" w:rsidRPr="008227A8" w:rsidRDefault="0062320E" w:rsidP="0062320E">
      <w:pPr>
        <w:numPr>
          <w:ilvl w:val="0"/>
          <w:numId w:val="8"/>
        </w:numPr>
        <w:spacing w:line="276" w:lineRule="auto"/>
        <w:ind w:left="0" w:firstLine="360"/>
        <w:rPr>
          <w:color w:val="000000" w:themeColor="text1"/>
        </w:rPr>
      </w:pPr>
      <w:r w:rsidRPr="008227A8">
        <w:rPr>
          <w:color w:val="000000" w:themeColor="text1"/>
        </w:rPr>
        <w:t xml:space="preserve">Calculate historical FSL achievement rates from </w:t>
      </w:r>
      <w:r w:rsidRPr="008227A8">
        <w:rPr>
          <w:i/>
          <w:color w:val="000000" w:themeColor="text1"/>
        </w:rPr>
        <w:t>ex-post</w:t>
      </w:r>
      <w:r w:rsidRPr="008227A8">
        <w:rPr>
          <w:color w:val="000000" w:themeColor="text1"/>
        </w:rPr>
        <w:t xml:space="preserve"> results;</w:t>
      </w:r>
    </w:p>
    <w:p w:rsidR="0062320E" w:rsidRPr="008227A8" w:rsidRDefault="0062320E" w:rsidP="0062320E">
      <w:pPr>
        <w:numPr>
          <w:ilvl w:val="0"/>
          <w:numId w:val="8"/>
        </w:numPr>
        <w:spacing w:line="276" w:lineRule="auto"/>
        <w:ind w:left="0" w:firstLine="360"/>
        <w:rPr>
          <w:color w:val="000000" w:themeColor="text1"/>
        </w:rPr>
      </w:pPr>
      <w:r w:rsidRPr="008227A8">
        <w:rPr>
          <w:color w:val="000000" w:themeColor="text1"/>
        </w:rPr>
        <w:t>Apply achievement rates to the reference loads; and</w:t>
      </w:r>
    </w:p>
    <w:p w:rsidR="0062320E" w:rsidRPr="008227A8" w:rsidRDefault="0062320E" w:rsidP="0062320E">
      <w:pPr>
        <w:numPr>
          <w:ilvl w:val="0"/>
          <w:numId w:val="8"/>
        </w:numPr>
        <w:spacing w:line="276" w:lineRule="auto"/>
        <w:ind w:left="0" w:firstLine="360"/>
        <w:rPr>
          <w:color w:val="000000" w:themeColor="text1"/>
        </w:rPr>
      </w:pPr>
      <w:r w:rsidRPr="008227A8">
        <w:rPr>
          <w:color w:val="000000" w:themeColor="text1"/>
        </w:rPr>
        <w:t>Scale the reference loads using enrollment forecasts.</w:t>
      </w:r>
    </w:p>
    <w:p w:rsidR="0062320E" w:rsidRPr="008227A8" w:rsidRDefault="0062320E" w:rsidP="0062320E">
      <w:pPr>
        <w:spacing w:line="276" w:lineRule="auto"/>
        <w:ind w:firstLine="360"/>
        <w:rPr>
          <w:color w:val="000000" w:themeColor="text1"/>
        </w:rPr>
      </w:pPr>
    </w:p>
    <w:p w:rsidR="0062320E" w:rsidRPr="008227A8" w:rsidRDefault="0062320E" w:rsidP="0062320E">
      <w:pPr>
        <w:spacing w:line="276" w:lineRule="auto"/>
        <w:ind w:firstLine="360"/>
        <w:rPr>
          <w:color w:val="000000" w:themeColor="text1"/>
        </w:rPr>
      </w:pPr>
      <w:r w:rsidRPr="008227A8">
        <w:rPr>
          <w:color w:val="000000" w:themeColor="text1"/>
        </w:rPr>
        <w:t>Each of these steps is described below.</w:t>
      </w:r>
    </w:p>
    <w:p w:rsidR="0062320E" w:rsidRPr="008227A8" w:rsidRDefault="0062320E" w:rsidP="0062320E">
      <w:pPr>
        <w:spacing w:line="276" w:lineRule="auto"/>
        <w:ind w:firstLine="360"/>
        <w:rPr>
          <w:color w:val="000000" w:themeColor="text1"/>
        </w:rPr>
      </w:pPr>
    </w:p>
    <w:p w:rsidR="0062320E" w:rsidRPr="008227A8" w:rsidRDefault="0062320E" w:rsidP="0062320E">
      <w:pPr>
        <w:numPr>
          <w:ilvl w:val="0"/>
          <w:numId w:val="15"/>
        </w:numPr>
        <w:spacing w:line="276" w:lineRule="auto"/>
        <w:ind w:left="0" w:firstLine="0"/>
        <w:rPr>
          <w:color w:val="000000" w:themeColor="text1"/>
        </w:rPr>
      </w:pPr>
      <w:r w:rsidRPr="008227A8">
        <w:rPr>
          <w:i/>
          <w:color w:val="000000" w:themeColor="text1"/>
        </w:rPr>
        <w:t>Define data sources</w:t>
      </w:r>
      <w:r w:rsidRPr="008227A8">
        <w:rPr>
          <w:color w:val="000000" w:themeColor="text1"/>
        </w:rPr>
        <w:t xml:space="preserve">  </w:t>
      </w:r>
    </w:p>
    <w:p w:rsidR="0062320E" w:rsidRPr="008227A8" w:rsidRDefault="0062320E" w:rsidP="0062320E">
      <w:pPr>
        <w:tabs>
          <w:tab w:val="left" w:pos="4140"/>
        </w:tabs>
        <w:spacing w:line="276" w:lineRule="auto"/>
        <w:ind w:firstLine="360"/>
        <w:rPr>
          <w:b/>
          <w:color w:val="000000" w:themeColor="text1"/>
        </w:rPr>
      </w:pPr>
      <w:r w:rsidRPr="008227A8">
        <w:rPr>
          <w:color w:val="000000" w:themeColor="text1"/>
        </w:rPr>
        <w:t xml:space="preserve">The reference loads are developed using data for customers enrolled in BIP at the start of the 2016 program year. The load impacts are developed using the historical FSL achievement rates of customers remaining enrolled at the start of the 2016 program year, based on their estimated </w:t>
      </w:r>
      <w:r w:rsidRPr="008227A8">
        <w:rPr>
          <w:i/>
          <w:color w:val="000000" w:themeColor="text1"/>
        </w:rPr>
        <w:t>ex-post</w:t>
      </w:r>
      <w:r w:rsidRPr="008227A8">
        <w:rPr>
          <w:color w:val="000000" w:themeColor="text1"/>
        </w:rPr>
        <w:t xml:space="preserve"> load impacts during program year 2015. </w:t>
      </w:r>
    </w:p>
    <w:p w:rsidR="0062320E" w:rsidRPr="008227A8" w:rsidRDefault="0062320E" w:rsidP="0062320E">
      <w:pPr>
        <w:tabs>
          <w:tab w:val="left" w:pos="4140"/>
        </w:tabs>
        <w:spacing w:line="276" w:lineRule="auto"/>
        <w:ind w:firstLine="360"/>
        <w:rPr>
          <w:color w:val="000000" w:themeColor="text1"/>
        </w:rPr>
      </w:pPr>
    </w:p>
    <w:p w:rsidR="0062320E" w:rsidRPr="008227A8" w:rsidRDefault="0062320E" w:rsidP="0062320E">
      <w:pPr>
        <w:tabs>
          <w:tab w:val="left" w:pos="4140"/>
        </w:tabs>
        <w:spacing w:line="276" w:lineRule="auto"/>
        <w:ind w:firstLine="360"/>
        <w:rPr>
          <w:color w:val="000000" w:themeColor="text1"/>
        </w:rPr>
      </w:pPr>
    </w:p>
    <w:p w:rsidR="0062320E" w:rsidRPr="008227A8" w:rsidRDefault="0062320E" w:rsidP="004E79BD">
      <w:pPr>
        <w:numPr>
          <w:ilvl w:val="0"/>
          <w:numId w:val="15"/>
        </w:numPr>
        <w:spacing w:line="276" w:lineRule="auto"/>
        <w:ind w:left="0" w:firstLine="0"/>
        <w:rPr>
          <w:color w:val="000000" w:themeColor="text1"/>
        </w:rPr>
      </w:pPr>
      <w:r w:rsidRPr="008227A8">
        <w:rPr>
          <w:i/>
          <w:color w:val="000000" w:themeColor="text1"/>
        </w:rPr>
        <w:t>Simulate reference loads</w:t>
      </w:r>
      <w:r w:rsidRPr="008227A8">
        <w:rPr>
          <w:color w:val="000000" w:themeColor="text1"/>
        </w:rPr>
        <w:t xml:space="preserve">  </w:t>
      </w:r>
    </w:p>
    <w:p w:rsidR="0062320E" w:rsidRPr="008227A8" w:rsidRDefault="0062320E" w:rsidP="0062320E">
      <w:pPr>
        <w:spacing w:line="276" w:lineRule="auto"/>
        <w:ind w:firstLine="360"/>
        <w:rPr>
          <w:color w:val="000000" w:themeColor="text1"/>
        </w:rPr>
      </w:pPr>
      <w:r w:rsidRPr="008227A8">
        <w:rPr>
          <w:color w:val="000000" w:themeColor="text1"/>
        </w:rPr>
        <w:t>In order to develop reference loads, we first re-estimated regression equations for each enrolled customer account using data for the current program year. The resulting estimates were used to simulate reference loads for each service account under the various scenarios required by the Protocols (</w:t>
      </w:r>
      <w:r w:rsidRPr="008227A8">
        <w:rPr>
          <w:i/>
          <w:color w:val="000000" w:themeColor="text1"/>
        </w:rPr>
        <w:t>e.g.</w:t>
      </w:r>
      <w:r w:rsidRPr="008227A8">
        <w:rPr>
          <w:color w:val="000000" w:themeColor="text1"/>
        </w:rPr>
        <w:t xml:space="preserve">, the typical event day in a utility-specific 1-in-2 weather year).   </w:t>
      </w:r>
    </w:p>
    <w:p w:rsidR="0062320E" w:rsidRPr="008227A8" w:rsidRDefault="0062320E" w:rsidP="0062320E">
      <w:pPr>
        <w:spacing w:line="276" w:lineRule="auto"/>
        <w:ind w:firstLine="360"/>
        <w:rPr>
          <w:color w:val="000000" w:themeColor="text1"/>
        </w:rPr>
      </w:pPr>
    </w:p>
    <w:p w:rsidR="0062320E" w:rsidRPr="008227A8" w:rsidRDefault="0062320E" w:rsidP="0062320E">
      <w:pPr>
        <w:spacing w:line="276" w:lineRule="auto"/>
        <w:ind w:firstLine="360"/>
        <w:rPr>
          <w:color w:val="000000" w:themeColor="text1"/>
        </w:rPr>
      </w:pPr>
      <w:r w:rsidRPr="008227A8">
        <w:rPr>
          <w:color w:val="000000" w:themeColor="text1"/>
        </w:rPr>
        <w:lastRenderedPageBreak/>
        <w:t xml:space="preserve">For the summer months, the re-estimated regression equations were similar in design to the </w:t>
      </w:r>
      <w:r w:rsidRPr="008227A8">
        <w:rPr>
          <w:i/>
          <w:color w:val="000000" w:themeColor="text1"/>
        </w:rPr>
        <w:t>ex-post</w:t>
      </w:r>
      <w:r w:rsidRPr="008227A8">
        <w:rPr>
          <w:color w:val="000000" w:themeColor="text1"/>
        </w:rPr>
        <w:t xml:space="preserve"> load impact equations described in Section 3.2, differing in two ways. First, the </w:t>
      </w:r>
      <w:r w:rsidRPr="008227A8">
        <w:rPr>
          <w:i/>
          <w:color w:val="000000" w:themeColor="text1"/>
        </w:rPr>
        <w:t>ex-ante</w:t>
      </w:r>
      <w:r w:rsidRPr="008227A8">
        <w:rPr>
          <w:color w:val="000000" w:themeColor="text1"/>
        </w:rPr>
        <w:t xml:space="preserve"> models excluded the morning-usage variables. While these variables are useful for improving accuracy in estimating </w:t>
      </w:r>
      <w:r w:rsidRPr="008227A8">
        <w:rPr>
          <w:i/>
          <w:color w:val="000000" w:themeColor="text1"/>
        </w:rPr>
        <w:t>ex-post</w:t>
      </w:r>
      <w:r w:rsidRPr="008227A8">
        <w:rPr>
          <w:color w:val="000000" w:themeColor="text1"/>
        </w:rPr>
        <w:t xml:space="preserve"> load impacts for particular events, they complicate the use of the equations in </w:t>
      </w:r>
      <w:r w:rsidRPr="008227A8">
        <w:rPr>
          <w:i/>
          <w:color w:val="000000" w:themeColor="text1"/>
        </w:rPr>
        <w:t>ex-ante</w:t>
      </w:r>
      <w:r w:rsidRPr="008227A8">
        <w:rPr>
          <w:color w:val="000000" w:themeColor="text1"/>
        </w:rPr>
        <w:t xml:space="preserve"> simulation. That is, they would require a separate simulation of the level of the morning load. The second difference between the </w:t>
      </w:r>
      <w:r w:rsidRPr="008227A8">
        <w:rPr>
          <w:i/>
          <w:color w:val="000000" w:themeColor="text1"/>
        </w:rPr>
        <w:t>ex-post</w:t>
      </w:r>
      <w:r w:rsidRPr="008227A8">
        <w:rPr>
          <w:color w:val="000000" w:themeColor="text1"/>
        </w:rPr>
        <w:t xml:space="preserve"> and </w:t>
      </w:r>
      <w:r w:rsidRPr="008227A8">
        <w:rPr>
          <w:i/>
          <w:color w:val="000000" w:themeColor="text1"/>
        </w:rPr>
        <w:t>ex-ante</w:t>
      </w:r>
      <w:r w:rsidRPr="008227A8">
        <w:rPr>
          <w:color w:val="000000" w:themeColor="text1"/>
        </w:rPr>
        <w:t xml:space="preserve"> models is that the </w:t>
      </w:r>
      <w:r w:rsidRPr="008227A8">
        <w:rPr>
          <w:i/>
          <w:color w:val="000000" w:themeColor="text1"/>
        </w:rPr>
        <w:t>ex-ante</w:t>
      </w:r>
      <w:r w:rsidRPr="008227A8">
        <w:rPr>
          <w:color w:val="000000" w:themeColor="text1"/>
        </w:rPr>
        <w:t xml:space="preserve"> models do not use weather variables using information from prior days.</w:t>
      </w:r>
      <w:r w:rsidRPr="008227A8">
        <w:rPr>
          <w:rStyle w:val="FootnoteReference"/>
          <w:color w:val="000000" w:themeColor="text1"/>
        </w:rPr>
        <w:footnoteReference w:id="13"/>
      </w:r>
      <w:r w:rsidRPr="008227A8">
        <w:rPr>
          <w:color w:val="000000" w:themeColor="text1"/>
        </w:rPr>
        <w:t xml:space="preserve"> The primary reason for this is that the </w:t>
      </w:r>
      <w:r w:rsidRPr="008227A8">
        <w:rPr>
          <w:i/>
          <w:color w:val="000000" w:themeColor="text1"/>
        </w:rPr>
        <w:t>ex-ante</w:t>
      </w:r>
      <w:r w:rsidRPr="008227A8">
        <w:rPr>
          <w:color w:val="000000" w:themeColor="text1"/>
        </w:rPr>
        <w:t xml:space="preserve"> weather days were not selected based on weather from the prior day, restricting the use of lagged weather variables to construct the </w:t>
      </w:r>
      <w:r w:rsidRPr="008227A8">
        <w:rPr>
          <w:i/>
          <w:color w:val="000000" w:themeColor="text1"/>
        </w:rPr>
        <w:t>ex-ante</w:t>
      </w:r>
      <w:r w:rsidRPr="008227A8">
        <w:rPr>
          <w:color w:val="000000" w:themeColor="text1"/>
        </w:rPr>
        <w:t xml:space="preserve"> scenarios.</w:t>
      </w:r>
    </w:p>
    <w:p w:rsidR="0062320E" w:rsidRPr="008227A8" w:rsidRDefault="0062320E" w:rsidP="0062320E">
      <w:pPr>
        <w:spacing w:line="276" w:lineRule="auto"/>
        <w:ind w:firstLine="360"/>
        <w:rPr>
          <w:color w:val="000000" w:themeColor="text1"/>
        </w:rPr>
      </w:pPr>
    </w:p>
    <w:p w:rsidR="0062320E" w:rsidRPr="008227A8" w:rsidRDefault="0062320E" w:rsidP="0062320E">
      <w:pPr>
        <w:spacing w:line="276" w:lineRule="auto"/>
        <w:ind w:firstLine="360"/>
        <w:rPr>
          <w:color w:val="000000" w:themeColor="text1"/>
        </w:rPr>
      </w:pPr>
      <w:r w:rsidRPr="008227A8">
        <w:rPr>
          <w:color w:val="000000" w:themeColor="text1"/>
        </w:rPr>
        <w:t xml:space="preserve">Because BIP events may be called in any month of the year, we estimated separate regression models to allow us to simulate winter reference loads. The winter model is shown below. This model is estimated separately from the summer </w:t>
      </w:r>
      <w:r w:rsidRPr="008227A8">
        <w:rPr>
          <w:i/>
          <w:color w:val="000000" w:themeColor="text1"/>
        </w:rPr>
        <w:t>ex-ante</w:t>
      </w:r>
      <w:r w:rsidRPr="008227A8">
        <w:rPr>
          <w:color w:val="000000" w:themeColor="text1"/>
        </w:rPr>
        <w:t xml:space="preserve"> model. It only differs from the summer model in two ways: it includes different weather variables; and the month dummies relate to a different set of months. Table 4.2 describes the terms included in the equation.</w:t>
      </w:r>
      <w:r w:rsidRPr="008227A8">
        <w:rPr>
          <w:rStyle w:val="FootnoteReference"/>
          <w:color w:val="000000" w:themeColor="text1"/>
        </w:rPr>
        <w:footnoteReference w:id="14"/>
      </w:r>
    </w:p>
    <w:p w:rsidR="0062320E" w:rsidRDefault="0062320E" w:rsidP="0062320E"/>
    <w:p w:rsidR="0062320E" w:rsidRDefault="0062320E" w:rsidP="0062320E">
      <w:pPr>
        <w:jc w:val="center"/>
      </w:pPr>
      <w:r w:rsidRPr="006A7D43">
        <w:rPr>
          <w:position w:val="-126"/>
        </w:rPr>
        <w:object w:dxaOrig="7540" w:dyaOrig="2640">
          <v:shape id="_x0000_i1027" type="#_x0000_t75" style="width:375.75pt;height:129pt" o:ole="">
            <v:imagedata r:id="rId17" o:title=""/>
          </v:shape>
          <o:OLEObject Type="Embed" ProgID="Equation.3" ShapeID="_x0000_i1027" DrawAspect="Content" ObjectID="_1520921707" r:id="rId18"/>
        </w:object>
      </w:r>
    </w:p>
    <w:p w:rsidR="0062320E" w:rsidRDefault="0062320E" w:rsidP="0062320E"/>
    <w:p w:rsidR="0062320E" w:rsidRPr="004E79BD" w:rsidRDefault="0062320E" w:rsidP="004E79BD">
      <w:pPr>
        <w:pStyle w:val="TableCaption"/>
        <w:keepLines/>
        <w:rPr>
          <w:sz w:val="22"/>
          <w:szCs w:val="22"/>
        </w:rPr>
      </w:pPr>
      <w:bookmarkStart w:id="134" w:name="_Toc411324262"/>
      <w:bookmarkStart w:id="135" w:name="_Toc446082413"/>
      <w:r w:rsidRPr="004E79BD">
        <w:rPr>
          <w:sz w:val="22"/>
          <w:szCs w:val="22"/>
        </w:rPr>
        <w:lastRenderedPageBreak/>
        <w:t xml:space="preserve">Table 4.2: Descriptions of Terms included in the </w:t>
      </w:r>
      <w:r w:rsidRPr="004E79BD">
        <w:rPr>
          <w:i/>
          <w:sz w:val="22"/>
          <w:szCs w:val="22"/>
        </w:rPr>
        <w:t>Ex-ante</w:t>
      </w:r>
      <w:r w:rsidRPr="004E79BD">
        <w:rPr>
          <w:sz w:val="22"/>
          <w:szCs w:val="22"/>
        </w:rPr>
        <w:t xml:space="preserve"> Regression Equation</w:t>
      </w:r>
      <w:bookmarkEnd w:id="134"/>
      <w:bookmarkEnd w:id="13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5"/>
        <w:gridCol w:w="6735"/>
      </w:tblGrid>
      <w:tr w:rsidR="004E79BD" w:rsidRPr="004E79BD" w:rsidTr="004E79BD">
        <w:trPr>
          <w:trHeight w:val="422"/>
          <w:jc w:val="center"/>
        </w:trPr>
        <w:tc>
          <w:tcPr>
            <w:tcW w:w="0" w:type="auto"/>
            <w:shd w:val="clear" w:color="auto" w:fill="002060"/>
            <w:vAlign w:val="center"/>
          </w:tcPr>
          <w:p w:rsidR="0062320E" w:rsidRPr="004E79BD" w:rsidRDefault="0062320E" w:rsidP="00C20677">
            <w:pPr>
              <w:keepNext/>
              <w:keepLines/>
              <w:jc w:val="center"/>
              <w:rPr>
                <w:b/>
                <w:color w:val="FFFFFF" w:themeColor="background1"/>
                <w:sz w:val="20"/>
                <w:szCs w:val="20"/>
              </w:rPr>
            </w:pPr>
            <w:r w:rsidRPr="004E79BD">
              <w:rPr>
                <w:b/>
                <w:color w:val="FFFFFF" w:themeColor="background1"/>
                <w:sz w:val="20"/>
                <w:szCs w:val="20"/>
              </w:rPr>
              <w:t xml:space="preserve">Variable Name </w:t>
            </w:r>
          </w:p>
        </w:tc>
        <w:tc>
          <w:tcPr>
            <w:tcW w:w="0" w:type="auto"/>
            <w:shd w:val="clear" w:color="auto" w:fill="002060"/>
            <w:vAlign w:val="center"/>
          </w:tcPr>
          <w:p w:rsidR="0062320E" w:rsidRPr="004E79BD" w:rsidRDefault="0062320E" w:rsidP="00C20677">
            <w:pPr>
              <w:keepNext/>
              <w:keepLines/>
              <w:jc w:val="center"/>
              <w:rPr>
                <w:b/>
                <w:color w:val="FFFFFF" w:themeColor="background1"/>
                <w:sz w:val="20"/>
                <w:szCs w:val="20"/>
              </w:rPr>
            </w:pPr>
            <w:r w:rsidRPr="004E79BD">
              <w:rPr>
                <w:b/>
                <w:color w:val="FFFFFF" w:themeColor="background1"/>
                <w:sz w:val="20"/>
                <w:szCs w:val="20"/>
              </w:rPr>
              <w:t>Variable Description</w:t>
            </w:r>
          </w:p>
        </w:tc>
      </w:tr>
      <w:tr w:rsidR="0062320E" w:rsidTr="00C20677">
        <w:trPr>
          <w:jc w:val="center"/>
        </w:trPr>
        <w:tc>
          <w:tcPr>
            <w:tcW w:w="0" w:type="auto"/>
            <w:shd w:val="clear" w:color="auto" w:fill="auto"/>
            <w:vAlign w:val="center"/>
          </w:tcPr>
          <w:p w:rsidR="0062320E" w:rsidRPr="004E79BD" w:rsidRDefault="0062320E" w:rsidP="00C20677">
            <w:pPr>
              <w:keepNext/>
              <w:keepLines/>
              <w:jc w:val="center"/>
              <w:rPr>
                <w:sz w:val="20"/>
                <w:szCs w:val="20"/>
              </w:rPr>
            </w:pPr>
            <w:r w:rsidRPr="004E79BD">
              <w:rPr>
                <w:i/>
                <w:sz w:val="20"/>
                <w:szCs w:val="20"/>
              </w:rPr>
              <w:t>Q</w:t>
            </w:r>
            <w:r w:rsidRPr="004E79BD">
              <w:rPr>
                <w:i/>
                <w:sz w:val="20"/>
                <w:szCs w:val="20"/>
                <w:vertAlign w:val="subscript"/>
              </w:rPr>
              <w:t>t</w:t>
            </w:r>
          </w:p>
        </w:tc>
        <w:tc>
          <w:tcPr>
            <w:tcW w:w="0" w:type="auto"/>
            <w:shd w:val="clear" w:color="auto" w:fill="auto"/>
            <w:vAlign w:val="center"/>
          </w:tcPr>
          <w:p w:rsidR="0062320E" w:rsidRPr="004E79BD" w:rsidRDefault="0062320E" w:rsidP="00C20677">
            <w:pPr>
              <w:keepNext/>
              <w:keepLines/>
              <w:rPr>
                <w:sz w:val="20"/>
                <w:szCs w:val="20"/>
              </w:rPr>
            </w:pPr>
            <w:r w:rsidRPr="004E79BD">
              <w:rPr>
                <w:sz w:val="20"/>
                <w:szCs w:val="20"/>
              </w:rPr>
              <w:t xml:space="preserve">the demand in hour </w:t>
            </w:r>
            <w:r w:rsidRPr="004E79BD">
              <w:rPr>
                <w:i/>
                <w:sz w:val="20"/>
                <w:szCs w:val="20"/>
              </w:rPr>
              <w:t>t</w:t>
            </w:r>
            <w:r w:rsidRPr="004E79BD">
              <w:rPr>
                <w:sz w:val="20"/>
                <w:szCs w:val="20"/>
              </w:rPr>
              <w:t xml:space="preserve"> for a customer enrolled in BIP prior to the last event date</w:t>
            </w:r>
          </w:p>
        </w:tc>
      </w:tr>
      <w:tr w:rsidR="0062320E" w:rsidTr="00C20677">
        <w:trPr>
          <w:jc w:val="center"/>
        </w:trPr>
        <w:tc>
          <w:tcPr>
            <w:tcW w:w="0" w:type="auto"/>
            <w:shd w:val="clear" w:color="auto" w:fill="auto"/>
            <w:vAlign w:val="center"/>
          </w:tcPr>
          <w:p w:rsidR="0062320E" w:rsidRPr="004E79BD" w:rsidRDefault="0062320E" w:rsidP="00C20677">
            <w:pPr>
              <w:keepNext/>
              <w:keepLines/>
              <w:jc w:val="center"/>
              <w:rPr>
                <w:sz w:val="20"/>
                <w:szCs w:val="20"/>
              </w:rPr>
            </w:pPr>
            <w:r w:rsidRPr="004E79BD">
              <w:rPr>
                <w:sz w:val="20"/>
                <w:szCs w:val="20"/>
              </w:rPr>
              <w:t xml:space="preserve">The various </w:t>
            </w:r>
            <w:r w:rsidRPr="004E79BD">
              <w:rPr>
                <w:i/>
                <w:sz w:val="20"/>
                <w:szCs w:val="20"/>
              </w:rPr>
              <w:t>b</w:t>
            </w:r>
            <w:r w:rsidRPr="004E79BD">
              <w:rPr>
                <w:sz w:val="20"/>
                <w:szCs w:val="20"/>
              </w:rPr>
              <w:t xml:space="preserve">’s </w:t>
            </w:r>
          </w:p>
        </w:tc>
        <w:tc>
          <w:tcPr>
            <w:tcW w:w="0" w:type="auto"/>
            <w:shd w:val="clear" w:color="auto" w:fill="auto"/>
            <w:vAlign w:val="center"/>
          </w:tcPr>
          <w:p w:rsidR="0062320E" w:rsidRPr="004E79BD" w:rsidRDefault="0062320E" w:rsidP="00C20677">
            <w:pPr>
              <w:keepNext/>
              <w:keepLines/>
              <w:rPr>
                <w:sz w:val="20"/>
                <w:szCs w:val="20"/>
              </w:rPr>
            </w:pPr>
            <w:r w:rsidRPr="004E79BD">
              <w:rPr>
                <w:sz w:val="20"/>
                <w:szCs w:val="20"/>
              </w:rPr>
              <w:t>the estimated parameters</w:t>
            </w:r>
          </w:p>
        </w:tc>
      </w:tr>
      <w:tr w:rsidR="0062320E" w:rsidTr="00C20677">
        <w:trPr>
          <w:jc w:val="center"/>
        </w:trPr>
        <w:tc>
          <w:tcPr>
            <w:tcW w:w="0" w:type="auto"/>
            <w:shd w:val="clear" w:color="auto" w:fill="auto"/>
            <w:vAlign w:val="center"/>
          </w:tcPr>
          <w:p w:rsidR="0062320E" w:rsidRPr="004E79BD" w:rsidRDefault="0062320E" w:rsidP="00C20677">
            <w:pPr>
              <w:keepNext/>
              <w:keepLines/>
              <w:jc w:val="center"/>
              <w:rPr>
                <w:sz w:val="20"/>
                <w:szCs w:val="20"/>
              </w:rPr>
            </w:pPr>
            <w:r w:rsidRPr="004E79BD">
              <w:rPr>
                <w:i/>
                <w:sz w:val="20"/>
                <w:szCs w:val="20"/>
              </w:rPr>
              <w:t>h</w:t>
            </w:r>
            <w:r w:rsidRPr="004E79BD">
              <w:rPr>
                <w:i/>
                <w:sz w:val="20"/>
                <w:szCs w:val="20"/>
                <w:vertAlign w:val="subscript"/>
              </w:rPr>
              <w:t>i,t</w:t>
            </w:r>
          </w:p>
        </w:tc>
        <w:tc>
          <w:tcPr>
            <w:tcW w:w="0" w:type="auto"/>
            <w:shd w:val="clear" w:color="auto" w:fill="auto"/>
            <w:vAlign w:val="center"/>
          </w:tcPr>
          <w:p w:rsidR="0062320E" w:rsidRPr="004E79BD" w:rsidRDefault="0062320E" w:rsidP="00C20677">
            <w:pPr>
              <w:keepNext/>
              <w:keepLines/>
              <w:rPr>
                <w:sz w:val="20"/>
                <w:szCs w:val="20"/>
              </w:rPr>
            </w:pPr>
            <w:r w:rsidRPr="004E79BD">
              <w:rPr>
                <w:sz w:val="20"/>
                <w:szCs w:val="20"/>
              </w:rPr>
              <w:t xml:space="preserve">an indicator variable for hour </w:t>
            </w:r>
            <w:r w:rsidRPr="004E79BD">
              <w:rPr>
                <w:i/>
                <w:sz w:val="20"/>
                <w:szCs w:val="20"/>
              </w:rPr>
              <w:t>i</w:t>
            </w:r>
            <w:r w:rsidRPr="004E79BD">
              <w:rPr>
                <w:sz w:val="20"/>
                <w:szCs w:val="20"/>
              </w:rPr>
              <w:t xml:space="preserve">, equal to one when </w:t>
            </w:r>
            <w:r w:rsidRPr="004E79BD">
              <w:rPr>
                <w:i/>
                <w:sz w:val="20"/>
                <w:szCs w:val="20"/>
              </w:rPr>
              <w:t>t</w:t>
            </w:r>
            <w:r w:rsidRPr="004E79BD">
              <w:rPr>
                <w:sz w:val="20"/>
                <w:szCs w:val="20"/>
              </w:rPr>
              <w:t xml:space="preserve"> corresponds to hour </w:t>
            </w:r>
            <w:r w:rsidRPr="004E79BD">
              <w:rPr>
                <w:i/>
                <w:sz w:val="20"/>
                <w:szCs w:val="20"/>
              </w:rPr>
              <w:t>i</w:t>
            </w:r>
            <w:r w:rsidRPr="004E79BD">
              <w:rPr>
                <w:sz w:val="20"/>
                <w:szCs w:val="20"/>
              </w:rPr>
              <w:t xml:space="preserve"> of a given day</w:t>
            </w:r>
          </w:p>
        </w:tc>
      </w:tr>
      <w:tr w:rsidR="0062320E" w:rsidTr="00C20677">
        <w:trPr>
          <w:jc w:val="center"/>
        </w:trPr>
        <w:tc>
          <w:tcPr>
            <w:tcW w:w="0" w:type="auto"/>
            <w:shd w:val="clear" w:color="auto" w:fill="auto"/>
            <w:vAlign w:val="center"/>
          </w:tcPr>
          <w:p w:rsidR="0062320E" w:rsidRPr="004E79BD" w:rsidRDefault="0062320E" w:rsidP="00C20677">
            <w:pPr>
              <w:keepNext/>
              <w:keepLines/>
              <w:jc w:val="center"/>
              <w:rPr>
                <w:i/>
                <w:sz w:val="20"/>
                <w:szCs w:val="20"/>
              </w:rPr>
            </w:pPr>
            <w:r w:rsidRPr="004E79BD">
              <w:rPr>
                <w:i/>
                <w:sz w:val="20"/>
                <w:szCs w:val="20"/>
              </w:rPr>
              <w:t>BIP</w:t>
            </w:r>
            <w:r w:rsidRPr="004E79BD">
              <w:rPr>
                <w:i/>
                <w:sz w:val="20"/>
                <w:szCs w:val="20"/>
                <w:vertAlign w:val="subscript"/>
              </w:rPr>
              <w:t>t</w:t>
            </w:r>
          </w:p>
        </w:tc>
        <w:tc>
          <w:tcPr>
            <w:tcW w:w="0" w:type="auto"/>
            <w:shd w:val="clear" w:color="auto" w:fill="auto"/>
            <w:vAlign w:val="center"/>
          </w:tcPr>
          <w:p w:rsidR="0062320E" w:rsidRPr="004E79BD" w:rsidRDefault="0062320E" w:rsidP="00C20677">
            <w:pPr>
              <w:keepNext/>
              <w:keepLines/>
              <w:rPr>
                <w:sz w:val="20"/>
                <w:szCs w:val="20"/>
              </w:rPr>
            </w:pPr>
            <w:r w:rsidRPr="004E79BD">
              <w:rPr>
                <w:sz w:val="20"/>
                <w:szCs w:val="20"/>
              </w:rPr>
              <w:t>an indicator variable for program event days</w:t>
            </w:r>
          </w:p>
        </w:tc>
      </w:tr>
      <w:tr w:rsidR="0062320E" w:rsidTr="00C20677">
        <w:trPr>
          <w:jc w:val="center"/>
        </w:trPr>
        <w:tc>
          <w:tcPr>
            <w:tcW w:w="0" w:type="auto"/>
            <w:shd w:val="clear" w:color="auto" w:fill="auto"/>
            <w:vAlign w:val="center"/>
          </w:tcPr>
          <w:p w:rsidR="0062320E" w:rsidRPr="004E79BD" w:rsidRDefault="0062320E" w:rsidP="00C20677">
            <w:pPr>
              <w:keepNext/>
              <w:keepLines/>
              <w:jc w:val="center"/>
              <w:rPr>
                <w:i/>
                <w:sz w:val="20"/>
                <w:szCs w:val="20"/>
              </w:rPr>
            </w:pPr>
            <w:r w:rsidRPr="004E79BD">
              <w:rPr>
                <w:i/>
                <w:sz w:val="20"/>
                <w:szCs w:val="20"/>
              </w:rPr>
              <w:t>E</w:t>
            </w:r>
          </w:p>
        </w:tc>
        <w:tc>
          <w:tcPr>
            <w:tcW w:w="0" w:type="auto"/>
            <w:shd w:val="clear" w:color="auto" w:fill="auto"/>
            <w:vAlign w:val="center"/>
          </w:tcPr>
          <w:p w:rsidR="0062320E" w:rsidRPr="004E79BD" w:rsidRDefault="0062320E" w:rsidP="00C20677">
            <w:pPr>
              <w:keepNext/>
              <w:keepLines/>
              <w:rPr>
                <w:sz w:val="20"/>
                <w:szCs w:val="20"/>
              </w:rPr>
            </w:pPr>
            <w:r w:rsidRPr="004E79BD">
              <w:rPr>
                <w:sz w:val="20"/>
                <w:szCs w:val="20"/>
              </w:rPr>
              <w:t xml:space="preserve">the number of program event days that occurred during the program year </w:t>
            </w:r>
          </w:p>
        </w:tc>
      </w:tr>
      <w:tr w:rsidR="0062320E" w:rsidTr="00C20677">
        <w:trPr>
          <w:jc w:val="center"/>
        </w:trPr>
        <w:tc>
          <w:tcPr>
            <w:tcW w:w="0" w:type="auto"/>
            <w:shd w:val="clear" w:color="auto" w:fill="auto"/>
            <w:vAlign w:val="center"/>
          </w:tcPr>
          <w:p w:rsidR="0062320E" w:rsidRPr="004E79BD" w:rsidRDefault="0062320E" w:rsidP="00C20677">
            <w:pPr>
              <w:keepNext/>
              <w:keepLines/>
              <w:jc w:val="center"/>
              <w:rPr>
                <w:sz w:val="20"/>
                <w:szCs w:val="20"/>
              </w:rPr>
            </w:pPr>
            <w:r w:rsidRPr="004E79BD">
              <w:rPr>
                <w:position w:val="-14"/>
                <w:sz w:val="20"/>
                <w:szCs w:val="20"/>
              </w:rPr>
              <w:object w:dxaOrig="1180" w:dyaOrig="400">
                <v:shape id="_x0000_i1028" type="#_x0000_t75" style="width:58.5pt;height:19.5pt" o:ole="">
                  <v:imagedata r:id="rId15" o:title=""/>
                </v:shape>
                <o:OLEObject Type="Embed" ProgID="Equation.3" ShapeID="_x0000_i1028" DrawAspect="Content" ObjectID="_1520921708" r:id="rId19"/>
              </w:object>
            </w:r>
          </w:p>
        </w:tc>
        <w:tc>
          <w:tcPr>
            <w:tcW w:w="0" w:type="auto"/>
            <w:shd w:val="clear" w:color="auto" w:fill="auto"/>
            <w:vAlign w:val="center"/>
          </w:tcPr>
          <w:p w:rsidR="0062320E" w:rsidRPr="004E79BD" w:rsidRDefault="0062320E" w:rsidP="00C20677">
            <w:pPr>
              <w:keepNext/>
              <w:keepLines/>
              <w:rPr>
                <w:sz w:val="20"/>
                <w:szCs w:val="20"/>
              </w:rPr>
            </w:pPr>
            <w:r w:rsidRPr="004E79BD">
              <w:rPr>
                <w:sz w:val="20"/>
                <w:szCs w:val="20"/>
              </w:rPr>
              <w:t xml:space="preserve">an indicator variable for event day </w:t>
            </w:r>
            <w:r w:rsidRPr="004E79BD">
              <w:rPr>
                <w:i/>
                <w:sz w:val="20"/>
                <w:szCs w:val="20"/>
              </w:rPr>
              <w:t>DR</w:t>
            </w:r>
            <w:r w:rsidRPr="004E79BD">
              <w:rPr>
                <w:sz w:val="20"/>
                <w:szCs w:val="20"/>
              </w:rPr>
              <w:t xml:space="preserve"> of other demand response programs in which the customer is enrolled (e.g. </w:t>
            </w:r>
            <w:r w:rsidRPr="004E79BD">
              <w:rPr>
                <w:i/>
                <w:sz w:val="20"/>
                <w:szCs w:val="20"/>
              </w:rPr>
              <w:t>DR</w:t>
            </w:r>
            <w:r w:rsidRPr="004E79BD">
              <w:rPr>
                <w:sz w:val="20"/>
                <w:szCs w:val="20"/>
              </w:rPr>
              <w:t xml:space="preserve"> = DBP Event 1, DBP Event 2, ...)</w:t>
            </w:r>
          </w:p>
        </w:tc>
      </w:tr>
      <w:tr w:rsidR="0062320E" w:rsidTr="00C20677">
        <w:trPr>
          <w:jc w:val="center"/>
        </w:trPr>
        <w:tc>
          <w:tcPr>
            <w:tcW w:w="0" w:type="auto"/>
            <w:shd w:val="clear" w:color="auto" w:fill="auto"/>
            <w:vAlign w:val="center"/>
          </w:tcPr>
          <w:p w:rsidR="0062320E" w:rsidRPr="004E79BD" w:rsidRDefault="0062320E" w:rsidP="00C20677">
            <w:pPr>
              <w:keepNext/>
              <w:keepLines/>
              <w:jc w:val="center"/>
              <w:rPr>
                <w:i/>
                <w:sz w:val="20"/>
                <w:szCs w:val="20"/>
              </w:rPr>
            </w:pPr>
            <w:r w:rsidRPr="004E79BD">
              <w:rPr>
                <w:i/>
                <w:sz w:val="20"/>
                <w:szCs w:val="20"/>
              </w:rPr>
              <w:t>Weather</w:t>
            </w:r>
            <w:r w:rsidRPr="004E79BD">
              <w:rPr>
                <w:i/>
                <w:sz w:val="20"/>
                <w:szCs w:val="20"/>
                <w:vertAlign w:val="subscript"/>
              </w:rPr>
              <w:t>t</w:t>
            </w:r>
          </w:p>
        </w:tc>
        <w:tc>
          <w:tcPr>
            <w:tcW w:w="0" w:type="auto"/>
            <w:shd w:val="clear" w:color="auto" w:fill="auto"/>
            <w:vAlign w:val="center"/>
          </w:tcPr>
          <w:p w:rsidR="0062320E" w:rsidRPr="004E79BD" w:rsidRDefault="0062320E" w:rsidP="00C20677">
            <w:pPr>
              <w:keepNext/>
              <w:keepLines/>
              <w:rPr>
                <w:sz w:val="20"/>
                <w:szCs w:val="20"/>
              </w:rPr>
            </w:pPr>
            <w:r w:rsidRPr="004E79BD">
              <w:rPr>
                <w:sz w:val="20"/>
                <w:szCs w:val="20"/>
              </w:rPr>
              <w:t xml:space="preserve">the weather variables selected using our model screening process </w:t>
            </w:r>
          </w:p>
        </w:tc>
      </w:tr>
      <w:tr w:rsidR="0062320E" w:rsidTr="00C20677">
        <w:trPr>
          <w:jc w:val="center"/>
        </w:trPr>
        <w:tc>
          <w:tcPr>
            <w:tcW w:w="0" w:type="auto"/>
            <w:shd w:val="clear" w:color="auto" w:fill="auto"/>
            <w:vAlign w:val="center"/>
          </w:tcPr>
          <w:p w:rsidR="0062320E" w:rsidRPr="004E79BD" w:rsidRDefault="0062320E" w:rsidP="00C20677">
            <w:pPr>
              <w:keepNext/>
              <w:keepLines/>
              <w:jc w:val="center"/>
              <w:rPr>
                <w:sz w:val="20"/>
                <w:szCs w:val="20"/>
              </w:rPr>
            </w:pPr>
            <w:r w:rsidRPr="004E79BD">
              <w:rPr>
                <w:i/>
                <w:sz w:val="20"/>
                <w:szCs w:val="20"/>
              </w:rPr>
              <w:t>DTYPE</w:t>
            </w:r>
            <w:r w:rsidRPr="004E79BD">
              <w:rPr>
                <w:i/>
                <w:sz w:val="20"/>
                <w:szCs w:val="20"/>
                <w:vertAlign w:val="subscript"/>
              </w:rPr>
              <w:t>j,t</w:t>
            </w:r>
          </w:p>
        </w:tc>
        <w:tc>
          <w:tcPr>
            <w:tcW w:w="0" w:type="auto"/>
            <w:shd w:val="clear" w:color="auto" w:fill="auto"/>
            <w:vAlign w:val="center"/>
          </w:tcPr>
          <w:p w:rsidR="0062320E" w:rsidRPr="004E79BD" w:rsidRDefault="0062320E" w:rsidP="00C20677">
            <w:pPr>
              <w:keepNext/>
              <w:keepLines/>
              <w:rPr>
                <w:sz w:val="20"/>
                <w:szCs w:val="20"/>
              </w:rPr>
            </w:pPr>
            <w:r w:rsidRPr="004E79BD">
              <w:rPr>
                <w:sz w:val="20"/>
                <w:szCs w:val="20"/>
              </w:rPr>
              <w:t>a series of indicator variables for each day of the week</w:t>
            </w:r>
          </w:p>
        </w:tc>
      </w:tr>
      <w:tr w:rsidR="0062320E" w:rsidTr="00C20677">
        <w:trPr>
          <w:jc w:val="center"/>
        </w:trPr>
        <w:tc>
          <w:tcPr>
            <w:tcW w:w="0" w:type="auto"/>
            <w:shd w:val="clear" w:color="auto" w:fill="auto"/>
            <w:vAlign w:val="center"/>
          </w:tcPr>
          <w:p w:rsidR="0062320E" w:rsidRPr="004E79BD" w:rsidRDefault="0062320E" w:rsidP="00C20677">
            <w:pPr>
              <w:keepNext/>
              <w:keepLines/>
              <w:jc w:val="center"/>
              <w:rPr>
                <w:sz w:val="20"/>
                <w:szCs w:val="20"/>
              </w:rPr>
            </w:pPr>
            <w:r w:rsidRPr="004E79BD">
              <w:rPr>
                <w:i/>
                <w:sz w:val="20"/>
                <w:szCs w:val="20"/>
              </w:rPr>
              <w:t>MON</w:t>
            </w:r>
            <w:r w:rsidRPr="004E79BD">
              <w:rPr>
                <w:i/>
                <w:sz w:val="20"/>
                <w:szCs w:val="20"/>
                <w:vertAlign w:val="subscript"/>
              </w:rPr>
              <w:t>t</w:t>
            </w:r>
            <w:r w:rsidRPr="004E79BD">
              <w:rPr>
                <w:i/>
                <w:sz w:val="20"/>
                <w:szCs w:val="20"/>
              </w:rPr>
              <w:t>, FRI</w:t>
            </w:r>
            <w:r w:rsidRPr="004E79BD">
              <w:rPr>
                <w:i/>
                <w:sz w:val="20"/>
                <w:szCs w:val="20"/>
                <w:vertAlign w:val="subscript"/>
              </w:rPr>
              <w:t>t</w:t>
            </w:r>
            <w:r w:rsidRPr="004E79BD">
              <w:rPr>
                <w:sz w:val="20"/>
                <w:szCs w:val="20"/>
              </w:rPr>
              <w:t>,</w:t>
            </w:r>
          </w:p>
        </w:tc>
        <w:tc>
          <w:tcPr>
            <w:tcW w:w="0" w:type="auto"/>
            <w:shd w:val="clear" w:color="auto" w:fill="auto"/>
            <w:vAlign w:val="center"/>
          </w:tcPr>
          <w:p w:rsidR="0062320E" w:rsidRPr="004E79BD" w:rsidRDefault="0062320E" w:rsidP="00C20677">
            <w:pPr>
              <w:keepNext/>
              <w:keepLines/>
              <w:rPr>
                <w:sz w:val="20"/>
                <w:szCs w:val="20"/>
              </w:rPr>
            </w:pPr>
            <w:r w:rsidRPr="004E79BD">
              <w:rPr>
                <w:sz w:val="20"/>
                <w:szCs w:val="20"/>
              </w:rPr>
              <w:t>indicator variables for Monday and Friday</w:t>
            </w:r>
          </w:p>
        </w:tc>
      </w:tr>
      <w:tr w:rsidR="0062320E" w:rsidTr="00C20677">
        <w:trPr>
          <w:jc w:val="center"/>
        </w:trPr>
        <w:tc>
          <w:tcPr>
            <w:tcW w:w="1895" w:type="dxa"/>
            <w:shd w:val="clear" w:color="auto" w:fill="auto"/>
            <w:vAlign w:val="center"/>
          </w:tcPr>
          <w:p w:rsidR="0062320E" w:rsidRPr="004E79BD" w:rsidRDefault="0062320E" w:rsidP="00C20677">
            <w:pPr>
              <w:keepNext/>
              <w:keepLines/>
              <w:jc w:val="center"/>
              <w:rPr>
                <w:b/>
                <w:sz w:val="20"/>
                <w:szCs w:val="20"/>
              </w:rPr>
            </w:pPr>
            <w:r w:rsidRPr="004E79BD">
              <w:rPr>
                <w:i/>
                <w:sz w:val="20"/>
                <w:szCs w:val="20"/>
              </w:rPr>
              <w:t>MONTH</w:t>
            </w:r>
            <w:r w:rsidRPr="004E79BD">
              <w:rPr>
                <w:i/>
                <w:sz w:val="20"/>
                <w:szCs w:val="20"/>
                <w:vertAlign w:val="subscript"/>
              </w:rPr>
              <w:t>j,t</w:t>
            </w:r>
          </w:p>
        </w:tc>
        <w:tc>
          <w:tcPr>
            <w:tcW w:w="6735" w:type="dxa"/>
            <w:shd w:val="clear" w:color="auto" w:fill="auto"/>
            <w:vAlign w:val="center"/>
          </w:tcPr>
          <w:p w:rsidR="0062320E" w:rsidRPr="004E79BD" w:rsidRDefault="0062320E" w:rsidP="00C20677">
            <w:pPr>
              <w:keepNext/>
              <w:keepLines/>
              <w:rPr>
                <w:b/>
                <w:sz w:val="20"/>
                <w:szCs w:val="20"/>
              </w:rPr>
            </w:pPr>
            <w:r w:rsidRPr="004E79BD">
              <w:rPr>
                <w:sz w:val="20"/>
                <w:szCs w:val="20"/>
              </w:rPr>
              <w:t xml:space="preserve">a series of indicator variables for each month </w:t>
            </w:r>
          </w:p>
        </w:tc>
      </w:tr>
      <w:tr w:rsidR="0062320E" w:rsidTr="00C20677">
        <w:trPr>
          <w:trHeight w:val="331"/>
          <w:jc w:val="center"/>
        </w:trPr>
        <w:tc>
          <w:tcPr>
            <w:tcW w:w="1895" w:type="dxa"/>
            <w:shd w:val="clear" w:color="auto" w:fill="auto"/>
            <w:vAlign w:val="center"/>
          </w:tcPr>
          <w:p w:rsidR="0062320E" w:rsidRPr="004E79BD" w:rsidRDefault="0062320E" w:rsidP="00C20677">
            <w:pPr>
              <w:keepNext/>
              <w:keepLines/>
              <w:jc w:val="center"/>
              <w:rPr>
                <w:sz w:val="20"/>
                <w:szCs w:val="20"/>
              </w:rPr>
            </w:pPr>
            <w:r w:rsidRPr="004E79BD">
              <w:rPr>
                <w:i/>
                <w:sz w:val="20"/>
                <w:szCs w:val="20"/>
              </w:rPr>
              <w:t>e</w:t>
            </w:r>
            <w:r w:rsidRPr="004E79BD">
              <w:rPr>
                <w:i/>
                <w:sz w:val="20"/>
                <w:szCs w:val="20"/>
                <w:vertAlign w:val="subscript"/>
              </w:rPr>
              <w:t>t</w:t>
            </w:r>
          </w:p>
        </w:tc>
        <w:tc>
          <w:tcPr>
            <w:tcW w:w="6735" w:type="dxa"/>
            <w:shd w:val="clear" w:color="auto" w:fill="auto"/>
            <w:vAlign w:val="center"/>
          </w:tcPr>
          <w:p w:rsidR="0062320E" w:rsidRPr="004E79BD" w:rsidRDefault="0062320E" w:rsidP="00C20677">
            <w:pPr>
              <w:keepNext/>
              <w:keepLines/>
              <w:rPr>
                <w:sz w:val="20"/>
                <w:szCs w:val="20"/>
              </w:rPr>
            </w:pPr>
            <w:r w:rsidRPr="004E79BD">
              <w:rPr>
                <w:sz w:val="20"/>
                <w:szCs w:val="20"/>
              </w:rPr>
              <w:t>the error term</w:t>
            </w:r>
          </w:p>
        </w:tc>
      </w:tr>
    </w:tbl>
    <w:p w:rsidR="0062320E" w:rsidRDefault="0062320E" w:rsidP="0062320E"/>
    <w:p w:rsidR="0062320E" w:rsidRDefault="0062320E" w:rsidP="0062320E"/>
    <w:p w:rsidR="0062320E" w:rsidRDefault="0062320E" w:rsidP="0062320E">
      <w:r>
        <w:t xml:space="preserve">Once these models were estimated, we simulated 24-hour load profiles for each required scenario. The typical event day was assumed to occur in August. In 2014, two sets of 1-in-2 and 1-in-10 weather years were introduced in the load impact analyses. The sets are differentiated according to whether they correspond to utility-specific conditions or CAISO-coincident conditions. The weather conditions used in prior evaluations corresponded to the utility-specific scenarios. </w:t>
      </w:r>
    </w:p>
    <w:p w:rsidR="0062320E" w:rsidRDefault="0062320E" w:rsidP="0062320E"/>
    <w:p w:rsidR="0062320E" w:rsidRDefault="0062320E" w:rsidP="0062320E">
      <w:pPr>
        <w:numPr>
          <w:ilvl w:val="0"/>
          <w:numId w:val="15"/>
        </w:numPr>
      </w:pPr>
      <w:r w:rsidRPr="00AA5190">
        <w:rPr>
          <w:i/>
        </w:rPr>
        <w:t>Calculate</w:t>
      </w:r>
      <w:r>
        <w:rPr>
          <w:i/>
        </w:rPr>
        <w:t xml:space="preserve"> forecast</w:t>
      </w:r>
      <w:r w:rsidRPr="00AA5190">
        <w:rPr>
          <w:i/>
        </w:rPr>
        <w:t xml:space="preserve"> load impacts</w:t>
      </w:r>
    </w:p>
    <w:p w:rsidR="004E79BD" w:rsidRDefault="004E79BD" w:rsidP="0062320E">
      <w:pPr>
        <w:tabs>
          <w:tab w:val="left" w:pos="4140"/>
        </w:tabs>
      </w:pPr>
    </w:p>
    <w:p w:rsidR="0062320E" w:rsidRPr="008227A8" w:rsidRDefault="0062320E" w:rsidP="00110D69">
      <w:pPr>
        <w:spacing w:line="276" w:lineRule="auto"/>
        <w:ind w:firstLine="360"/>
        <w:rPr>
          <w:color w:val="000000" w:themeColor="text1"/>
        </w:rPr>
      </w:pPr>
      <w:r w:rsidRPr="008227A8">
        <w:rPr>
          <w:color w:val="000000" w:themeColor="text1"/>
        </w:rPr>
        <w:t>Each service account’s achievement rate is defined as the estimated load impact divided by the difference between the reference load and the FSL. A result of 100 percent implies that the customer dropped its load exactly to its FSL. Values greater than 100 percent imply event-day loads lower than the FSL, and values less than 100 percent imply event-day loads higher than the FSL.</w:t>
      </w:r>
      <w:r w:rsidRPr="008227A8">
        <w:rPr>
          <w:rStyle w:val="FootnoteReference"/>
          <w:color w:val="000000" w:themeColor="text1"/>
        </w:rPr>
        <w:footnoteReference w:id="15"/>
      </w:r>
      <w:r w:rsidRPr="008227A8">
        <w:rPr>
          <w:color w:val="000000" w:themeColor="text1"/>
        </w:rPr>
        <w:t xml:space="preserve">The achievement rates are based on the estimates for the most recent observed event day. </w:t>
      </w:r>
    </w:p>
    <w:p w:rsidR="0062320E" w:rsidRPr="008227A8" w:rsidRDefault="0062320E" w:rsidP="004E79BD">
      <w:pPr>
        <w:spacing w:line="276" w:lineRule="auto"/>
        <w:ind w:firstLine="360"/>
        <w:rPr>
          <w:color w:val="000000" w:themeColor="text1"/>
        </w:rPr>
      </w:pPr>
    </w:p>
    <w:p w:rsidR="0062320E" w:rsidRPr="008227A8" w:rsidRDefault="0062320E" w:rsidP="004E79BD">
      <w:pPr>
        <w:spacing w:line="276" w:lineRule="auto"/>
        <w:ind w:firstLine="360"/>
        <w:rPr>
          <w:color w:val="000000" w:themeColor="text1"/>
        </w:rPr>
      </w:pPr>
      <w:r w:rsidRPr="008227A8">
        <w:rPr>
          <w:color w:val="000000" w:themeColor="text1"/>
        </w:rPr>
        <w:t xml:space="preserve">Because the forecast event window (1:00 to 6:00 p.m. in April through October; and 4:00 to 9:00 p.m. in all other months) differs from the historical event window (which can vary across event days), we needed to adjust the historical load impacts for use in the </w:t>
      </w:r>
      <w:r w:rsidRPr="008227A8">
        <w:rPr>
          <w:i/>
          <w:color w:val="000000" w:themeColor="text1"/>
        </w:rPr>
        <w:t>ex-ante</w:t>
      </w:r>
      <w:r w:rsidRPr="008227A8">
        <w:rPr>
          <w:color w:val="000000" w:themeColor="text1"/>
        </w:rPr>
        <w:t xml:space="preserve"> study. Load impacts are assumed to be zero until the hour prior to the beginning of the event, at which time we apply historical load impacts to the forecast window to best represent the pattern of customer response given the limitations of the observed events. We develop forecast load impacts through the end of the event day because customers load reductions often persist well after the end of the event hours.</w:t>
      </w:r>
    </w:p>
    <w:p w:rsidR="0062320E" w:rsidRPr="008227A8" w:rsidRDefault="0062320E" w:rsidP="004E79BD">
      <w:pPr>
        <w:spacing w:line="276" w:lineRule="auto"/>
        <w:ind w:firstLine="360"/>
        <w:rPr>
          <w:color w:val="000000" w:themeColor="text1"/>
        </w:rPr>
      </w:pPr>
    </w:p>
    <w:p w:rsidR="0062320E" w:rsidRPr="008227A8" w:rsidRDefault="0062320E" w:rsidP="0062320E">
      <w:pPr>
        <w:rPr>
          <w:color w:val="000000" w:themeColor="text1"/>
        </w:rPr>
      </w:pPr>
    </w:p>
    <w:p w:rsidR="0062320E" w:rsidRPr="008227A8" w:rsidRDefault="0062320E" w:rsidP="0062320E">
      <w:pPr>
        <w:numPr>
          <w:ilvl w:val="0"/>
          <w:numId w:val="15"/>
        </w:numPr>
        <w:rPr>
          <w:color w:val="000000" w:themeColor="text1"/>
        </w:rPr>
      </w:pPr>
      <w:r w:rsidRPr="008227A8">
        <w:rPr>
          <w:i/>
          <w:color w:val="000000" w:themeColor="text1"/>
        </w:rPr>
        <w:lastRenderedPageBreak/>
        <w:t>Apply achievement rates to reference loads for each event scenario</w:t>
      </w:r>
      <w:r w:rsidRPr="008227A8">
        <w:rPr>
          <w:color w:val="000000" w:themeColor="text1"/>
        </w:rPr>
        <w:t xml:space="preserve">. </w:t>
      </w:r>
    </w:p>
    <w:p w:rsidR="004E79BD" w:rsidRPr="008227A8" w:rsidRDefault="004E79BD" w:rsidP="0062320E">
      <w:pPr>
        <w:rPr>
          <w:color w:val="000000" w:themeColor="text1"/>
        </w:rPr>
      </w:pPr>
    </w:p>
    <w:p w:rsidR="0062320E" w:rsidRPr="008227A8" w:rsidRDefault="0062320E" w:rsidP="004E79BD">
      <w:pPr>
        <w:spacing w:line="276" w:lineRule="auto"/>
        <w:ind w:firstLine="360"/>
        <w:rPr>
          <w:color w:val="000000" w:themeColor="text1"/>
        </w:rPr>
      </w:pPr>
      <w:r w:rsidRPr="008227A8">
        <w:rPr>
          <w:color w:val="000000" w:themeColor="text1"/>
        </w:rPr>
        <w:t xml:space="preserve">In this step, the customer-specific achievement rates are applied to the reference loads for each scenario to produce all of the required estimated event-day loads and load impacts. For customers for which an achievement rate cannot be calculated, either because they were not enrolled in 2015 or because their reference loads were below their FSLs, the average achievement rate among all customers is used. </w:t>
      </w:r>
    </w:p>
    <w:p w:rsidR="004E79BD" w:rsidRPr="008227A8" w:rsidRDefault="004E79BD" w:rsidP="0062320E">
      <w:pPr>
        <w:rPr>
          <w:color w:val="000000" w:themeColor="text1"/>
        </w:rPr>
      </w:pPr>
    </w:p>
    <w:p w:rsidR="0062320E" w:rsidRPr="008227A8" w:rsidRDefault="0062320E" w:rsidP="0062320E">
      <w:pPr>
        <w:numPr>
          <w:ilvl w:val="0"/>
          <w:numId w:val="15"/>
        </w:numPr>
        <w:rPr>
          <w:color w:val="000000" w:themeColor="text1"/>
        </w:rPr>
      </w:pPr>
      <w:r w:rsidRPr="008227A8">
        <w:rPr>
          <w:i/>
          <w:color w:val="000000" w:themeColor="text1"/>
        </w:rPr>
        <w:t>Apply forecast enrollments to produce program-level load impacts</w:t>
      </w:r>
      <w:r w:rsidRPr="008227A8">
        <w:rPr>
          <w:color w:val="000000" w:themeColor="text1"/>
        </w:rPr>
        <w:t xml:space="preserve">. </w:t>
      </w:r>
    </w:p>
    <w:p w:rsidR="004E79BD" w:rsidRPr="008227A8" w:rsidRDefault="004E79BD" w:rsidP="0062320E">
      <w:pPr>
        <w:rPr>
          <w:color w:val="000000" w:themeColor="text1"/>
        </w:rPr>
      </w:pPr>
    </w:p>
    <w:p w:rsidR="0062320E" w:rsidRDefault="0062320E" w:rsidP="004E79BD">
      <w:pPr>
        <w:spacing w:line="276" w:lineRule="auto"/>
        <w:ind w:firstLine="360"/>
        <w:rPr>
          <w:color w:val="000000" w:themeColor="text1"/>
        </w:rPr>
      </w:pPr>
      <w:r w:rsidRPr="008227A8">
        <w:rPr>
          <w:color w:val="000000" w:themeColor="text1"/>
        </w:rPr>
        <w:t xml:space="preserve">The SDG&amp;E </w:t>
      </w:r>
      <w:r w:rsidR="00517F0C">
        <w:rPr>
          <w:color w:val="000000" w:themeColor="text1"/>
        </w:rPr>
        <w:t>enro</w:t>
      </w:r>
      <w:r w:rsidR="002D1054">
        <w:rPr>
          <w:color w:val="000000" w:themeColor="text1"/>
        </w:rPr>
        <w:t>llment fo</w:t>
      </w:r>
      <w:r w:rsidR="00517F0C">
        <w:rPr>
          <w:color w:val="000000" w:themeColor="text1"/>
        </w:rPr>
        <w:t>r</w:t>
      </w:r>
      <w:r w:rsidR="008B22E5">
        <w:rPr>
          <w:color w:val="000000" w:themeColor="text1"/>
        </w:rPr>
        <w:t>ecast projects</w:t>
      </w:r>
      <w:r w:rsidR="002D1054">
        <w:rPr>
          <w:color w:val="000000" w:themeColor="text1"/>
        </w:rPr>
        <w:t xml:space="preserve"> that enrollment </w:t>
      </w:r>
      <w:r w:rsidR="008B22E5">
        <w:rPr>
          <w:color w:val="000000" w:themeColor="text1"/>
        </w:rPr>
        <w:t xml:space="preserve">will grow </w:t>
      </w:r>
      <w:r w:rsidR="002D1054">
        <w:rPr>
          <w:color w:val="000000" w:themeColor="text1"/>
        </w:rPr>
        <w:t xml:space="preserve">from </w:t>
      </w:r>
      <w:r w:rsidR="00517F0C">
        <w:rPr>
          <w:color w:val="000000" w:themeColor="text1"/>
        </w:rPr>
        <w:t xml:space="preserve">5 accounts in 2015 to 7 accounts in 2016 and that </w:t>
      </w:r>
      <w:r w:rsidR="008B22E5">
        <w:rPr>
          <w:color w:val="000000" w:themeColor="text1"/>
        </w:rPr>
        <w:t xml:space="preserve">and </w:t>
      </w:r>
      <w:r w:rsidRPr="008227A8">
        <w:rPr>
          <w:color w:val="000000" w:themeColor="text1"/>
        </w:rPr>
        <w:t xml:space="preserve">remain constant throughout the </w:t>
      </w:r>
      <w:r w:rsidR="00517F0C">
        <w:rPr>
          <w:color w:val="000000" w:themeColor="text1"/>
        </w:rPr>
        <w:t xml:space="preserve">remainder of the </w:t>
      </w:r>
      <w:r w:rsidRPr="008227A8">
        <w:rPr>
          <w:color w:val="000000" w:themeColor="text1"/>
        </w:rPr>
        <w:t>forecast period.</w:t>
      </w:r>
      <w:r w:rsidR="008B22E5">
        <w:rPr>
          <w:color w:val="000000" w:themeColor="text1"/>
        </w:rPr>
        <w:t xml:space="preserve"> (2016-2026)</w:t>
      </w:r>
    </w:p>
    <w:p w:rsidR="00110D69" w:rsidRPr="00D84FC4" w:rsidRDefault="00110D69" w:rsidP="0024252A">
      <w:pPr>
        <w:rPr>
          <w:color w:val="000000" w:themeColor="text1"/>
        </w:rPr>
      </w:pPr>
    </w:p>
    <w:p w:rsidR="00110D69" w:rsidRDefault="00110D69" w:rsidP="00D84FC4">
      <w:pPr>
        <w:pStyle w:val="Heading2"/>
        <w:rPr>
          <w:rFonts w:ascii="Times New Roman" w:hAnsi="Times New Roman" w:cs="Times New Roman"/>
          <w:color w:val="000000" w:themeColor="text1"/>
        </w:rPr>
      </w:pPr>
      <w:bookmarkStart w:id="136" w:name="_Toc447179797"/>
      <w:r w:rsidRPr="00D84FC4">
        <w:rPr>
          <w:rFonts w:ascii="Times New Roman" w:hAnsi="Times New Roman" w:cs="Times New Roman"/>
          <w:color w:val="000000" w:themeColor="text1"/>
        </w:rPr>
        <w:t>BIP Ex-Ante Load Impacts</w:t>
      </w:r>
      <w:bookmarkEnd w:id="136"/>
    </w:p>
    <w:p w:rsidR="00110D69" w:rsidRDefault="00110D69" w:rsidP="00D84FC4"/>
    <w:p w:rsidR="00110D69" w:rsidRDefault="00110D69" w:rsidP="00D84FC4">
      <w:r>
        <w:t xml:space="preserve">  The ex-ante forecast for BIP is shown in table 4-2 below.</w:t>
      </w:r>
    </w:p>
    <w:p w:rsidR="00110D69" w:rsidRDefault="00110D69" w:rsidP="00D84FC4"/>
    <w:p w:rsidR="00110D69" w:rsidRPr="00D84FC4" w:rsidRDefault="005408AF" w:rsidP="00D84FC4">
      <w:pPr>
        <w:pStyle w:val="TableCaption"/>
        <w:keepLines/>
        <w:rPr>
          <w:sz w:val="22"/>
          <w:szCs w:val="22"/>
        </w:rPr>
      </w:pPr>
      <w:r w:rsidRPr="00D84FC4">
        <w:rPr>
          <w:sz w:val="22"/>
          <w:szCs w:val="22"/>
        </w:rPr>
        <w:t>Table</w:t>
      </w:r>
      <w:r w:rsidR="00110D69" w:rsidRPr="00D84FC4">
        <w:rPr>
          <w:sz w:val="22"/>
          <w:szCs w:val="22"/>
        </w:rPr>
        <w:t xml:space="preserve"> 4-</w:t>
      </w:r>
      <w:r w:rsidR="0024252A">
        <w:rPr>
          <w:sz w:val="22"/>
          <w:szCs w:val="22"/>
        </w:rPr>
        <w:t>3</w:t>
      </w:r>
      <w:r>
        <w:rPr>
          <w:sz w:val="22"/>
          <w:szCs w:val="22"/>
        </w:rPr>
        <w:t xml:space="preserve"> SDG&amp;E BiP Ex-Ante Forecast</w:t>
      </w:r>
    </w:p>
    <w:p w:rsidR="00110D69" w:rsidRDefault="00110D69" w:rsidP="00D84FC4"/>
    <w:tbl>
      <w:tblPr>
        <w:tblStyle w:val="ItronBasic"/>
        <w:tblW w:w="5000" w:type="pct"/>
        <w:tblInd w:w="0" w:type="dxa"/>
        <w:tblLook w:val="04A0" w:firstRow="1" w:lastRow="0" w:firstColumn="1" w:lastColumn="0" w:noHBand="0" w:noVBand="1"/>
      </w:tblPr>
      <w:tblGrid>
        <w:gridCol w:w="756"/>
        <w:gridCol w:w="756"/>
        <w:gridCol w:w="757"/>
        <w:gridCol w:w="757"/>
        <w:gridCol w:w="787"/>
        <w:gridCol w:w="787"/>
        <w:gridCol w:w="787"/>
        <w:gridCol w:w="787"/>
        <w:gridCol w:w="914"/>
        <w:gridCol w:w="787"/>
        <w:gridCol w:w="866"/>
        <w:gridCol w:w="835"/>
      </w:tblGrid>
      <w:tr w:rsidR="00110D69" w:rsidTr="00D84FC4">
        <w:trPr>
          <w:cnfStyle w:val="100000000000" w:firstRow="1" w:lastRow="0" w:firstColumn="0" w:lastColumn="0" w:oddVBand="0" w:evenVBand="0" w:oddHBand="0" w:evenHBand="0" w:firstRowFirstColumn="0" w:firstRowLastColumn="0" w:lastRowFirstColumn="0" w:lastRowLastColumn="0"/>
          <w:trHeight w:val="255"/>
        </w:trPr>
        <w:tc>
          <w:tcPr>
            <w:tcW w:w="395"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Jan</w:t>
            </w:r>
          </w:p>
        </w:tc>
        <w:tc>
          <w:tcPr>
            <w:tcW w:w="395"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Feb</w:t>
            </w:r>
          </w:p>
        </w:tc>
        <w:tc>
          <w:tcPr>
            <w:tcW w:w="395"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Mar</w:t>
            </w:r>
          </w:p>
        </w:tc>
        <w:tc>
          <w:tcPr>
            <w:tcW w:w="395"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Apr</w:t>
            </w:r>
          </w:p>
        </w:tc>
        <w:tc>
          <w:tcPr>
            <w:tcW w:w="411"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May</w:t>
            </w:r>
          </w:p>
        </w:tc>
        <w:tc>
          <w:tcPr>
            <w:tcW w:w="411"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Jun</w:t>
            </w:r>
          </w:p>
        </w:tc>
        <w:tc>
          <w:tcPr>
            <w:tcW w:w="411"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Jul</w:t>
            </w:r>
          </w:p>
        </w:tc>
        <w:tc>
          <w:tcPr>
            <w:tcW w:w="411"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Aug</w:t>
            </w:r>
          </w:p>
        </w:tc>
        <w:tc>
          <w:tcPr>
            <w:tcW w:w="477"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Sep</w:t>
            </w:r>
          </w:p>
        </w:tc>
        <w:tc>
          <w:tcPr>
            <w:tcW w:w="411"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Oct</w:t>
            </w:r>
          </w:p>
        </w:tc>
        <w:tc>
          <w:tcPr>
            <w:tcW w:w="452"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Nov</w:t>
            </w:r>
          </w:p>
        </w:tc>
        <w:tc>
          <w:tcPr>
            <w:tcW w:w="436"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Dec</w:t>
            </w:r>
          </w:p>
        </w:tc>
      </w:tr>
      <w:tr w:rsidR="00110D69" w:rsidTr="00D84FC4">
        <w:trPr>
          <w:trHeight w:val="300"/>
        </w:trPr>
        <w:tc>
          <w:tcPr>
            <w:tcW w:w="395"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0.53</w:t>
            </w:r>
          </w:p>
        </w:tc>
        <w:tc>
          <w:tcPr>
            <w:tcW w:w="395"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0.33</w:t>
            </w:r>
          </w:p>
        </w:tc>
        <w:tc>
          <w:tcPr>
            <w:tcW w:w="395"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0.67</w:t>
            </w:r>
          </w:p>
        </w:tc>
        <w:tc>
          <w:tcPr>
            <w:tcW w:w="395"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2.33</w:t>
            </w:r>
          </w:p>
        </w:tc>
        <w:tc>
          <w:tcPr>
            <w:tcW w:w="411"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2.14</w:t>
            </w:r>
          </w:p>
        </w:tc>
        <w:tc>
          <w:tcPr>
            <w:tcW w:w="411"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2.16</w:t>
            </w:r>
          </w:p>
        </w:tc>
        <w:tc>
          <w:tcPr>
            <w:tcW w:w="411"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1.63</w:t>
            </w:r>
          </w:p>
        </w:tc>
        <w:tc>
          <w:tcPr>
            <w:tcW w:w="411"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1.44</w:t>
            </w:r>
          </w:p>
        </w:tc>
        <w:tc>
          <w:tcPr>
            <w:tcW w:w="477"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1.67</w:t>
            </w:r>
          </w:p>
        </w:tc>
        <w:tc>
          <w:tcPr>
            <w:tcW w:w="411"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1.96</w:t>
            </w:r>
          </w:p>
        </w:tc>
        <w:tc>
          <w:tcPr>
            <w:tcW w:w="452"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0.39</w:t>
            </w:r>
          </w:p>
        </w:tc>
        <w:tc>
          <w:tcPr>
            <w:tcW w:w="436" w:type="pct"/>
            <w:noWrap/>
            <w:hideMark/>
          </w:tcPr>
          <w:p w:rsidR="00110D69" w:rsidRDefault="00110D69">
            <w:pPr>
              <w:jc w:val="center"/>
              <w:rPr>
                <w:rFonts w:ascii="Calibri" w:hAnsi="Calibri"/>
                <w:color w:val="000000"/>
                <w:sz w:val="22"/>
                <w:szCs w:val="22"/>
              </w:rPr>
            </w:pPr>
            <w:r>
              <w:rPr>
                <w:rFonts w:ascii="Calibri" w:hAnsi="Calibri"/>
                <w:color w:val="000000"/>
                <w:sz w:val="22"/>
                <w:szCs w:val="22"/>
              </w:rPr>
              <w:t>0.17</w:t>
            </w:r>
          </w:p>
        </w:tc>
      </w:tr>
    </w:tbl>
    <w:p w:rsidR="00110D69" w:rsidRPr="00D84FC4" w:rsidRDefault="00110D69" w:rsidP="00D84FC4"/>
    <w:p w:rsidR="003B3BCE" w:rsidRPr="008227A8" w:rsidRDefault="003B3BCE" w:rsidP="00C37EE6">
      <w:pPr>
        <w:pStyle w:val="BodyParagraph"/>
        <w:spacing w:after="0" w:line="276" w:lineRule="auto"/>
        <w:ind w:firstLine="360"/>
        <w:rPr>
          <w:rFonts w:ascii="Times New Roman" w:hAnsi="Times New Roman"/>
          <w:color w:val="000000" w:themeColor="text1"/>
          <w:highlight w:val="yellow"/>
        </w:rPr>
      </w:pPr>
    </w:p>
    <w:p w:rsidR="00A53241" w:rsidRPr="008227A8" w:rsidRDefault="00F1201D" w:rsidP="00F1201D">
      <w:pPr>
        <w:pStyle w:val="Heading2"/>
        <w:rPr>
          <w:rFonts w:ascii="Times New Roman" w:hAnsi="Times New Roman" w:cs="Times New Roman"/>
          <w:color w:val="000000" w:themeColor="text1"/>
        </w:rPr>
      </w:pPr>
      <w:bookmarkStart w:id="137" w:name="_Toc447179798"/>
      <w:r w:rsidRPr="008227A8">
        <w:rPr>
          <w:rFonts w:ascii="Times New Roman" w:hAnsi="Times New Roman" w:cs="Times New Roman"/>
          <w:color w:val="000000" w:themeColor="text1"/>
        </w:rPr>
        <w:t xml:space="preserve">BIP Comparison of current </w:t>
      </w:r>
      <w:r w:rsidR="00E42BAE" w:rsidRPr="008227A8">
        <w:rPr>
          <w:rFonts w:ascii="Times New Roman" w:hAnsi="Times New Roman" w:cs="Times New Roman"/>
          <w:color w:val="000000" w:themeColor="text1"/>
        </w:rPr>
        <w:t>E</w:t>
      </w:r>
      <w:r w:rsidR="008C46A8" w:rsidRPr="008227A8">
        <w:rPr>
          <w:rFonts w:ascii="Times New Roman" w:hAnsi="Times New Roman" w:cs="Times New Roman"/>
          <w:color w:val="000000" w:themeColor="text1"/>
        </w:rPr>
        <w:t>x-</w:t>
      </w:r>
      <w:r w:rsidR="00E42BAE" w:rsidRPr="008227A8">
        <w:rPr>
          <w:rFonts w:ascii="Times New Roman" w:hAnsi="Times New Roman" w:cs="Times New Roman"/>
          <w:color w:val="000000" w:themeColor="text1"/>
        </w:rPr>
        <w:t>P</w:t>
      </w:r>
      <w:r w:rsidR="008C46A8" w:rsidRPr="008227A8">
        <w:rPr>
          <w:rFonts w:ascii="Times New Roman" w:hAnsi="Times New Roman" w:cs="Times New Roman"/>
          <w:color w:val="000000" w:themeColor="text1"/>
        </w:rPr>
        <w:t>ost</w:t>
      </w:r>
      <w:r w:rsidRPr="008227A8">
        <w:rPr>
          <w:rFonts w:ascii="Times New Roman" w:hAnsi="Times New Roman" w:cs="Times New Roman"/>
          <w:color w:val="000000" w:themeColor="text1"/>
        </w:rPr>
        <w:t xml:space="preserve"> versus</w:t>
      </w:r>
      <w:r w:rsidR="00325A4C">
        <w:rPr>
          <w:rFonts w:ascii="Times New Roman" w:hAnsi="Times New Roman" w:cs="Times New Roman"/>
          <w:color w:val="000000" w:themeColor="text1"/>
        </w:rPr>
        <w:t xml:space="preserve"> </w:t>
      </w:r>
      <w:r w:rsidR="00E42BAE" w:rsidRPr="008227A8">
        <w:rPr>
          <w:rFonts w:ascii="Times New Roman" w:hAnsi="Times New Roman" w:cs="Times New Roman"/>
          <w:color w:val="000000" w:themeColor="text1"/>
        </w:rPr>
        <w:t>E</w:t>
      </w:r>
      <w:r w:rsidR="008C46A8" w:rsidRPr="008227A8">
        <w:rPr>
          <w:rFonts w:ascii="Times New Roman" w:hAnsi="Times New Roman" w:cs="Times New Roman"/>
          <w:color w:val="000000" w:themeColor="text1"/>
        </w:rPr>
        <w:t>x-</w:t>
      </w:r>
      <w:r w:rsidR="00E42BAE" w:rsidRPr="008227A8">
        <w:rPr>
          <w:rFonts w:ascii="Times New Roman" w:hAnsi="Times New Roman" w:cs="Times New Roman"/>
          <w:color w:val="000000" w:themeColor="text1"/>
        </w:rPr>
        <w:t>A</w:t>
      </w:r>
      <w:r w:rsidR="008C46A8" w:rsidRPr="008227A8">
        <w:rPr>
          <w:rFonts w:ascii="Times New Roman" w:hAnsi="Times New Roman" w:cs="Times New Roman"/>
          <w:color w:val="000000" w:themeColor="text1"/>
        </w:rPr>
        <w:t>nte</w:t>
      </w:r>
      <w:bookmarkEnd w:id="137"/>
    </w:p>
    <w:p w:rsidR="00F1201D" w:rsidRPr="008227A8" w:rsidRDefault="00F1201D" w:rsidP="00F1201D">
      <w:pPr>
        <w:rPr>
          <w:color w:val="000000" w:themeColor="text1"/>
        </w:rPr>
      </w:pPr>
    </w:p>
    <w:p w:rsidR="00E42BAE" w:rsidRPr="008227A8" w:rsidRDefault="00E42BAE" w:rsidP="00E42BAE">
      <w:pPr>
        <w:spacing w:line="276" w:lineRule="auto"/>
        <w:ind w:firstLine="360"/>
        <w:rPr>
          <w:color w:val="000000" w:themeColor="text1"/>
        </w:rPr>
      </w:pPr>
      <w:r w:rsidRPr="00057690">
        <w:rPr>
          <w:color w:val="000000" w:themeColor="text1"/>
          <w:sz w:val="22"/>
          <w:szCs w:val="22"/>
        </w:rPr>
        <w:t>Table 4.</w:t>
      </w:r>
      <w:r w:rsidR="0024252A">
        <w:rPr>
          <w:color w:val="000000" w:themeColor="text1"/>
          <w:sz w:val="22"/>
          <w:szCs w:val="22"/>
        </w:rPr>
        <w:t>4</w:t>
      </w:r>
      <w:r w:rsidRPr="008227A8">
        <w:rPr>
          <w:color w:val="000000" w:themeColor="text1"/>
        </w:rPr>
        <w:t xml:space="preserve"> below describes the factors that differ between the </w:t>
      </w:r>
      <w:r w:rsidRPr="008227A8">
        <w:rPr>
          <w:i/>
          <w:color w:val="000000" w:themeColor="text1"/>
        </w:rPr>
        <w:t>ex-post</w:t>
      </w:r>
      <w:r w:rsidRPr="008227A8">
        <w:rPr>
          <w:color w:val="000000" w:themeColor="text1"/>
        </w:rPr>
        <w:t xml:space="preserve"> and </w:t>
      </w:r>
      <w:r w:rsidRPr="008227A8">
        <w:rPr>
          <w:i/>
          <w:color w:val="000000" w:themeColor="text1"/>
        </w:rPr>
        <w:t>ex-ante</w:t>
      </w:r>
      <w:r w:rsidRPr="008227A8">
        <w:rPr>
          <w:color w:val="000000" w:themeColor="text1"/>
        </w:rPr>
        <w:t xml:space="preserve"> load impacts for SDG&amp;E. Note that portions of the table have been removed due to confidentiality concerns.</w:t>
      </w:r>
    </w:p>
    <w:p w:rsidR="00E42BAE" w:rsidRPr="008227A8" w:rsidRDefault="00E42BAE" w:rsidP="00E42BAE">
      <w:pPr>
        <w:spacing w:line="276" w:lineRule="auto"/>
        <w:ind w:firstLine="360"/>
        <w:rPr>
          <w:color w:val="000000" w:themeColor="text1"/>
        </w:rPr>
      </w:pPr>
    </w:p>
    <w:p w:rsidR="00E42BAE" w:rsidRPr="008227A8" w:rsidRDefault="00E42BAE" w:rsidP="00D84FC4">
      <w:pPr>
        <w:spacing w:line="276" w:lineRule="auto"/>
        <w:rPr>
          <w:color w:val="000000" w:themeColor="text1"/>
        </w:rPr>
      </w:pPr>
      <w:r w:rsidRPr="008227A8">
        <w:rPr>
          <w:color w:val="000000" w:themeColor="text1"/>
        </w:rPr>
        <w:t xml:space="preserve">The </w:t>
      </w:r>
      <w:r w:rsidRPr="008227A8">
        <w:rPr>
          <w:i/>
          <w:color w:val="000000" w:themeColor="text1"/>
        </w:rPr>
        <w:t>ex-ante</w:t>
      </w:r>
      <w:r w:rsidRPr="008227A8">
        <w:rPr>
          <w:color w:val="000000" w:themeColor="text1"/>
        </w:rPr>
        <w:t xml:space="preserve"> forecast is based on the </w:t>
      </w:r>
      <w:r w:rsidRPr="008227A8">
        <w:rPr>
          <w:i/>
          <w:color w:val="000000" w:themeColor="text1"/>
        </w:rPr>
        <w:t>ex-post</w:t>
      </w:r>
      <w:r w:rsidRPr="008227A8">
        <w:rPr>
          <w:color w:val="000000" w:themeColor="text1"/>
        </w:rPr>
        <w:t xml:space="preserve"> achievement (</w:t>
      </w:r>
      <w:r w:rsidRPr="008227A8">
        <w:rPr>
          <w:i/>
          <w:color w:val="000000" w:themeColor="text1"/>
        </w:rPr>
        <w:t>i.e.</w:t>
      </w:r>
      <w:r w:rsidRPr="008227A8">
        <w:rPr>
          <w:color w:val="000000" w:themeColor="text1"/>
        </w:rPr>
        <w:t xml:space="preserve">, observed loads) relative to the FSL during event hours. So in terms of achievement relative to the FSL, the </w:t>
      </w:r>
      <w:r w:rsidRPr="008227A8">
        <w:rPr>
          <w:i/>
          <w:color w:val="000000" w:themeColor="text1"/>
        </w:rPr>
        <w:t>ex-post</w:t>
      </w:r>
      <w:r w:rsidRPr="008227A8">
        <w:rPr>
          <w:color w:val="000000" w:themeColor="text1"/>
        </w:rPr>
        <w:t xml:space="preserve"> and </w:t>
      </w:r>
      <w:r w:rsidRPr="008227A8">
        <w:rPr>
          <w:i/>
          <w:color w:val="000000" w:themeColor="text1"/>
        </w:rPr>
        <w:t>ex-ante</w:t>
      </w:r>
      <w:r w:rsidRPr="008227A8">
        <w:rPr>
          <w:color w:val="000000" w:themeColor="text1"/>
        </w:rPr>
        <w:t xml:space="preserve"> load impacts for the five continuing customers match by design. However, the forecast reference loads differ from the ex-post event-hour reference loads for various reasons. For instance, forecast reference loads are lower partly due to a difference in event windows, as the historical event occurred from 1:00 to 5:00 p.m., ending one hour earlier than </w:t>
      </w:r>
      <w:r w:rsidRPr="008227A8">
        <w:rPr>
          <w:i/>
          <w:color w:val="000000" w:themeColor="text1"/>
        </w:rPr>
        <w:t>ex-ante</w:t>
      </w:r>
      <w:r w:rsidRPr="008227A8">
        <w:rPr>
          <w:color w:val="000000" w:themeColor="text1"/>
        </w:rPr>
        <w:t xml:space="preserve"> event window, which also includes the relatively low loads of hour 18.</w:t>
      </w:r>
      <w:r w:rsidRPr="008227A8">
        <w:rPr>
          <w:color w:val="000000" w:themeColor="text1"/>
          <w:shd w:val="clear" w:color="auto" w:fill="FFFFFF" w:themeFill="background1"/>
        </w:rPr>
        <w:t xml:space="preserve"> </w:t>
      </w:r>
      <w:r w:rsidR="005408AF">
        <w:rPr>
          <w:color w:val="000000" w:themeColor="text1"/>
          <w:shd w:val="clear" w:color="auto" w:fill="FFFFFF" w:themeFill="background1"/>
        </w:rPr>
        <w:t xml:space="preserve">In addition </w:t>
      </w:r>
      <w:r w:rsidRPr="008227A8">
        <w:rPr>
          <w:color w:val="000000" w:themeColor="text1"/>
          <w:shd w:val="clear" w:color="auto" w:fill="FFFFFF" w:themeFill="background1"/>
        </w:rPr>
        <w:t xml:space="preserve">ex-post reference loads for the five original customers are higher </w:t>
      </w:r>
      <w:r w:rsidR="005408AF">
        <w:rPr>
          <w:color w:val="000000" w:themeColor="text1"/>
          <w:shd w:val="clear" w:color="auto" w:fill="FFFFFF" w:themeFill="background1"/>
        </w:rPr>
        <w:t xml:space="preserve">than they are in the ex-ante analysis </w:t>
      </w:r>
      <w:r w:rsidRPr="008227A8">
        <w:rPr>
          <w:color w:val="000000" w:themeColor="text1"/>
          <w:shd w:val="clear" w:color="auto" w:fill="FFFFFF" w:themeFill="background1"/>
        </w:rPr>
        <w:t xml:space="preserve">due to the unusually high reference load of the largest customer, on the event day </w:t>
      </w:r>
    </w:p>
    <w:p w:rsidR="00E42BAE" w:rsidRPr="008227A8" w:rsidRDefault="00E42BAE" w:rsidP="00E42BAE">
      <w:pPr>
        <w:spacing w:line="276" w:lineRule="auto"/>
        <w:ind w:firstLine="360"/>
        <w:rPr>
          <w:color w:val="000000" w:themeColor="text1"/>
        </w:rPr>
      </w:pPr>
    </w:p>
    <w:p w:rsidR="00E42BAE" w:rsidRPr="008227A8" w:rsidRDefault="00E42BAE" w:rsidP="00E42BAE">
      <w:pPr>
        <w:spacing w:line="276" w:lineRule="auto"/>
        <w:ind w:firstLine="360"/>
        <w:rPr>
          <w:color w:val="000000" w:themeColor="text1"/>
        </w:rPr>
      </w:pPr>
      <w:r w:rsidRPr="008227A8">
        <w:rPr>
          <w:color w:val="000000" w:themeColor="text1"/>
        </w:rPr>
        <w:lastRenderedPageBreak/>
        <w:t xml:space="preserve">However, the addition of </w:t>
      </w:r>
      <w:r w:rsidRPr="008227A8">
        <w:rPr>
          <w:color w:val="000000" w:themeColor="text1"/>
          <w:shd w:val="clear" w:color="auto" w:fill="FFFFFF" w:themeFill="background1"/>
        </w:rPr>
        <w:t xml:space="preserve">two </w:t>
      </w:r>
      <w:r w:rsidRPr="008227A8">
        <w:rPr>
          <w:color w:val="000000" w:themeColor="text1"/>
        </w:rPr>
        <w:t>new customers to the 2016 forecast almost completely cancels out the effect of the above factors on aggregate ex-ante load impact. These new customers increase the aggregate reference load even more, resulting in a higher ex-ante aggregate reference load overall despite the above factors working in the opposite direction. These new customers slightly decrease the per-customer load impact despite increasing the per-customer reference load.</w:t>
      </w:r>
    </w:p>
    <w:p w:rsidR="00E42BAE" w:rsidRPr="00E42BAE" w:rsidRDefault="00E42BAE" w:rsidP="00E42BAE">
      <w:pPr>
        <w:spacing w:line="276" w:lineRule="auto"/>
        <w:ind w:firstLine="360"/>
        <w:rPr>
          <w:color w:val="0000CC"/>
        </w:rPr>
      </w:pPr>
    </w:p>
    <w:p w:rsidR="00E42BAE" w:rsidRPr="00E42BAE" w:rsidRDefault="00E42BAE" w:rsidP="00E42BAE">
      <w:pPr>
        <w:pStyle w:val="TableCaption"/>
        <w:keepLines/>
        <w:rPr>
          <w:sz w:val="22"/>
          <w:szCs w:val="22"/>
        </w:rPr>
      </w:pPr>
      <w:bookmarkStart w:id="138" w:name="_Toc383598027"/>
      <w:bookmarkStart w:id="139" w:name="_Toc446082431"/>
      <w:r w:rsidRPr="00E42BAE">
        <w:rPr>
          <w:sz w:val="22"/>
          <w:szCs w:val="22"/>
        </w:rPr>
        <w:t>Table 4.</w:t>
      </w:r>
      <w:r w:rsidR="0024252A">
        <w:rPr>
          <w:sz w:val="22"/>
          <w:szCs w:val="22"/>
        </w:rPr>
        <w:t>4</w:t>
      </w:r>
      <w:r w:rsidRPr="00E42BAE">
        <w:rPr>
          <w:sz w:val="22"/>
          <w:szCs w:val="22"/>
        </w:rPr>
        <w:t xml:space="preserve">: SDG&amp;E BIP </w:t>
      </w:r>
      <w:r w:rsidRPr="00E42BAE">
        <w:rPr>
          <w:i/>
          <w:sz w:val="22"/>
          <w:szCs w:val="22"/>
        </w:rPr>
        <w:t>Ex-post</w:t>
      </w:r>
      <w:r w:rsidRPr="00E42BAE">
        <w:rPr>
          <w:sz w:val="22"/>
          <w:szCs w:val="22"/>
        </w:rPr>
        <w:t xml:space="preserve"> versus </w:t>
      </w:r>
      <w:r w:rsidRPr="00E42BAE">
        <w:rPr>
          <w:i/>
          <w:sz w:val="22"/>
          <w:szCs w:val="22"/>
        </w:rPr>
        <w:t>Ex-ante</w:t>
      </w:r>
      <w:r w:rsidRPr="00E42BAE">
        <w:rPr>
          <w:sz w:val="22"/>
          <w:szCs w:val="22"/>
        </w:rPr>
        <w:t xml:space="preserve"> Factors</w:t>
      </w:r>
      <w:bookmarkEnd w:id="138"/>
      <w:r w:rsidRPr="00E42BAE">
        <w:rPr>
          <w:sz w:val="22"/>
          <w:szCs w:val="22"/>
        </w:rPr>
        <w:t>, Typical Event Day</w:t>
      </w:r>
      <w:bookmarkEnd w:id="139"/>
    </w:p>
    <w:tbl>
      <w:tblPr>
        <w:tblW w:w="9136" w:type="dxa"/>
        <w:jc w:val="center"/>
        <w:tblLook w:val="04A0" w:firstRow="1" w:lastRow="0" w:firstColumn="1" w:lastColumn="0" w:noHBand="0" w:noVBand="1"/>
      </w:tblPr>
      <w:tblGrid>
        <w:gridCol w:w="1518"/>
        <w:gridCol w:w="2488"/>
        <w:gridCol w:w="2430"/>
        <w:gridCol w:w="2700"/>
      </w:tblGrid>
      <w:tr w:rsidR="00E42BAE" w:rsidRPr="00E42BAE" w:rsidTr="00E42BAE">
        <w:trPr>
          <w:trHeight w:val="510"/>
          <w:jc w:val="center"/>
        </w:trPr>
        <w:tc>
          <w:tcPr>
            <w:tcW w:w="1518"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E42BAE" w:rsidRPr="00E42BAE" w:rsidRDefault="00E42BAE" w:rsidP="00C20677">
            <w:pPr>
              <w:pStyle w:val="TableHeader"/>
              <w:keepNext/>
              <w:keepLines/>
              <w:rPr>
                <w:rFonts w:ascii="Times New Roman" w:hAnsi="Times New Roman"/>
                <w:color w:val="FFFFFF" w:themeColor="background1"/>
                <w:szCs w:val="20"/>
              </w:rPr>
            </w:pPr>
            <w:r w:rsidRPr="00E42BAE">
              <w:rPr>
                <w:rFonts w:ascii="Times New Roman" w:hAnsi="Times New Roman"/>
                <w:color w:val="FFFFFF" w:themeColor="background1"/>
                <w:szCs w:val="20"/>
              </w:rPr>
              <w:t>Factor</w:t>
            </w:r>
          </w:p>
        </w:tc>
        <w:tc>
          <w:tcPr>
            <w:tcW w:w="2488"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E42BAE" w:rsidRPr="00E42BAE" w:rsidRDefault="00E42BAE" w:rsidP="00C20677">
            <w:pPr>
              <w:pStyle w:val="TableHeader"/>
              <w:keepNext/>
              <w:keepLines/>
              <w:rPr>
                <w:rFonts w:ascii="Times New Roman" w:hAnsi="Times New Roman"/>
                <w:color w:val="FFFFFF" w:themeColor="background1"/>
                <w:szCs w:val="20"/>
              </w:rPr>
            </w:pPr>
            <w:r w:rsidRPr="00E42BAE">
              <w:rPr>
                <w:rFonts w:ascii="Times New Roman" w:hAnsi="Times New Roman"/>
                <w:color w:val="FFFFFF" w:themeColor="background1"/>
                <w:szCs w:val="20"/>
              </w:rPr>
              <w:t>Ex</w:t>
            </w:r>
            <w:r>
              <w:rPr>
                <w:rFonts w:ascii="Times New Roman" w:hAnsi="Times New Roman"/>
                <w:color w:val="FFFFFF" w:themeColor="background1"/>
                <w:szCs w:val="20"/>
              </w:rPr>
              <w:t>-P</w:t>
            </w:r>
            <w:r w:rsidRPr="00E42BAE">
              <w:rPr>
                <w:rFonts w:ascii="Times New Roman" w:hAnsi="Times New Roman"/>
                <w:color w:val="FFFFFF" w:themeColor="background1"/>
                <w:szCs w:val="20"/>
              </w:rPr>
              <w:t>ost</w:t>
            </w:r>
          </w:p>
        </w:tc>
        <w:tc>
          <w:tcPr>
            <w:tcW w:w="2430"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E42BAE" w:rsidRPr="00E42BAE" w:rsidRDefault="00E42BAE" w:rsidP="00E42BAE">
            <w:pPr>
              <w:pStyle w:val="TableHeader"/>
              <w:keepNext/>
              <w:keepLines/>
              <w:rPr>
                <w:rFonts w:ascii="Times New Roman" w:hAnsi="Times New Roman"/>
                <w:color w:val="FFFFFF" w:themeColor="background1"/>
                <w:szCs w:val="20"/>
              </w:rPr>
            </w:pPr>
            <w:r w:rsidRPr="00E42BAE">
              <w:rPr>
                <w:rFonts w:ascii="Times New Roman" w:hAnsi="Times New Roman"/>
                <w:color w:val="FFFFFF" w:themeColor="background1"/>
                <w:szCs w:val="20"/>
              </w:rPr>
              <w:t>Ex-</w:t>
            </w:r>
            <w:r>
              <w:rPr>
                <w:rFonts w:ascii="Times New Roman" w:hAnsi="Times New Roman"/>
                <w:color w:val="FFFFFF" w:themeColor="background1"/>
                <w:szCs w:val="20"/>
              </w:rPr>
              <w:t>A</w:t>
            </w:r>
            <w:r w:rsidRPr="00E42BAE">
              <w:rPr>
                <w:rFonts w:ascii="Times New Roman" w:hAnsi="Times New Roman"/>
                <w:color w:val="FFFFFF" w:themeColor="background1"/>
                <w:szCs w:val="20"/>
              </w:rPr>
              <w:t>nte</w:t>
            </w:r>
          </w:p>
        </w:tc>
        <w:tc>
          <w:tcPr>
            <w:tcW w:w="2700" w:type="dxa"/>
            <w:tcBorders>
              <w:top w:val="single" w:sz="4" w:space="0" w:color="auto"/>
              <w:left w:val="single" w:sz="4" w:space="0" w:color="auto"/>
              <w:bottom w:val="single" w:sz="4" w:space="0" w:color="auto"/>
              <w:right w:val="single" w:sz="4" w:space="0" w:color="auto"/>
            </w:tcBorders>
            <w:shd w:val="clear" w:color="auto" w:fill="002060"/>
            <w:vAlign w:val="center"/>
            <w:hideMark/>
          </w:tcPr>
          <w:p w:rsidR="00E42BAE" w:rsidRPr="00E42BAE" w:rsidRDefault="00E42BAE" w:rsidP="00C20677">
            <w:pPr>
              <w:pStyle w:val="TableHeader"/>
              <w:keepNext/>
              <w:keepLines/>
              <w:rPr>
                <w:rFonts w:ascii="Times New Roman" w:hAnsi="Times New Roman"/>
                <w:color w:val="FFFFFF" w:themeColor="background1"/>
                <w:szCs w:val="20"/>
              </w:rPr>
            </w:pPr>
            <w:r w:rsidRPr="00E42BAE">
              <w:rPr>
                <w:rFonts w:ascii="Times New Roman" w:hAnsi="Times New Roman"/>
                <w:color w:val="FFFFFF" w:themeColor="background1"/>
                <w:szCs w:val="20"/>
              </w:rPr>
              <w:t>Expected Impact</w:t>
            </w:r>
          </w:p>
        </w:tc>
      </w:tr>
      <w:tr w:rsidR="00E42BAE" w:rsidRPr="007F356D" w:rsidTr="00E42BAE">
        <w:trPr>
          <w:trHeight w:val="300"/>
          <w:jc w:val="center"/>
        </w:trPr>
        <w:tc>
          <w:tcPr>
            <w:tcW w:w="1518" w:type="dxa"/>
            <w:tcBorders>
              <w:top w:val="single" w:sz="4" w:space="0" w:color="auto"/>
              <w:left w:val="single" w:sz="4" w:space="0" w:color="auto"/>
              <w:bottom w:val="single" w:sz="4" w:space="0" w:color="auto"/>
              <w:right w:val="single" w:sz="4" w:space="0" w:color="auto"/>
            </w:tcBorders>
            <w:shd w:val="clear" w:color="auto" w:fill="auto"/>
            <w:noWrap/>
            <w:hideMark/>
          </w:tcPr>
          <w:p w:rsidR="00E42BAE" w:rsidRPr="00E42BAE" w:rsidRDefault="00E42BAE" w:rsidP="00C20677">
            <w:pPr>
              <w:pStyle w:val="TableText"/>
              <w:keepNext/>
              <w:keepLines/>
              <w:rPr>
                <w:rFonts w:ascii="Times New Roman" w:hAnsi="Times New Roman"/>
                <w:sz w:val="20"/>
                <w:szCs w:val="20"/>
              </w:rPr>
            </w:pPr>
            <w:r w:rsidRPr="00E42BAE">
              <w:rPr>
                <w:rFonts w:ascii="Times New Roman" w:hAnsi="Times New Roman"/>
                <w:sz w:val="20"/>
                <w:szCs w:val="20"/>
              </w:rPr>
              <w:t>Weather</w:t>
            </w:r>
          </w:p>
        </w:tc>
        <w:tc>
          <w:tcPr>
            <w:tcW w:w="2488" w:type="dxa"/>
            <w:tcBorders>
              <w:top w:val="single" w:sz="4" w:space="0" w:color="auto"/>
              <w:left w:val="nil"/>
              <w:bottom w:val="single" w:sz="4" w:space="0" w:color="auto"/>
              <w:right w:val="single" w:sz="4" w:space="0" w:color="auto"/>
            </w:tcBorders>
            <w:shd w:val="clear" w:color="auto" w:fill="auto"/>
            <w:noWrap/>
          </w:tcPr>
          <w:p w:rsidR="00E42BAE" w:rsidRPr="00E42BAE" w:rsidRDefault="00E42BAE" w:rsidP="00C20677">
            <w:pPr>
              <w:pStyle w:val="TableText"/>
              <w:keepNext/>
              <w:keepLines/>
              <w:spacing w:after="120"/>
              <w:rPr>
                <w:rFonts w:ascii="Times New Roman" w:hAnsi="Times New Roman"/>
                <w:sz w:val="20"/>
                <w:szCs w:val="20"/>
              </w:rPr>
            </w:pPr>
            <w:r w:rsidRPr="00E42BAE">
              <w:rPr>
                <w:rFonts w:ascii="Times New Roman" w:hAnsi="Times New Roman"/>
                <w:sz w:val="20"/>
                <w:szCs w:val="20"/>
              </w:rPr>
              <w:t>88.5 degrees Fahrenheit during HE 14-17 on the August 28</w:t>
            </w:r>
            <w:r w:rsidRPr="00E42BAE">
              <w:rPr>
                <w:rFonts w:ascii="Times New Roman" w:hAnsi="Times New Roman"/>
                <w:sz w:val="20"/>
                <w:szCs w:val="20"/>
                <w:vertAlign w:val="superscript"/>
              </w:rPr>
              <w:t>th</w:t>
            </w:r>
            <w:r w:rsidRPr="00E42BAE">
              <w:rPr>
                <w:rFonts w:ascii="Times New Roman" w:hAnsi="Times New Roman"/>
                <w:sz w:val="20"/>
                <w:szCs w:val="20"/>
              </w:rPr>
              <w:t xml:space="preserve"> event day</w:t>
            </w:r>
          </w:p>
        </w:tc>
        <w:tc>
          <w:tcPr>
            <w:tcW w:w="2430" w:type="dxa"/>
            <w:tcBorders>
              <w:top w:val="single" w:sz="4" w:space="0" w:color="auto"/>
              <w:left w:val="nil"/>
              <w:bottom w:val="single" w:sz="4" w:space="0" w:color="auto"/>
              <w:right w:val="single" w:sz="4" w:space="0" w:color="auto"/>
            </w:tcBorders>
            <w:shd w:val="clear" w:color="000000" w:fill="FFFFFF"/>
          </w:tcPr>
          <w:p w:rsidR="00E42BAE" w:rsidRPr="00E42BAE" w:rsidRDefault="00E42BAE" w:rsidP="00C20677">
            <w:pPr>
              <w:pStyle w:val="TableText"/>
              <w:keepNext/>
              <w:keepLines/>
              <w:rPr>
                <w:rFonts w:ascii="Times New Roman" w:hAnsi="Times New Roman"/>
                <w:sz w:val="20"/>
                <w:szCs w:val="20"/>
              </w:rPr>
            </w:pPr>
            <w:r w:rsidRPr="00E42BAE">
              <w:rPr>
                <w:rFonts w:ascii="Times New Roman" w:hAnsi="Times New Roman"/>
                <w:sz w:val="20"/>
                <w:szCs w:val="20"/>
              </w:rPr>
              <w:t>79.6 degrees Fahrenheit during HE 14-18 on utility-specific 1-in-2 typical event day</w:t>
            </w:r>
          </w:p>
        </w:tc>
        <w:tc>
          <w:tcPr>
            <w:tcW w:w="2700" w:type="dxa"/>
            <w:tcBorders>
              <w:top w:val="single" w:sz="4" w:space="0" w:color="auto"/>
              <w:left w:val="nil"/>
              <w:bottom w:val="single" w:sz="4" w:space="0" w:color="auto"/>
              <w:right w:val="single" w:sz="4" w:space="0" w:color="auto"/>
            </w:tcBorders>
            <w:shd w:val="clear" w:color="000000" w:fill="FFFFFF"/>
          </w:tcPr>
          <w:p w:rsidR="00E42BAE" w:rsidRPr="00E42BAE" w:rsidRDefault="00E42BAE" w:rsidP="00C20677">
            <w:pPr>
              <w:pStyle w:val="TableText"/>
              <w:keepNext/>
              <w:keepLines/>
              <w:rPr>
                <w:rFonts w:ascii="Times New Roman" w:hAnsi="Times New Roman"/>
                <w:sz w:val="20"/>
                <w:szCs w:val="20"/>
              </w:rPr>
            </w:pPr>
            <w:r w:rsidRPr="00E42BAE">
              <w:rPr>
                <w:rFonts w:ascii="Times New Roman" w:hAnsi="Times New Roman"/>
                <w:sz w:val="20"/>
                <w:szCs w:val="20"/>
              </w:rPr>
              <w:t>Program load is not very weather sensitive, so a small effect.</w:t>
            </w:r>
          </w:p>
        </w:tc>
      </w:tr>
      <w:tr w:rsidR="00E42BAE" w:rsidRPr="007F356D" w:rsidTr="00E42BAE">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rsidR="00E42BAE" w:rsidRPr="00E42BAE" w:rsidRDefault="00E42BAE" w:rsidP="00C20677">
            <w:pPr>
              <w:pStyle w:val="TableText"/>
              <w:keepNext/>
              <w:keepLines/>
              <w:rPr>
                <w:rFonts w:ascii="Times New Roman" w:hAnsi="Times New Roman"/>
                <w:sz w:val="20"/>
                <w:szCs w:val="20"/>
              </w:rPr>
            </w:pPr>
            <w:r w:rsidRPr="00E42BAE">
              <w:rPr>
                <w:rFonts w:ascii="Times New Roman" w:hAnsi="Times New Roman"/>
                <w:sz w:val="20"/>
                <w:szCs w:val="20"/>
              </w:rPr>
              <w:t>Event window</w:t>
            </w:r>
          </w:p>
        </w:tc>
        <w:tc>
          <w:tcPr>
            <w:tcW w:w="2488" w:type="dxa"/>
            <w:tcBorders>
              <w:top w:val="nil"/>
              <w:left w:val="nil"/>
              <w:bottom w:val="single" w:sz="4" w:space="0" w:color="auto"/>
              <w:right w:val="single" w:sz="4" w:space="0" w:color="auto"/>
            </w:tcBorders>
            <w:shd w:val="clear" w:color="auto" w:fill="auto"/>
            <w:noWrap/>
          </w:tcPr>
          <w:p w:rsidR="00E42BAE" w:rsidRPr="00E42BAE" w:rsidRDefault="00E42BAE" w:rsidP="00C20677">
            <w:pPr>
              <w:pStyle w:val="TableText"/>
              <w:keepNext/>
              <w:keepLines/>
              <w:rPr>
                <w:rFonts w:ascii="Times New Roman" w:hAnsi="Times New Roman"/>
                <w:sz w:val="20"/>
                <w:szCs w:val="20"/>
              </w:rPr>
            </w:pPr>
            <w:r w:rsidRPr="00E42BAE">
              <w:rPr>
                <w:rFonts w:ascii="Times New Roman" w:hAnsi="Times New Roman"/>
                <w:sz w:val="20"/>
                <w:szCs w:val="20"/>
              </w:rPr>
              <w:t>HE 14-17</w:t>
            </w:r>
          </w:p>
        </w:tc>
        <w:tc>
          <w:tcPr>
            <w:tcW w:w="2430" w:type="dxa"/>
            <w:tcBorders>
              <w:top w:val="nil"/>
              <w:left w:val="nil"/>
              <w:bottom w:val="single" w:sz="4" w:space="0" w:color="auto"/>
              <w:right w:val="single" w:sz="4" w:space="0" w:color="auto"/>
            </w:tcBorders>
            <w:shd w:val="clear" w:color="000000" w:fill="FFFFFF"/>
          </w:tcPr>
          <w:p w:rsidR="00E42BAE" w:rsidRPr="00E42BAE" w:rsidRDefault="00E42BAE" w:rsidP="00C20677">
            <w:pPr>
              <w:pStyle w:val="TableText"/>
              <w:keepNext/>
              <w:keepLines/>
              <w:rPr>
                <w:rFonts w:ascii="Times New Roman" w:hAnsi="Times New Roman"/>
                <w:sz w:val="20"/>
                <w:szCs w:val="20"/>
              </w:rPr>
            </w:pPr>
            <w:r w:rsidRPr="00E42BAE">
              <w:rPr>
                <w:rFonts w:ascii="Times New Roman" w:hAnsi="Times New Roman"/>
                <w:sz w:val="20"/>
                <w:szCs w:val="20"/>
              </w:rPr>
              <w:t>HE 14-18 in Apr-Oct.</w:t>
            </w:r>
          </w:p>
        </w:tc>
        <w:tc>
          <w:tcPr>
            <w:tcW w:w="2700" w:type="dxa"/>
            <w:tcBorders>
              <w:top w:val="nil"/>
              <w:left w:val="nil"/>
              <w:bottom w:val="single" w:sz="4" w:space="0" w:color="auto"/>
              <w:right w:val="single" w:sz="4" w:space="0" w:color="auto"/>
            </w:tcBorders>
            <w:shd w:val="clear" w:color="000000" w:fill="FFFFFF"/>
          </w:tcPr>
          <w:p w:rsidR="00E42BAE" w:rsidRPr="00E42BAE" w:rsidRDefault="00E42BAE" w:rsidP="00C20677">
            <w:pPr>
              <w:pStyle w:val="TableText"/>
              <w:keepNext/>
              <w:keepLines/>
              <w:rPr>
                <w:rFonts w:ascii="Times New Roman" w:hAnsi="Times New Roman"/>
                <w:sz w:val="20"/>
                <w:szCs w:val="20"/>
              </w:rPr>
            </w:pPr>
            <w:r w:rsidRPr="00E42BAE">
              <w:rPr>
                <w:rFonts w:ascii="Times New Roman" w:hAnsi="Times New Roman"/>
                <w:sz w:val="20"/>
                <w:szCs w:val="20"/>
              </w:rPr>
              <w:t xml:space="preserve">Reference loads are substantially lower by 5 p.m. relative to earlier in the day, so the inclusion of hour-ending 18 tends to drag down the average </w:t>
            </w:r>
            <w:r w:rsidRPr="00E42BAE">
              <w:rPr>
                <w:rFonts w:ascii="Times New Roman" w:hAnsi="Times New Roman"/>
                <w:i/>
                <w:sz w:val="20"/>
                <w:szCs w:val="20"/>
              </w:rPr>
              <w:t>ex-ante</w:t>
            </w:r>
            <w:r w:rsidRPr="00E42BAE">
              <w:rPr>
                <w:rFonts w:ascii="Times New Roman" w:hAnsi="Times New Roman"/>
                <w:sz w:val="20"/>
                <w:szCs w:val="20"/>
              </w:rPr>
              <w:t xml:space="preserve"> reference loads and load impacts relative to </w:t>
            </w:r>
            <w:r w:rsidRPr="00E42BAE">
              <w:rPr>
                <w:rFonts w:ascii="Times New Roman" w:hAnsi="Times New Roman"/>
                <w:i/>
                <w:sz w:val="20"/>
                <w:szCs w:val="20"/>
              </w:rPr>
              <w:t>ex-post</w:t>
            </w:r>
            <w:r w:rsidRPr="00E42BAE">
              <w:rPr>
                <w:rFonts w:ascii="Times New Roman" w:hAnsi="Times New Roman"/>
                <w:sz w:val="20"/>
                <w:szCs w:val="20"/>
              </w:rPr>
              <w:t>.</w:t>
            </w:r>
          </w:p>
        </w:tc>
      </w:tr>
      <w:tr w:rsidR="00E42BAE" w:rsidRPr="007F356D" w:rsidTr="00E42BAE">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rsidR="00E42BAE" w:rsidRPr="00E42BAE" w:rsidRDefault="00E42BAE" w:rsidP="00C20677">
            <w:pPr>
              <w:pStyle w:val="TableText"/>
              <w:keepNext/>
              <w:keepLines/>
              <w:rPr>
                <w:rFonts w:ascii="Times New Roman" w:hAnsi="Times New Roman"/>
                <w:sz w:val="20"/>
                <w:szCs w:val="20"/>
              </w:rPr>
            </w:pPr>
            <w:r w:rsidRPr="00E42BAE">
              <w:rPr>
                <w:rFonts w:ascii="Times New Roman" w:hAnsi="Times New Roman"/>
                <w:sz w:val="20"/>
                <w:szCs w:val="20"/>
              </w:rPr>
              <w:t>% of resource dispatched</w:t>
            </w:r>
          </w:p>
        </w:tc>
        <w:tc>
          <w:tcPr>
            <w:tcW w:w="2488" w:type="dxa"/>
            <w:tcBorders>
              <w:top w:val="nil"/>
              <w:left w:val="nil"/>
              <w:bottom w:val="single" w:sz="4" w:space="0" w:color="auto"/>
              <w:right w:val="single" w:sz="4" w:space="0" w:color="auto"/>
            </w:tcBorders>
            <w:shd w:val="clear" w:color="auto" w:fill="auto"/>
            <w:noWrap/>
          </w:tcPr>
          <w:p w:rsidR="00E42BAE" w:rsidRPr="00E42BAE" w:rsidRDefault="00E42BAE" w:rsidP="00C20677">
            <w:pPr>
              <w:pStyle w:val="TableText"/>
              <w:keepNext/>
              <w:keepLines/>
              <w:rPr>
                <w:rFonts w:ascii="Times New Roman" w:hAnsi="Times New Roman"/>
                <w:sz w:val="20"/>
                <w:szCs w:val="20"/>
              </w:rPr>
            </w:pPr>
            <w:r w:rsidRPr="00E42BAE">
              <w:rPr>
                <w:rFonts w:ascii="Times New Roman" w:hAnsi="Times New Roman"/>
                <w:sz w:val="20"/>
                <w:szCs w:val="20"/>
              </w:rPr>
              <w:t>All</w:t>
            </w:r>
          </w:p>
        </w:tc>
        <w:tc>
          <w:tcPr>
            <w:tcW w:w="2430" w:type="dxa"/>
            <w:tcBorders>
              <w:top w:val="nil"/>
              <w:left w:val="nil"/>
              <w:bottom w:val="single" w:sz="4" w:space="0" w:color="auto"/>
              <w:right w:val="single" w:sz="4" w:space="0" w:color="auto"/>
            </w:tcBorders>
            <w:shd w:val="clear" w:color="000000" w:fill="FFFFFF"/>
          </w:tcPr>
          <w:p w:rsidR="00E42BAE" w:rsidRPr="00E42BAE" w:rsidRDefault="00E42BAE" w:rsidP="00C20677">
            <w:pPr>
              <w:pStyle w:val="TableText"/>
              <w:keepNext/>
              <w:keepLines/>
              <w:rPr>
                <w:rFonts w:ascii="Times New Roman" w:hAnsi="Times New Roman"/>
                <w:sz w:val="20"/>
                <w:szCs w:val="20"/>
              </w:rPr>
            </w:pPr>
            <w:r w:rsidRPr="00E42BAE">
              <w:rPr>
                <w:rFonts w:ascii="Times New Roman" w:hAnsi="Times New Roman"/>
                <w:sz w:val="20"/>
                <w:szCs w:val="20"/>
              </w:rPr>
              <w:t>All</w:t>
            </w:r>
          </w:p>
        </w:tc>
        <w:tc>
          <w:tcPr>
            <w:tcW w:w="2700" w:type="dxa"/>
            <w:tcBorders>
              <w:top w:val="nil"/>
              <w:left w:val="nil"/>
              <w:bottom w:val="single" w:sz="4" w:space="0" w:color="auto"/>
              <w:right w:val="single" w:sz="4" w:space="0" w:color="auto"/>
            </w:tcBorders>
            <w:shd w:val="clear" w:color="000000" w:fill="FFFFFF"/>
          </w:tcPr>
          <w:p w:rsidR="00E42BAE" w:rsidRPr="00E42BAE" w:rsidRDefault="00E42BAE" w:rsidP="00C20677">
            <w:pPr>
              <w:pStyle w:val="TableText"/>
              <w:keepNext/>
              <w:keepLines/>
              <w:rPr>
                <w:rFonts w:ascii="Times New Roman" w:hAnsi="Times New Roman"/>
                <w:sz w:val="20"/>
                <w:szCs w:val="20"/>
              </w:rPr>
            </w:pPr>
            <w:r w:rsidRPr="00E42BAE">
              <w:rPr>
                <w:rFonts w:ascii="Times New Roman" w:hAnsi="Times New Roman"/>
                <w:sz w:val="20"/>
                <w:szCs w:val="20"/>
              </w:rPr>
              <w:t>None</w:t>
            </w:r>
          </w:p>
        </w:tc>
      </w:tr>
      <w:tr w:rsidR="00E42BAE" w:rsidRPr="007F356D" w:rsidTr="00E42BAE">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rsidR="00E42BAE" w:rsidRPr="00E42BAE" w:rsidRDefault="00E42BAE" w:rsidP="00C20677">
            <w:pPr>
              <w:pStyle w:val="TableText"/>
              <w:keepNext/>
              <w:keepLines/>
              <w:rPr>
                <w:rFonts w:ascii="Times New Roman" w:hAnsi="Times New Roman"/>
                <w:sz w:val="20"/>
                <w:szCs w:val="20"/>
              </w:rPr>
            </w:pPr>
            <w:r w:rsidRPr="00E42BAE">
              <w:rPr>
                <w:rFonts w:ascii="Times New Roman" w:hAnsi="Times New Roman"/>
                <w:sz w:val="20"/>
                <w:szCs w:val="20"/>
              </w:rPr>
              <w:t>Enrollment</w:t>
            </w:r>
          </w:p>
        </w:tc>
        <w:tc>
          <w:tcPr>
            <w:tcW w:w="2488" w:type="dxa"/>
            <w:tcBorders>
              <w:top w:val="nil"/>
              <w:left w:val="nil"/>
              <w:bottom w:val="single" w:sz="4" w:space="0" w:color="auto"/>
              <w:right w:val="single" w:sz="4" w:space="0" w:color="auto"/>
            </w:tcBorders>
            <w:shd w:val="clear" w:color="auto" w:fill="FFFFFF" w:themeFill="background1"/>
            <w:noWrap/>
          </w:tcPr>
          <w:p w:rsidR="00E42BAE" w:rsidRPr="00E42BAE" w:rsidRDefault="00E42BAE" w:rsidP="00C20677">
            <w:pPr>
              <w:pStyle w:val="TableText"/>
              <w:keepNext/>
              <w:keepLines/>
              <w:rPr>
                <w:rFonts w:ascii="Times New Roman" w:hAnsi="Times New Roman"/>
                <w:sz w:val="20"/>
                <w:szCs w:val="20"/>
              </w:rPr>
            </w:pPr>
            <w:r w:rsidRPr="00E42BAE">
              <w:rPr>
                <w:rFonts w:ascii="Times New Roman" w:hAnsi="Times New Roman"/>
                <w:sz w:val="20"/>
                <w:szCs w:val="20"/>
              </w:rPr>
              <w:t>5 service accounts</w:t>
            </w:r>
          </w:p>
        </w:tc>
        <w:tc>
          <w:tcPr>
            <w:tcW w:w="2430" w:type="dxa"/>
            <w:tcBorders>
              <w:top w:val="nil"/>
              <w:left w:val="nil"/>
              <w:bottom w:val="single" w:sz="4" w:space="0" w:color="auto"/>
              <w:right w:val="single" w:sz="4" w:space="0" w:color="auto"/>
            </w:tcBorders>
            <w:shd w:val="clear" w:color="auto" w:fill="FFFFFF" w:themeFill="background1"/>
          </w:tcPr>
          <w:p w:rsidR="00E42BAE" w:rsidRPr="00E42BAE" w:rsidRDefault="00E42BAE" w:rsidP="00C20677">
            <w:pPr>
              <w:pStyle w:val="TableText"/>
              <w:keepNext/>
              <w:keepLines/>
              <w:rPr>
                <w:rFonts w:ascii="Times New Roman" w:hAnsi="Times New Roman"/>
                <w:sz w:val="20"/>
                <w:szCs w:val="20"/>
              </w:rPr>
            </w:pPr>
            <w:r w:rsidRPr="00E42BAE">
              <w:rPr>
                <w:rFonts w:ascii="Times New Roman" w:hAnsi="Times New Roman"/>
                <w:sz w:val="20"/>
                <w:szCs w:val="20"/>
              </w:rPr>
              <w:t>7 service accounts</w:t>
            </w:r>
          </w:p>
        </w:tc>
        <w:tc>
          <w:tcPr>
            <w:tcW w:w="2700" w:type="dxa"/>
            <w:tcBorders>
              <w:top w:val="nil"/>
              <w:left w:val="nil"/>
              <w:bottom w:val="single" w:sz="4" w:space="0" w:color="auto"/>
              <w:right w:val="single" w:sz="4" w:space="0" w:color="auto"/>
            </w:tcBorders>
            <w:shd w:val="clear" w:color="auto" w:fill="EEECE1" w:themeFill="background2"/>
          </w:tcPr>
          <w:p w:rsidR="00E42BAE" w:rsidRPr="00E42BAE" w:rsidRDefault="00E42BAE" w:rsidP="00C20677">
            <w:pPr>
              <w:pStyle w:val="TableText"/>
              <w:keepNext/>
              <w:keepLines/>
              <w:rPr>
                <w:rFonts w:ascii="Times New Roman" w:hAnsi="Times New Roman"/>
                <w:sz w:val="20"/>
                <w:szCs w:val="20"/>
              </w:rPr>
            </w:pPr>
          </w:p>
        </w:tc>
      </w:tr>
      <w:tr w:rsidR="00E42BAE" w:rsidRPr="007F356D" w:rsidTr="00E42BAE">
        <w:trPr>
          <w:trHeight w:val="300"/>
          <w:jc w:val="center"/>
        </w:trPr>
        <w:tc>
          <w:tcPr>
            <w:tcW w:w="1518" w:type="dxa"/>
            <w:tcBorders>
              <w:top w:val="nil"/>
              <w:left w:val="single" w:sz="4" w:space="0" w:color="auto"/>
              <w:bottom w:val="single" w:sz="4" w:space="0" w:color="auto"/>
              <w:right w:val="single" w:sz="4" w:space="0" w:color="auto"/>
            </w:tcBorders>
            <w:shd w:val="clear" w:color="auto" w:fill="auto"/>
            <w:noWrap/>
            <w:hideMark/>
          </w:tcPr>
          <w:p w:rsidR="00E42BAE" w:rsidRPr="00E42BAE" w:rsidRDefault="00E42BAE" w:rsidP="00C20677">
            <w:pPr>
              <w:pStyle w:val="TableText"/>
              <w:keepNext/>
              <w:keepLines/>
              <w:rPr>
                <w:rFonts w:ascii="Times New Roman" w:hAnsi="Times New Roman"/>
                <w:sz w:val="20"/>
                <w:szCs w:val="20"/>
              </w:rPr>
            </w:pPr>
            <w:r w:rsidRPr="00E42BAE">
              <w:rPr>
                <w:rFonts w:ascii="Times New Roman" w:hAnsi="Times New Roman"/>
                <w:sz w:val="20"/>
                <w:szCs w:val="20"/>
              </w:rPr>
              <w:t>Methodology</w:t>
            </w:r>
          </w:p>
        </w:tc>
        <w:tc>
          <w:tcPr>
            <w:tcW w:w="2488" w:type="dxa"/>
            <w:tcBorders>
              <w:top w:val="nil"/>
              <w:left w:val="nil"/>
              <w:bottom w:val="single" w:sz="4" w:space="0" w:color="auto"/>
              <w:right w:val="single" w:sz="4" w:space="0" w:color="auto"/>
            </w:tcBorders>
            <w:shd w:val="clear" w:color="auto" w:fill="auto"/>
            <w:noWrap/>
          </w:tcPr>
          <w:p w:rsidR="00E42BAE" w:rsidRPr="00E42BAE" w:rsidRDefault="00E42BAE" w:rsidP="00C20677">
            <w:pPr>
              <w:pStyle w:val="TableText"/>
              <w:keepNext/>
              <w:keepLines/>
              <w:spacing w:after="120"/>
              <w:rPr>
                <w:rFonts w:ascii="Times New Roman" w:hAnsi="Times New Roman"/>
                <w:sz w:val="20"/>
                <w:szCs w:val="20"/>
              </w:rPr>
            </w:pPr>
            <w:r w:rsidRPr="00E42BAE">
              <w:rPr>
                <w:rFonts w:ascii="Times New Roman" w:hAnsi="Times New Roman"/>
                <w:sz w:val="20"/>
                <w:szCs w:val="20"/>
              </w:rPr>
              <w:t>SAID-specific regressions using own within-subject analysis.</w:t>
            </w:r>
          </w:p>
        </w:tc>
        <w:tc>
          <w:tcPr>
            <w:tcW w:w="2430" w:type="dxa"/>
            <w:tcBorders>
              <w:top w:val="nil"/>
              <w:left w:val="nil"/>
              <w:bottom w:val="single" w:sz="4" w:space="0" w:color="auto"/>
              <w:right w:val="single" w:sz="4" w:space="0" w:color="auto"/>
            </w:tcBorders>
            <w:shd w:val="clear" w:color="000000" w:fill="FFFFFF"/>
          </w:tcPr>
          <w:p w:rsidR="00E42BAE" w:rsidRPr="00E42BAE" w:rsidRDefault="00E42BAE" w:rsidP="00C20677">
            <w:pPr>
              <w:pStyle w:val="TableText"/>
              <w:keepNext/>
              <w:keepLines/>
              <w:rPr>
                <w:rFonts w:ascii="Times New Roman" w:hAnsi="Times New Roman"/>
                <w:sz w:val="20"/>
                <w:szCs w:val="20"/>
              </w:rPr>
            </w:pPr>
            <w:r w:rsidRPr="00E42BAE">
              <w:rPr>
                <w:rFonts w:ascii="Times New Roman" w:hAnsi="Times New Roman"/>
                <w:sz w:val="20"/>
                <w:szCs w:val="20"/>
              </w:rPr>
              <w:t xml:space="preserve">Reference loads are simulated from SAID-specific regressions. </w:t>
            </w:r>
          </w:p>
        </w:tc>
        <w:tc>
          <w:tcPr>
            <w:tcW w:w="2700" w:type="dxa"/>
            <w:tcBorders>
              <w:top w:val="nil"/>
              <w:left w:val="nil"/>
              <w:bottom w:val="single" w:sz="4" w:space="0" w:color="auto"/>
              <w:right w:val="single" w:sz="4" w:space="0" w:color="auto"/>
            </w:tcBorders>
            <w:shd w:val="clear" w:color="auto" w:fill="EEECE1" w:themeFill="background2"/>
          </w:tcPr>
          <w:p w:rsidR="00E42BAE" w:rsidRPr="00E42BAE" w:rsidRDefault="00E42BAE" w:rsidP="00C20677">
            <w:pPr>
              <w:pStyle w:val="TableText"/>
              <w:keepNext/>
              <w:keepLines/>
              <w:rPr>
                <w:rFonts w:ascii="Times New Roman" w:hAnsi="Times New Roman"/>
                <w:sz w:val="20"/>
                <w:szCs w:val="20"/>
              </w:rPr>
            </w:pPr>
          </w:p>
        </w:tc>
      </w:tr>
    </w:tbl>
    <w:p w:rsidR="00A53241" w:rsidRDefault="00A53241" w:rsidP="00A53241">
      <w:pPr>
        <w:pStyle w:val="BodyParagraph"/>
      </w:pPr>
    </w:p>
    <w:p w:rsidR="005408AF" w:rsidRDefault="005408AF" w:rsidP="0024252A">
      <w:pPr>
        <w:pStyle w:val="TableCaption"/>
        <w:keepLines/>
      </w:pPr>
      <w:r w:rsidRPr="005408AF">
        <w:rPr>
          <w:sz w:val="22"/>
          <w:szCs w:val="22"/>
        </w:rPr>
        <w:t>Table 4.</w:t>
      </w:r>
      <w:r w:rsidR="0024252A">
        <w:rPr>
          <w:sz w:val="22"/>
          <w:szCs w:val="22"/>
        </w:rPr>
        <w:t>5</w:t>
      </w:r>
      <w:r w:rsidRPr="005408AF">
        <w:rPr>
          <w:sz w:val="22"/>
          <w:szCs w:val="22"/>
        </w:rPr>
        <w:t>: SDG&amp;E Ex-Ante versus Ex-Post Results</w:t>
      </w:r>
    </w:p>
    <w:tbl>
      <w:tblPr>
        <w:tblStyle w:val="ItronBasic"/>
        <w:tblW w:w="0" w:type="auto"/>
        <w:jc w:val="center"/>
        <w:tblInd w:w="0" w:type="dxa"/>
        <w:tblLook w:val="04A0" w:firstRow="1" w:lastRow="0" w:firstColumn="1" w:lastColumn="0" w:noHBand="0" w:noVBand="1"/>
      </w:tblPr>
      <w:tblGrid>
        <w:gridCol w:w="983"/>
        <w:gridCol w:w="1975"/>
        <w:gridCol w:w="2217"/>
      </w:tblGrid>
      <w:tr w:rsidR="0024252A" w:rsidRPr="0024252A" w:rsidTr="0024252A">
        <w:trPr>
          <w:cnfStyle w:val="100000000000" w:firstRow="1" w:lastRow="0" w:firstColumn="0" w:lastColumn="0" w:oddVBand="0" w:evenVBand="0" w:oddHBand="0" w:evenHBand="0" w:firstRowFirstColumn="0" w:firstRowLastColumn="0" w:lastRowFirstColumn="0" w:lastRowLastColumn="0"/>
          <w:jc w:val="center"/>
        </w:trPr>
        <w:tc>
          <w:tcPr>
            <w:tcW w:w="0" w:type="auto"/>
            <w:shd w:val="clear" w:color="auto" w:fill="002060"/>
          </w:tcPr>
          <w:p w:rsidR="005408AF" w:rsidRPr="0024252A" w:rsidRDefault="005408AF" w:rsidP="0024252A">
            <w:pPr>
              <w:pStyle w:val="BodyParagraph"/>
              <w:jc w:val="center"/>
              <w:rPr>
                <w:rFonts w:ascii="Times New Roman" w:hAnsi="Times New Roman"/>
                <w:color w:val="FFFFFF" w:themeColor="background1"/>
              </w:rPr>
            </w:pPr>
            <w:r w:rsidRPr="0024252A">
              <w:rPr>
                <w:rFonts w:ascii="Times New Roman" w:hAnsi="Times New Roman"/>
                <w:color w:val="FFFFFF" w:themeColor="background1"/>
              </w:rPr>
              <w:t>Program</w:t>
            </w:r>
          </w:p>
        </w:tc>
        <w:tc>
          <w:tcPr>
            <w:tcW w:w="1975" w:type="dxa"/>
            <w:shd w:val="clear" w:color="auto" w:fill="002060"/>
          </w:tcPr>
          <w:p w:rsidR="005408AF" w:rsidRPr="0024252A" w:rsidRDefault="005408AF" w:rsidP="0024252A">
            <w:pPr>
              <w:pStyle w:val="BodyParagraph"/>
              <w:jc w:val="center"/>
              <w:rPr>
                <w:rFonts w:ascii="Times New Roman" w:hAnsi="Times New Roman"/>
                <w:color w:val="FFFFFF" w:themeColor="background1"/>
              </w:rPr>
            </w:pPr>
            <w:r w:rsidRPr="0024252A">
              <w:rPr>
                <w:rFonts w:ascii="Times New Roman" w:hAnsi="Times New Roman"/>
                <w:color w:val="FFFFFF" w:themeColor="background1"/>
              </w:rPr>
              <w:t>2015 Ex-Post Load Impact (MW)</w:t>
            </w:r>
          </w:p>
        </w:tc>
        <w:tc>
          <w:tcPr>
            <w:tcW w:w="2217" w:type="dxa"/>
            <w:shd w:val="clear" w:color="auto" w:fill="002060"/>
          </w:tcPr>
          <w:p w:rsidR="005408AF" w:rsidRPr="0024252A" w:rsidRDefault="005408AF" w:rsidP="0024252A">
            <w:pPr>
              <w:pStyle w:val="BodyParagraph"/>
              <w:jc w:val="center"/>
              <w:rPr>
                <w:rFonts w:ascii="Times New Roman" w:hAnsi="Times New Roman"/>
                <w:color w:val="FFFFFF" w:themeColor="background1"/>
              </w:rPr>
            </w:pPr>
            <w:r w:rsidRPr="0024252A">
              <w:rPr>
                <w:rFonts w:ascii="Times New Roman" w:hAnsi="Times New Roman"/>
                <w:color w:val="FFFFFF" w:themeColor="background1"/>
              </w:rPr>
              <w:t>2016 Ex-Ante Load Impact August (MW)</w:t>
            </w:r>
          </w:p>
        </w:tc>
      </w:tr>
      <w:tr w:rsidR="005408AF" w:rsidTr="005408AF">
        <w:trPr>
          <w:jc w:val="center"/>
        </w:trPr>
        <w:tc>
          <w:tcPr>
            <w:tcW w:w="0" w:type="auto"/>
          </w:tcPr>
          <w:p w:rsidR="005408AF" w:rsidRPr="0024252A" w:rsidRDefault="005408AF" w:rsidP="0024252A">
            <w:pPr>
              <w:pStyle w:val="BodyParagraph"/>
              <w:jc w:val="center"/>
              <w:rPr>
                <w:rFonts w:ascii="Times New Roman" w:hAnsi="Times New Roman"/>
              </w:rPr>
            </w:pPr>
            <w:r w:rsidRPr="0024252A">
              <w:rPr>
                <w:rFonts w:ascii="Times New Roman" w:hAnsi="Times New Roman"/>
              </w:rPr>
              <w:t>BIP</w:t>
            </w:r>
          </w:p>
        </w:tc>
        <w:tc>
          <w:tcPr>
            <w:tcW w:w="1975" w:type="dxa"/>
          </w:tcPr>
          <w:p w:rsidR="005408AF" w:rsidRPr="0024252A" w:rsidRDefault="005408AF" w:rsidP="0024252A">
            <w:pPr>
              <w:pStyle w:val="BodyParagraph"/>
              <w:jc w:val="center"/>
              <w:rPr>
                <w:rFonts w:ascii="Times New Roman" w:hAnsi="Times New Roman"/>
              </w:rPr>
            </w:pPr>
            <w:r w:rsidRPr="0024252A">
              <w:rPr>
                <w:rFonts w:ascii="Times New Roman" w:hAnsi="Times New Roman"/>
              </w:rPr>
              <w:t>1.5</w:t>
            </w:r>
          </w:p>
        </w:tc>
        <w:tc>
          <w:tcPr>
            <w:tcW w:w="2217" w:type="dxa"/>
          </w:tcPr>
          <w:p w:rsidR="005408AF" w:rsidRPr="0024252A" w:rsidRDefault="005408AF" w:rsidP="0024252A">
            <w:pPr>
              <w:pStyle w:val="BodyParagraph"/>
              <w:jc w:val="center"/>
              <w:rPr>
                <w:rFonts w:ascii="Times New Roman" w:hAnsi="Times New Roman"/>
              </w:rPr>
            </w:pPr>
            <w:r w:rsidRPr="0024252A">
              <w:rPr>
                <w:rFonts w:ascii="Times New Roman" w:hAnsi="Times New Roman"/>
              </w:rPr>
              <w:t>1.4</w:t>
            </w:r>
          </w:p>
        </w:tc>
      </w:tr>
    </w:tbl>
    <w:p w:rsidR="005408AF" w:rsidRDefault="005408AF" w:rsidP="00A53241">
      <w:pPr>
        <w:pStyle w:val="BodyParagraph"/>
      </w:pPr>
    </w:p>
    <w:p w:rsidR="00325A4C" w:rsidRDefault="00325A4C" w:rsidP="00A53241">
      <w:pPr>
        <w:pStyle w:val="BodyParagraph"/>
      </w:pPr>
    </w:p>
    <w:p w:rsidR="00325A4C" w:rsidRPr="00A53241" w:rsidRDefault="00325A4C" w:rsidP="00A53241">
      <w:pPr>
        <w:pStyle w:val="BodyParagraph"/>
      </w:pPr>
    </w:p>
    <w:p w:rsidR="005D7D2C" w:rsidRPr="00652F43" w:rsidRDefault="005D7D2C" w:rsidP="00C37EE6">
      <w:pPr>
        <w:pStyle w:val="Heading1"/>
        <w:spacing w:after="0" w:line="276" w:lineRule="auto"/>
        <w:rPr>
          <w:rFonts w:ascii="Times New Roman" w:hAnsi="Times New Roman" w:cs="Times New Roman"/>
          <w:color w:val="000000" w:themeColor="text1"/>
        </w:rPr>
      </w:pPr>
      <w:bookmarkStart w:id="140" w:name="_Toc351990579"/>
      <w:bookmarkStart w:id="141" w:name="_Toc352084156"/>
      <w:bookmarkStart w:id="142" w:name="_Toc350242628"/>
      <w:bookmarkStart w:id="143" w:name="_Toc447179799"/>
      <w:r w:rsidRPr="00652F43">
        <w:rPr>
          <w:rFonts w:ascii="Times New Roman" w:hAnsi="Times New Roman" w:cs="Times New Roman"/>
          <w:color w:val="000000" w:themeColor="text1"/>
        </w:rPr>
        <w:lastRenderedPageBreak/>
        <w:t>Summary of SDG&amp;E’s Demand Bidding Program Report</w:t>
      </w:r>
      <w:bookmarkEnd w:id="140"/>
      <w:bookmarkEnd w:id="141"/>
      <w:bookmarkEnd w:id="143"/>
    </w:p>
    <w:p w:rsidR="005D7D2C" w:rsidRPr="00711930" w:rsidRDefault="00D174B4" w:rsidP="00C37EE6">
      <w:pPr>
        <w:pStyle w:val="Heading2"/>
        <w:spacing w:after="0" w:line="276" w:lineRule="auto"/>
        <w:rPr>
          <w:rFonts w:ascii="Times New Roman" w:hAnsi="Times New Roman" w:cs="Times New Roman"/>
          <w:color w:val="000000" w:themeColor="text1"/>
        </w:rPr>
      </w:pPr>
      <w:bookmarkStart w:id="144" w:name="_Toc351990580"/>
      <w:bookmarkStart w:id="145" w:name="_Toc352084157"/>
      <w:bookmarkStart w:id="146" w:name="_Toc447179800"/>
      <w:r w:rsidRPr="00711930">
        <w:rPr>
          <w:rFonts w:ascii="Times New Roman" w:hAnsi="Times New Roman" w:cs="Times New Roman"/>
          <w:color w:val="000000" w:themeColor="text1"/>
        </w:rPr>
        <w:t xml:space="preserve">DBP </w:t>
      </w:r>
      <w:r w:rsidR="005D7D2C" w:rsidRPr="00711930">
        <w:rPr>
          <w:rFonts w:ascii="Times New Roman" w:hAnsi="Times New Roman" w:cs="Times New Roman"/>
          <w:color w:val="000000" w:themeColor="text1"/>
        </w:rPr>
        <w:t>Program Description</w:t>
      </w:r>
      <w:bookmarkEnd w:id="144"/>
      <w:bookmarkEnd w:id="145"/>
      <w:bookmarkEnd w:id="146"/>
      <w:r w:rsidR="005D7D2C" w:rsidRPr="00711930">
        <w:rPr>
          <w:rFonts w:ascii="Times New Roman" w:hAnsi="Times New Roman" w:cs="Times New Roman"/>
          <w:color w:val="000000" w:themeColor="text1"/>
        </w:rPr>
        <w:tab/>
      </w:r>
    </w:p>
    <w:p w:rsidR="003E48A4" w:rsidRPr="00711930" w:rsidRDefault="003E48A4" w:rsidP="00C37EE6">
      <w:pPr>
        <w:spacing w:line="276" w:lineRule="auto"/>
        <w:rPr>
          <w:color w:val="000000" w:themeColor="text1"/>
        </w:rPr>
      </w:pPr>
      <w:bookmarkStart w:id="147" w:name="_Toc350242616"/>
      <w:bookmarkEnd w:id="142"/>
    </w:p>
    <w:p w:rsidR="0071491C" w:rsidRPr="008227A8" w:rsidRDefault="0071491C" w:rsidP="0071491C">
      <w:pPr>
        <w:spacing w:line="276" w:lineRule="auto"/>
        <w:rPr>
          <w:color w:val="000000" w:themeColor="text1"/>
        </w:rPr>
      </w:pPr>
      <w:r w:rsidRPr="008227A8">
        <w:rPr>
          <w:color w:val="000000" w:themeColor="text1"/>
        </w:rPr>
        <w:t>SDG&amp;E has two Demand Bidding Programs described below:</w:t>
      </w:r>
    </w:p>
    <w:p w:rsidR="0071491C" w:rsidRPr="008227A8" w:rsidRDefault="0071491C" w:rsidP="0071491C">
      <w:pPr>
        <w:autoSpaceDE w:val="0"/>
        <w:autoSpaceDN w:val="0"/>
        <w:adjustRightInd w:val="0"/>
        <w:spacing w:line="276" w:lineRule="auto"/>
        <w:ind w:firstLine="360"/>
        <w:rPr>
          <w:color w:val="000000" w:themeColor="text1"/>
          <w:u w:val="single"/>
        </w:rPr>
      </w:pPr>
    </w:p>
    <w:p w:rsidR="0071491C" w:rsidRPr="008227A8" w:rsidRDefault="0071491C" w:rsidP="0071491C">
      <w:pPr>
        <w:autoSpaceDE w:val="0"/>
        <w:autoSpaceDN w:val="0"/>
        <w:adjustRightInd w:val="0"/>
        <w:spacing w:line="276" w:lineRule="auto"/>
        <w:ind w:firstLine="360"/>
        <w:rPr>
          <w:color w:val="000000" w:themeColor="text1"/>
        </w:rPr>
      </w:pPr>
      <w:r w:rsidRPr="008227A8">
        <w:rPr>
          <w:color w:val="000000" w:themeColor="text1"/>
          <w:u w:val="single"/>
        </w:rPr>
        <w:t>Schedule DBP-DA:</w:t>
      </w:r>
      <w:r w:rsidRPr="008227A8">
        <w:rPr>
          <w:color w:val="000000" w:themeColor="text1"/>
        </w:rPr>
        <w:t xml:space="preserve"> Schedule DBP-DA provides day-ahead notice of event days. This program is applicable to customers who are capable of providing at least a 2 MW load reduction based on the customer’s specific baseline. The DBP-DA incentive is $0.40 per kWh for customers who purchase commodity from the utility (bundled customers).</w:t>
      </w:r>
    </w:p>
    <w:p w:rsidR="0071491C" w:rsidRPr="008227A8" w:rsidRDefault="0071491C" w:rsidP="0071491C">
      <w:pPr>
        <w:autoSpaceDE w:val="0"/>
        <w:autoSpaceDN w:val="0"/>
        <w:adjustRightInd w:val="0"/>
        <w:spacing w:line="276" w:lineRule="auto"/>
        <w:ind w:firstLine="360"/>
        <w:rPr>
          <w:color w:val="000000" w:themeColor="text1"/>
        </w:rPr>
      </w:pPr>
    </w:p>
    <w:p w:rsidR="0071491C" w:rsidRPr="008227A8" w:rsidRDefault="0071491C" w:rsidP="0071491C">
      <w:pPr>
        <w:autoSpaceDE w:val="0"/>
        <w:autoSpaceDN w:val="0"/>
        <w:adjustRightInd w:val="0"/>
        <w:spacing w:line="276" w:lineRule="auto"/>
        <w:ind w:firstLine="360"/>
        <w:rPr>
          <w:color w:val="000000" w:themeColor="text1"/>
        </w:rPr>
      </w:pPr>
      <w:r w:rsidRPr="008227A8">
        <w:rPr>
          <w:color w:val="000000" w:themeColor="text1"/>
          <w:u w:val="single"/>
        </w:rPr>
        <w:t>Schedule DBP-DO:</w:t>
      </w:r>
      <w:r w:rsidRPr="008227A8">
        <w:rPr>
          <w:color w:val="000000" w:themeColor="text1"/>
        </w:rPr>
        <w:t xml:space="preserve"> Demand/energy bidding program offers incentives to nonresidential customers for reducing energy consumption and demand during a specific Demand Bidding Event. This program is applicable to customers who are capable of providing at least a 5 MW load reduction based on the customer’s specific baseline. The DBP-DA incentive is $0.50 per kWh for customers who purchase commodity from the Utility (bundled customers). </w:t>
      </w:r>
    </w:p>
    <w:p w:rsidR="0071491C" w:rsidRPr="008227A8" w:rsidRDefault="0071491C" w:rsidP="0071491C">
      <w:pPr>
        <w:autoSpaceDE w:val="0"/>
        <w:autoSpaceDN w:val="0"/>
        <w:adjustRightInd w:val="0"/>
        <w:spacing w:line="276" w:lineRule="auto"/>
        <w:ind w:firstLine="360"/>
        <w:rPr>
          <w:color w:val="000000" w:themeColor="text1"/>
        </w:rPr>
      </w:pPr>
    </w:p>
    <w:p w:rsidR="0071491C" w:rsidRPr="008227A8" w:rsidRDefault="0071491C" w:rsidP="0071491C">
      <w:pPr>
        <w:autoSpaceDE w:val="0"/>
        <w:autoSpaceDN w:val="0"/>
        <w:adjustRightInd w:val="0"/>
        <w:spacing w:line="276" w:lineRule="auto"/>
        <w:ind w:firstLine="360"/>
        <w:rPr>
          <w:color w:val="000000" w:themeColor="text1"/>
        </w:rPr>
      </w:pPr>
      <w:r w:rsidRPr="008227A8">
        <w:rPr>
          <w:color w:val="000000" w:themeColor="text1"/>
        </w:rPr>
        <w:t>Schedule DBP-DO and DBP-DA programs are available year-round and there is no limit to the number of Demand Bidding Events per month or per year. A customer may not participate simultaneously in DBP-DA or DBP-DO and any other Demand Response rate or program. SDG&amp;E will end these programs in 2016.</w:t>
      </w:r>
    </w:p>
    <w:p w:rsidR="005D7D2C" w:rsidRPr="003B5EED" w:rsidRDefault="005D7D2C" w:rsidP="00FD4611">
      <w:pPr>
        <w:pStyle w:val="Heading2"/>
        <w:spacing w:after="0" w:line="276" w:lineRule="auto"/>
        <w:rPr>
          <w:rFonts w:ascii="Times New Roman" w:hAnsi="Times New Roman" w:cs="Times New Roman"/>
          <w:color w:val="000000" w:themeColor="text1"/>
        </w:rPr>
      </w:pPr>
      <w:bookmarkStart w:id="148" w:name="_Toc351990584"/>
      <w:bookmarkStart w:id="149" w:name="_Toc352084161"/>
      <w:bookmarkStart w:id="150" w:name="_Toc447179801"/>
      <w:bookmarkEnd w:id="147"/>
      <w:r w:rsidRPr="003B5EED">
        <w:rPr>
          <w:rFonts w:ascii="Times New Roman" w:hAnsi="Times New Roman" w:cs="Times New Roman"/>
          <w:color w:val="000000" w:themeColor="text1"/>
        </w:rPr>
        <w:t xml:space="preserve">DBP </w:t>
      </w:r>
      <w:r w:rsidR="0015465A" w:rsidRPr="003B5EED">
        <w:rPr>
          <w:rFonts w:ascii="Times New Roman" w:hAnsi="Times New Roman" w:cs="Times New Roman"/>
          <w:color w:val="000000" w:themeColor="text1"/>
        </w:rPr>
        <w:t>Ex-</w:t>
      </w:r>
      <w:r w:rsidR="0024147B" w:rsidRPr="003B5EED">
        <w:rPr>
          <w:rFonts w:ascii="Times New Roman" w:hAnsi="Times New Roman" w:cs="Times New Roman"/>
          <w:color w:val="000000" w:themeColor="text1"/>
        </w:rPr>
        <w:t>P</w:t>
      </w:r>
      <w:r w:rsidR="0015465A" w:rsidRPr="003B5EED">
        <w:rPr>
          <w:rFonts w:ascii="Times New Roman" w:hAnsi="Times New Roman" w:cs="Times New Roman"/>
          <w:color w:val="000000" w:themeColor="text1"/>
        </w:rPr>
        <w:t>ost</w:t>
      </w:r>
      <w:r w:rsidRPr="003B5EED">
        <w:rPr>
          <w:rFonts w:ascii="Times New Roman" w:hAnsi="Times New Roman" w:cs="Times New Roman"/>
          <w:color w:val="000000" w:themeColor="text1"/>
        </w:rPr>
        <w:t xml:space="preserve"> Load Impacts</w:t>
      </w:r>
      <w:bookmarkEnd w:id="148"/>
      <w:bookmarkEnd w:id="149"/>
      <w:r w:rsidR="0024147B" w:rsidRPr="003B5EED">
        <w:rPr>
          <w:rFonts w:ascii="Times New Roman" w:hAnsi="Times New Roman" w:cs="Times New Roman"/>
          <w:color w:val="000000" w:themeColor="text1"/>
        </w:rPr>
        <w:t xml:space="preserve"> Estimates</w:t>
      </w:r>
      <w:bookmarkEnd w:id="150"/>
    </w:p>
    <w:p w:rsidR="005D7D2C" w:rsidRDefault="005D7D2C" w:rsidP="00FD4611">
      <w:pPr>
        <w:spacing w:line="276" w:lineRule="auto"/>
        <w:rPr>
          <w:color w:val="000000" w:themeColor="text1"/>
        </w:rPr>
      </w:pPr>
    </w:p>
    <w:p w:rsidR="003521FC" w:rsidRPr="008227A8" w:rsidRDefault="003521FC" w:rsidP="003521FC">
      <w:pPr>
        <w:rPr>
          <w:color w:val="000000" w:themeColor="text1"/>
        </w:rPr>
      </w:pPr>
      <w:r w:rsidRPr="008227A8">
        <w:rPr>
          <w:color w:val="000000" w:themeColor="text1"/>
        </w:rPr>
        <w:t>SDG&amp;E did not call any DBP event days during the 2015 program year.</w:t>
      </w:r>
    </w:p>
    <w:p w:rsidR="003521FC" w:rsidRPr="008227A8" w:rsidRDefault="003521FC" w:rsidP="00FD4611">
      <w:pPr>
        <w:spacing w:line="276" w:lineRule="auto"/>
        <w:rPr>
          <w:color w:val="000000" w:themeColor="text1"/>
        </w:rPr>
      </w:pPr>
    </w:p>
    <w:p w:rsidR="00687934" w:rsidRDefault="00687934" w:rsidP="00FA5A10">
      <w:pPr>
        <w:pStyle w:val="Heading2"/>
        <w:spacing w:after="0" w:line="276" w:lineRule="auto"/>
        <w:rPr>
          <w:rFonts w:ascii="Times New Roman" w:hAnsi="Times New Roman" w:cs="Times New Roman"/>
          <w:color w:val="000000" w:themeColor="text1"/>
        </w:rPr>
      </w:pPr>
      <w:bookmarkStart w:id="151" w:name="_Toc447179802"/>
      <w:r w:rsidRPr="008227A8">
        <w:rPr>
          <w:rFonts w:ascii="Times New Roman" w:hAnsi="Times New Roman" w:cs="Times New Roman"/>
          <w:color w:val="000000" w:themeColor="text1"/>
        </w:rPr>
        <w:t>DBP Ex-Ante Evaluation Methodology</w:t>
      </w:r>
      <w:bookmarkEnd w:id="151"/>
    </w:p>
    <w:p w:rsidR="00FF499A" w:rsidRPr="00FF499A" w:rsidRDefault="00FF499A" w:rsidP="00FF499A"/>
    <w:p w:rsidR="00602A02" w:rsidRDefault="00FF499A" w:rsidP="00602A02">
      <w:pPr>
        <w:pStyle w:val="BodyParagraph"/>
        <w:spacing w:after="0" w:line="276" w:lineRule="auto"/>
        <w:ind w:firstLine="360"/>
        <w:rPr>
          <w:rFonts w:ascii="Times New Roman" w:hAnsi="Times New Roman"/>
          <w:color w:val="000000" w:themeColor="text1"/>
          <w:sz w:val="24"/>
          <w:szCs w:val="24"/>
        </w:rPr>
      </w:pPr>
      <w:r w:rsidRPr="00FF499A">
        <w:rPr>
          <w:rFonts w:ascii="Times New Roman" w:hAnsi="Times New Roman"/>
          <w:color w:val="000000" w:themeColor="text1"/>
          <w:sz w:val="24"/>
          <w:szCs w:val="24"/>
        </w:rPr>
        <w:t xml:space="preserve">According to the current tariff </w:t>
      </w:r>
      <w:r>
        <w:rPr>
          <w:rFonts w:ascii="Times New Roman" w:hAnsi="Times New Roman"/>
          <w:color w:val="000000" w:themeColor="text1"/>
          <w:sz w:val="24"/>
          <w:szCs w:val="24"/>
        </w:rPr>
        <w:t xml:space="preserve"> the both the DBP day-ahead and the DBP day-of program</w:t>
      </w:r>
      <w:r w:rsidR="00325A4C">
        <w:rPr>
          <w:rFonts w:ascii="Times New Roman" w:hAnsi="Times New Roman"/>
          <w:color w:val="000000" w:themeColor="text1"/>
          <w:sz w:val="24"/>
          <w:szCs w:val="24"/>
        </w:rPr>
        <w:t>s</w:t>
      </w:r>
      <w:r>
        <w:rPr>
          <w:rFonts w:ascii="Times New Roman" w:hAnsi="Times New Roman"/>
          <w:color w:val="000000" w:themeColor="text1"/>
          <w:sz w:val="24"/>
          <w:szCs w:val="24"/>
        </w:rPr>
        <w:t xml:space="preserve"> end in December of 2016 and SDG&amp;E has not proposed to extend the program</w:t>
      </w:r>
      <w:r w:rsidR="00325A4C">
        <w:rPr>
          <w:rFonts w:ascii="Times New Roman" w:hAnsi="Times New Roman"/>
          <w:color w:val="000000" w:themeColor="text1"/>
          <w:sz w:val="24"/>
          <w:szCs w:val="24"/>
        </w:rPr>
        <w:t>s</w:t>
      </w:r>
      <w:r>
        <w:rPr>
          <w:rFonts w:ascii="Times New Roman" w:hAnsi="Times New Roman"/>
          <w:color w:val="000000" w:themeColor="text1"/>
          <w:sz w:val="24"/>
          <w:szCs w:val="24"/>
        </w:rPr>
        <w:t>.</w:t>
      </w:r>
      <w:r w:rsidRPr="00FF499A">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Therefore the ex-ante forecast for 2017-2026 is zero. </w:t>
      </w:r>
      <w:bookmarkStart w:id="152" w:name="_Toc259624202"/>
      <w:bookmarkStart w:id="153" w:name="_Toc259628878"/>
      <w:bookmarkStart w:id="154" w:name="_Toc289248352"/>
      <w:bookmarkStart w:id="155" w:name="_Toc351990588"/>
      <w:bookmarkStart w:id="156" w:name="_Toc352084165"/>
    </w:p>
    <w:p w:rsidR="00602A02" w:rsidRPr="00926C95" w:rsidRDefault="00926C95" w:rsidP="00926C95">
      <w:pPr>
        <w:pStyle w:val="Heading1"/>
        <w:spacing w:after="0" w:line="276" w:lineRule="auto"/>
        <w:rPr>
          <w:rFonts w:ascii="Times New Roman" w:hAnsi="Times New Roman" w:cs="Times New Roman"/>
          <w:color w:val="000000" w:themeColor="text1"/>
        </w:rPr>
      </w:pPr>
      <w:bookmarkStart w:id="157" w:name="_Toc447179803"/>
      <w:r>
        <w:rPr>
          <w:rFonts w:ascii="Times New Roman" w:hAnsi="Times New Roman" w:cs="Times New Roman"/>
          <w:color w:val="000000" w:themeColor="text1"/>
        </w:rPr>
        <w:lastRenderedPageBreak/>
        <w:t>Summary of the Summer Saver Program</w:t>
      </w:r>
      <w:bookmarkEnd w:id="157"/>
    </w:p>
    <w:p w:rsidR="00ED7741" w:rsidRPr="00602A02" w:rsidRDefault="00ED7741" w:rsidP="00602A02">
      <w:pPr>
        <w:pStyle w:val="Heading2"/>
        <w:spacing w:after="0" w:line="276" w:lineRule="auto"/>
        <w:rPr>
          <w:rFonts w:ascii="Times New Roman" w:hAnsi="Times New Roman" w:cs="Times New Roman"/>
          <w:color w:val="000000" w:themeColor="text1"/>
        </w:rPr>
      </w:pPr>
      <w:bookmarkStart w:id="158" w:name="_Toc447179804"/>
      <w:r w:rsidRPr="00602A02">
        <w:rPr>
          <w:rFonts w:ascii="Times New Roman" w:hAnsi="Times New Roman" w:cs="Times New Roman"/>
          <w:color w:val="000000" w:themeColor="text1"/>
        </w:rPr>
        <w:t>Summer Saver Program Description</w:t>
      </w:r>
      <w:bookmarkEnd w:id="152"/>
      <w:bookmarkEnd w:id="153"/>
      <w:bookmarkEnd w:id="154"/>
      <w:bookmarkEnd w:id="155"/>
      <w:bookmarkEnd w:id="156"/>
      <w:bookmarkEnd w:id="158"/>
    </w:p>
    <w:p w:rsidR="0020759B" w:rsidRDefault="0020759B" w:rsidP="00922933">
      <w:pPr>
        <w:pStyle w:val="TableFigureCaption"/>
        <w:spacing w:after="0" w:line="276" w:lineRule="auto"/>
        <w:ind w:firstLine="360"/>
        <w:jc w:val="left"/>
        <w:rPr>
          <w:rFonts w:ascii="Times New Roman" w:hAnsi="Times New Roman"/>
          <w:b w:val="0"/>
          <w:color w:val="0000FF"/>
          <w:sz w:val="24"/>
          <w:szCs w:val="24"/>
        </w:rPr>
      </w:pPr>
      <w:bookmarkStart w:id="159" w:name="_Toc257732865"/>
      <w:bookmarkStart w:id="160" w:name="_Toc259624203"/>
      <w:bookmarkStart w:id="161" w:name="_Toc259628879"/>
      <w:bookmarkStart w:id="162" w:name="_Toc289248353"/>
    </w:p>
    <w:p w:rsidR="00922933" w:rsidRPr="008227A8" w:rsidRDefault="00922933" w:rsidP="00922933">
      <w:pPr>
        <w:pStyle w:val="TableFigureCaption"/>
        <w:spacing w:after="0" w:line="276" w:lineRule="auto"/>
        <w:ind w:firstLine="360"/>
        <w:jc w:val="left"/>
        <w:rPr>
          <w:rFonts w:ascii="Times New Roman" w:hAnsi="Times New Roman"/>
          <w:b w:val="0"/>
          <w:color w:val="000000" w:themeColor="text1"/>
          <w:sz w:val="24"/>
          <w:szCs w:val="24"/>
        </w:rPr>
      </w:pPr>
      <w:r w:rsidRPr="008227A8">
        <w:rPr>
          <w:rFonts w:ascii="Times New Roman" w:hAnsi="Times New Roman"/>
          <w:b w:val="0"/>
          <w:color w:val="000000" w:themeColor="text1"/>
          <w:sz w:val="24"/>
          <w:szCs w:val="24"/>
        </w:rPr>
        <w:t xml:space="preserve">The Summer Saver program is a San Diego Gas and Electric Co. (SDG&amp;E) demand response resource based on central air conditioning (CAC) load control. It is implemented through an agreement between SDG&amp;E and Alternative Energy Resources (AER), a subsidiary of Comverge, Inc., and is expected to continue to be implemented at SDG&amp;E through 2016. </w:t>
      </w:r>
    </w:p>
    <w:p w:rsidR="00922933" w:rsidRPr="008227A8" w:rsidRDefault="00922933" w:rsidP="00922933">
      <w:pPr>
        <w:pStyle w:val="TableFigureCaption"/>
        <w:spacing w:after="0" w:line="276" w:lineRule="auto"/>
        <w:ind w:firstLine="360"/>
        <w:jc w:val="left"/>
        <w:rPr>
          <w:rFonts w:ascii="Times New Roman" w:hAnsi="Times New Roman"/>
          <w:b w:val="0"/>
          <w:color w:val="000000" w:themeColor="text1"/>
          <w:sz w:val="24"/>
          <w:szCs w:val="24"/>
        </w:rPr>
      </w:pPr>
    </w:p>
    <w:p w:rsidR="00922933" w:rsidRPr="008227A8" w:rsidRDefault="00922933" w:rsidP="00922933">
      <w:pPr>
        <w:pStyle w:val="TableFigureCaption"/>
        <w:spacing w:after="0" w:line="276" w:lineRule="auto"/>
        <w:ind w:firstLine="360"/>
        <w:jc w:val="left"/>
        <w:rPr>
          <w:rFonts w:ascii="Times New Roman" w:hAnsi="Times New Roman"/>
          <w:b w:val="0"/>
          <w:color w:val="000000" w:themeColor="text1"/>
          <w:sz w:val="24"/>
          <w:szCs w:val="24"/>
        </w:rPr>
      </w:pPr>
      <w:r w:rsidRPr="008227A8">
        <w:rPr>
          <w:rFonts w:ascii="Times New Roman" w:hAnsi="Times New Roman"/>
          <w:b w:val="0"/>
          <w:color w:val="000000" w:themeColor="text1"/>
          <w:sz w:val="24"/>
          <w:szCs w:val="24"/>
        </w:rPr>
        <w:t xml:space="preserve">The Summer Saver program is classified as a day-of program and is available to both residential and nonresidential customers, where eligible nonresidential customers are subject to a demand limit; only those nonresidential customers with average monthly peak demand up to a maximum of 100 kW over a 12-month period may participate. Summer Saver events may only be called during the months of May through October. Load control events must run for at least two hours but may also not run for more than four hours. Participants’ air conditioners cannot be cycled for more than four hours in any event day and events cannot be triggered for more than 40 hours per month or 120 hours per year. Load control events can occur on weekends but not on holidays and cannot be called more than three days in any calendar week. These program rules apply to both residential and nonresidential customers alike. </w:t>
      </w:r>
    </w:p>
    <w:p w:rsidR="00922933" w:rsidRPr="008227A8" w:rsidRDefault="00922933" w:rsidP="00922933">
      <w:pPr>
        <w:pStyle w:val="TableFigureCaption"/>
        <w:spacing w:after="0" w:line="276" w:lineRule="auto"/>
        <w:ind w:firstLine="360"/>
        <w:jc w:val="left"/>
        <w:rPr>
          <w:rFonts w:ascii="Times New Roman" w:hAnsi="Times New Roman"/>
          <w:b w:val="0"/>
          <w:color w:val="000000" w:themeColor="text1"/>
          <w:sz w:val="24"/>
          <w:szCs w:val="24"/>
        </w:rPr>
      </w:pPr>
    </w:p>
    <w:p w:rsidR="00922933" w:rsidRPr="008227A8" w:rsidRDefault="00922933" w:rsidP="00922933">
      <w:pPr>
        <w:pStyle w:val="TableFigureCaption"/>
        <w:spacing w:after="0" w:line="276" w:lineRule="auto"/>
        <w:ind w:firstLine="360"/>
        <w:jc w:val="left"/>
        <w:rPr>
          <w:rFonts w:ascii="Times New Roman" w:hAnsi="Times New Roman"/>
          <w:b w:val="0"/>
          <w:color w:val="000000" w:themeColor="text1"/>
          <w:sz w:val="24"/>
          <w:szCs w:val="24"/>
        </w:rPr>
      </w:pPr>
      <w:r w:rsidRPr="008227A8">
        <w:rPr>
          <w:rFonts w:ascii="Times New Roman" w:hAnsi="Times New Roman"/>
          <w:b w:val="0"/>
          <w:color w:val="000000" w:themeColor="text1"/>
          <w:sz w:val="24"/>
          <w:szCs w:val="24"/>
        </w:rPr>
        <w:t>There are two enrollment options for both residential and nonresidential participants. Residential customers can choose to have their CAC units cycled 50% or 100% of the time during an event. The incentive paid for each option varies; the 50% cycling option pays $11.50 per ton per year of CAC capacity and the 100% cycling option pays $30 per ton per year. A residential customer with a four-ton CAC unit would be paid the following in the form of an annual credit on their SDG&amp;E bill:</w:t>
      </w:r>
    </w:p>
    <w:p w:rsidR="00922933" w:rsidRPr="008227A8" w:rsidRDefault="00922933" w:rsidP="00922933">
      <w:pPr>
        <w:pStyle w:val="TableFigureCaption"/>
        <w:spacing w:after="0" w:line="276" w:lineRule="auto"/>
        <w:ind w:firstLine="360"/>
        <w:jc w:val="left"/>
        <w:rPr>
          <w:rFonts w:ascii="Times New Roman" w:hAnsi="Times New Roman"/>
          <w:b w:val="0"/>
          <w:color w:val="000000" w:themeColor="text1"/>
          <w:sz w:val="24"/>
          <w:szCs w:val="24"/>
        </w:rPr>
      </w:pPr>
      <w:r w:rsidRPr="008227A8">
        <w:rPr>
          <w:rFonts w:ascii="Times New Roman" w:hAnsi="Times New Roman"/>
          <w:b w:val="0"/>
          <w:color w:val="000000" w:themeColor="text1"/>
          <w:sz w:val="24"/>
          <w:szCs w:val="24"/>
        </w:rPr>
        <w:t xml:space="preserve">$46 for 50% cycling; or </w:t>
      </w:r>
    </w:p>
    <w:p w:rsidR="00922933" w:rsidRPr="008227A8" w:rsidRDefault="00922933" w:rsidP="00922933">
      <w:pPr>
        <w:pStyle w:val="TableFigureCaption"/>
        <w:spacing w:after="0" w:line="276" w:lineRule="auto"/>
        <w:ind w:firstLine="360"/>
        <w:jc w:val="left"/>
        <w:rPr>
          <w:rFonts w:ascii="Times New Roman" w:hAnsi="Times New Roman"/>
          <w:b w:val="0"/>
          <w:color w:val="000000" w:themeColor="text1"/>
          <w:sz w:val="24"/>
          <w:szCs w:val="24"/>
        </w:rPr>
      </w:pPr>
      <w:r w:rsidRPr="008227A8">
        <w:rPr>
          <w:rFonts w:ascii="Times New Roman" w:hAnsi="Times New Roman"/>
          <w:b w:val="0"/>
          <w:color w:val="000000" w:themeColor="text1"/>
          <w:sz w:val="24"/>
          <w:szCs w:val="24"/>
        </w:rPr>
        <w:t>$120 for 100% cycling.</w:t>
      </w:r>
    </w:p>
    <w:p w:rsidR="00922933" w:rsidRPr="008227A8" w:rsidRDefault="00922933" w:rsidP="00922933">
      <w:pPr>
        <w:pStyle w:val="BodyParaAfterTableFigure"/>
        <w:spacing w:before="0" w:after="0" w:line="276" w:lineRule="auto"/>
        <w:ind w:firstLine="360"/>
        <w:rPr>
          <w:color w:val="000000" w:themeColor="text1"/>
        </w:rPr>
      </w:pPr>
    </w:p>
    <w:p w:rsidR="00922933" w:rsidRPr="008227A8" w:rsidRDefault="00922933" w:rsidP="00922933">
      <w:pPr>
        <w:pStyle w:val="TableFigureCaption"/>
        <w:spacing w:after="0" w:line="276" w:lineRule="auto"/>
        <w:ind w:firstLine="360"/>
        <w:jc w:val="left"/>
        <w:rPr>
          <w:rFonts w:ascii="Times New Roman" w:hAnsi="Times New Roman"/>
          <w:b w:val="0"/>
          <w:color w:val="000000" w:themeColor="text1"/>
          <w:sz w:val="24"/>
          <w:szCs w:val="24"/>
        </w:rPr>
      </w:pPr>
      <w:r w:rsidRPr="008227A8">
        <w:rPr>
          <w:rFonts w:ascii="Times New Roman" w:hAnsi="Times New Roman"/>
          <w:b w:val="0"/>
          <w:color w:val="000000" w:themeColor="text1"/>
          <w:sz w:val="24"/>
          <w:szCs w:val="24"/>
        </w:rPr>
        <w:t xml:space="preserve">Nonresidential customers have the option of choosing 30% or 50% cycling. The incentive payment for 30% cycling is $9 per ton per year and $15 per ton per year for the 50% cycling option. A nonresidential customer with five tons of air conditioning would be paid the following in the form of an annual credit on their SDG&amp;E bill: </w:t>
      </w:r>
    </w:p>
    <w:p w:rsidR="00922933" w:rsidRPr="008227A8" w:rsidRDefault="00922933" w:rsidP="00922933">
      <w:pPr>
        <w:pStyle w:val="TableFigureCaption"/>
        <w:spacing w:after="0" w:line="276" w:lineRule="auto"/>
        <w:ind w:firstLine="360"/>
        <w:jc w:val="left"/>
        <w:rPr>
          <w:rFonts w:ascii="Times New Roman" w:hAnsi="Times New Roman"/>
          <w:b w:val="0"/>
          <w:color w:val="000000" w:themeColor="text1"/>
          <w:sz w:val="24"/>
          <w:szCs w:val="24"/>
        </w:rPr>
      </w:pPr>
      <w:r w:rsidRPr="008227A8">
        <w:rPr>
          <w:rFonts w:ascii="Times New Roman" w:hAnsi="Times New Roman"/>
          <w:b w:val="0"/>
          <w:color w:val="000000" w:themeColor="text1"/>
          <w:sz w:val="24"/>
          <w:szCs w:val="24"/>
        </w:rPr>
        <w:t>$45 for 30% cycling; or</w:t>
      </w:r>
    </w:p>
    <w:p w:rsidR="00922933" w:rsidRDefault="00922933" w:rsidP="00922933">
      <w:pPr>
        <w:pStyle w:val="TableFigureCaption"/>
        <w:spacing w:after="0" w:line="276" w:lineRule="auto"/>
        <w:ind w:firstLine="360"/>
        <w:jc w:val="left"/>
        <w:rPr>
          <w:rFonts w:ascii="Times New Roman" w:hAnsi="Times New Roman"/>
          <w:b w:val="0"/>
          <w:color w:val="000000" w:themeColor="text1"/>
          <w:sz w:val="24"/>
          <w:szCs w:val="24"/>
        </w:rPr>
      </w:pPr>
      <w:r w:rsidRPr="008227A8">
        <w:rPr>
          <w:rFonts w:ascii="Times New Roman" w:hAnsi="Times New Roman"/>
          <w:b w:val="0"/>
          <w:color w:val="000000" w:themeColor="text1"/>
          <w:sz w:val="24"/>
          <w:szCs w:val="24"/>
        </w:rPr>
        <w:t>$75 for 50% cycling.</w:t>
      </w:r>
    </w:p>
    <w:p w:rsidR="00F60C60" w:rsidRPr="00F60C60" w:rsidRDefault="00F60C60" w:rsidP="00F60C60">
      <w:pPr>
        <w:pStyle w:val="BodyParaAfterTableFigure"/>
      </w:pPr>
    </w:p>
    <w:p w:rsidR="00922933" w:rsidRPr="00922933" w:rsidRDefault="00922933" w:rsidP="00922933">
      <w:pPr>
        <w:pStyle w:val="BodyParaAfterTableFigure"/>
        <w:spacing w:before="0" w:after="0" w:line="276" w:lineRule="auto"/>
        <w:ind w:firstLine="360"/>
      </w:pPr>
    </w:p>
    <w:p w:rsidR="00CD6CFC" w:rsidRPr="00CD6CFC" w:rsidRDefault="00CD6CFC" w:rsidP="00CD6CFC">
      <w:pPr>
        <w:pStyle w:val="TableFigureCaption"/>
        <w:rPr>
          <w:rFonts w:ascii="Times New Roman" w:hAnsi="Times New Roman"/>
        </w:rPr>
      </w:pPr>
      <w:r w:rsidRPr="00CD6CFC">
        <w:rPr>
          <w:rFonts w:ascii="Times New Roman" w:hAnsi="Times New Roman"/>
        </w:rPr>
        <w:lastRenderedPageBreak/>
        <w:t xml:space="preserve">Table </w:t>
      </w:r>
      <w:r w:rsidR="00922933">
        <w:rPr>
          <w:rFonts w:ascii="Times New Roman" w:hAnsi="Times New Roman"/>
        </w:rPr>
        <w:t>6</w:t>
      </w:r>
      <w:r w:rsidRPr="00CD6CFC">
        <w:rPr>
          <w:rFonts w:ascii="Times New Roman" w:hAnsi="Times New Roman"/>
        </w:rPr>
        <w:t>-1: Summer Saver Enrollment, September 2015</w:t>
      </w:r>
    </w:p>
    <w:tbl>
      <w:tblPr>
        <w:tblW w:w="7755" w:type="dxa"/>
        <w:tblInd w:w="1008" w:type="dxa"/>
        <w:tblLook w:val="04A0" w:firstRow="1" w:lastRow="0" w:firstColumn="1" w:lastColumn="0" w:noHBand="0" w:noVBand="1"/>
      </w:tblPr>
      <w:tblGrid>
        <w:gridCol w:w="1635"/>
        <w:gridCol w:w="1350"/>
        <w:gridCol w:w="1620"/>
        <w:gridCol w:w="1890"/>
        <w:gridCol w:w="1260"/>
      </w:tblGrid>
      <w:tr w:rsidR="00CD6CFC" w:rsidRPr="00CD6CFC" w:rsidTr="00C728E5">
        <w:trPr>
          <w:trHeight w:val="817"/>
        </w:trPr>
        <w:tc>
          <w:tcPr>
            <w:tcW w:w="1635" w:type="dxa"/>
            <w:tcBorders>
              <w:top w:val="single" w:sz="4" w:space="0" w:color="auto"/>
              <w:left w:val="single" w:sz="4" w:space="0" w:color="auto"/>
              <w:bottom w:val="single" w:sz="4" w:space="0" w:color="auto"/>
              <w:right w:val="single" w:sz="4" w:space="0" w:color="FFFFFF"/>
            </w:tcBorders>
            <w:shd w:val="clear" w:color="000000" w:fill="002060"/>
            <w:vAlign w:val="center"/>
            <w:hideMark/>
          </w:tcPr>
          <w:p w:rsidR="00CD6CFC" w:rsidRPr="00CD6CFC" w:rsidRDefault="00CD6CFC" w:rsidP="00C728E5">
            <w:pPr>
              <w:jc w:val="center"/>
              <w:rPr>
                <w:b/>
                <w:bCs/>
                <w:color w:val="FFFFFF"/>
                <w:sz w:val="20"/>
                <w:szCs w:val="20"/>
              </w:rPr>
            </w:pPr>
            <w:r w:rsidRPr="00CD6CFC">
              <w:rPr>
                <w:b/>
                <w:bCs/>
                <w:color w:val="FFFFFF"/>
                <w:sz w:val="20"/>
                <w:szCs w:val="20"/>
              </w:rPr>
              <w:t>Customer Type</w:t>
            </w:r>
          </w:p>
        </w:tc>
        <w:tc>
          <w:tcPr>
            <w:tcW w:w="1350" w:type="dxa"/>
            <w:tcBorders>
              <w:top w:val="single" w:sz="4" w:space="0" w:color="auto"/>
              <w:left w:val="nil"/>
              <w:bottom w:val="single" w:sz="4" w:space="0" w:color="auto"/>
              <w:right w:val="nil"/>
            </w:tcBorders>
            <w:shd w:val="clear" w:color="000000" w:fill="002060"/>
            <w:vAlign w:val="center"/>
            <w:hideMark/>
          </w:tcPr>
          <w:p w:rsidR="00CD6CFC" w:rsidRPr="00CD6CFC" w:rsidRDefault="00CD6CFC" w:rsidP="00C728E5">
            <w:pPr>
              <w:jc w:val="center"/>
              <w:rPr>
                <w:b/>
                <w:bCs/>
                <w:color w:val="FFFFFF"/>
                <w:sz w:val="20"/>
                <w:szCs w:val="20"/>
              </w:rPr>
            </w:pPr>
            <w:r w:rsidRPr="00CD6CFC">
              <w:rPr>
                <w:b/>
                <w:bCs/>
                <w:color w:val="FFFFFF"/>
                <w:sz w:val="20"/>
                <w:szCs w:val="20"/>
              </w:rPr>
              <w:t>Cycling Option</w:t>
            </w:r>
          </w:p>
        </w:tc>
        <w:tc>
          <w:tcPr>
            <w:tcW w:w="1620" w:type="dxa"/>
            <w:tcBorders>
              <w:top w:val="single" w:sz="4" w:space="0" w:color="auto"/>
              <w:left w:val="single" w:sz="4" w:space="0" w:color="FFFFFF"/>
              <w:bottom w:val="single" w:sz="4" w:space="0" w:color="auto"/>
              <w:right w:val="nil"/>
            </w:tcBorders>
            <w:shd w:val="clear" w:color="000000" w:fill="002060"/>
            <w:vAlign w:val="center"/>
            <w:hideMark/>
          </w:tcPr>
          <w:p w:rsidR="00CD6CFC" w:rsidRPr="00CD6CFC" w:rsidRDefault="00CD6CFC" w:rsidP="00C728E5">
            <w:pPr>
              <w:jc w:val="center"/>
              <w:rPr>
                <w:b/>
                <w:bCs/>
                <w:color w:val="FFFFFF"/>
                <w:sz w:val="20"/>
                <w:szCs w:val="20"/>
              </w:rPr>
            </w:pPr>
            <w:r w:rsidRPr="00CD6CFC">
              <w:rPr>
                <w:b/>
                <w:bCs/>
                <w:color w:val="FFFFFF"/>
                <w:sz w:val="20"/>
                <w:szCs w:val="20"/>
              </w:rPr>
              <w:t>Enrolled Customers</w:t>
            </w:r>
          </w:p>
        </w:tc>
        <w:tc>
          <w:tcPr>
            <w:tcW w:w="1890" w:type="dxa"/>
            <w:tcBorders>
              <w:top w:val="single" w:sz="4" w:space="0" w:color="auto"/>
              <w:left w:val="single" w:sz="4" w:space="0" w:color="FFFFFF"/>
              <w:bottom w:val="single" w:sz="4" w:space="0" w:color="auto"/>
              <w:right w:val="nil"/>
            </w:tcBorders>
            <w:shd w:val="clear" w:color="000000" w:fill="002060"/>
            <w:vAlign w:val="center"/>
            <w:hideMark/>
          </w:tcPr>
          <w:p w:rsidR="00CD6CFC" w:rsidRPr="00CD6CFC" w:rsidRDefault="00CD6CFC" w:rsidP="00C728E5">
            <w:pPr>
              <w:jc w:val="center"/>
              <w:rPr>
                <w:b/>
                <w:bCs/>
                <w:color w:val="FFFFFF"/>
                <w:sz w:val="20"/>
                <w:szCs w:val="20"/>
              </w:rPr>
            </w:pPr>
            <w:r w:rsidRPr="00CD6CFC">
              <w:rPr>
                <w:b/>
                <w:bCs/>
                <w:color w:val="FFFFFF"/>
                <w:sz w:val="20"/>
                <w:szCs w:val="20"/>
              </w:rPr>
              <w:t>Enrolled Control Devices</w:t>
            </w:r>
          </w:p>
        </w:tc>
        <w:tc>
          <w:tcPr>
            <w:tcW w:w="1260" w:type="dxa"/>
            <w:tcBorders>
              <w:top w:val="single" w:sz="4" w:space="0" w:color="auto"/>
              <w:left w:val="single" w:sz="4" w:space="0" w:color="FFFFFF"/>
              <w:bottom w:val="single" w:sz="4" w:space="0" w:color="auto"/>
              <w:right w:val="single" w:sz="4" w:space="0" w:color="auto"/>
            </w:tcBorders>
            <w:shd w:val="clear" w:color="000000" w:fill="002060"/>
            <w:vAlign w:val="center"/>
            <w:hideMark/>
          </w:tcPr>
          <w:p w:rsidR="00CD6CFC" w:rsidRPr="00CD6CFC" w:rsidRDefault="00CD6CFC" w:rsidP="00C728E5">
            <w:pPr>
              <w:jc w:val="center"/>
              <w:rPr>
                <w:b/>
                <w:bCs/>
                <w:color w:val="FFFFFF"/>
                <w:sz w:val="20"/>
                <w:szCs w:val="20"/>
              </w:rPr>
            </w:pPr>
            <w:r w:rsidRPr="00CD6CFC">
              <w:rPr>
                <w:b/>
                <w:bCs/>
                <w:color w:val="FFFFFF"/>
                <w:sz w:val="20"/>
                <w:szCs w:val="20"/>
              </w:rPr>
              <w:t>Enrolled Tons</w:t>
            </w:r>
          </w:p>
        </w:tc>
      </w:tr>
      <w:tr w:rsidR="00CD6CFC" w:rsidRPr="00CD6CFC" w:rsidTr="00C728E5">
        <w:trPr>
          <w:trHeight w:val="321"/>
        </w:trPr>
        <w:tc>
          <w:tcPr>
            <w:tcW w:w="163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Commercial</w:t>
            </w:r>
          </w:p>
        </w:tc>
        <w:tc>
          <w:tcPr>
            <w:tcW w:w="135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30%</w:t>
            </w:r>
          </w:p>
        </w:tc>
        <w:tc>
          <w:tcPr>
            <w:tcW w:w="162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1,137</w:t>
            </w:r>
          </w:p>
        </w:tc>
        <w:tc>
          <w:tcPr>
            <w:tcW w:w="1890" w:type="dxa"/>
            <w:tcBorders>
              <w:top w:val="nil"/>
              <w:left w:val="nil"/>
              <w:bottom w:val="single" w:sz="4" w:space="0" w:color="auto"/>
              <w:right w:val="single" w:sz="4" w:space="0" w:color="auto"/>
            </w:tcBorders>
            <w:shd w:val="clear" w:color="auto" w:fill="auto"/>
            <w:vAlign w:val="center"/>
            <w:hideMark/>
          </w:tcPr>
          <w:p w:rsidR="00CD6CFC" w:rsidRPr="00CD6CFC" w:rsidRDefault="00CD6CFC" w:rsidP="00C728E5">
            <w:pPr>
              <w:jc w:val="center"/>
              <w:rPr>
                <w:color w:val="000000"/>
                <w:sz w:val="20"/>
                <w:szCs w:val="20"/>
              </w:rPr>
            </w:pPr>
            <w:r w:rsidRPr="00CD6CFC">
              <w:rPr>
                <w:color w:val="000000"/>
                <w:sz w:val="20"/>
                <w:szCs w:val="20"/>
              </w:rPr>
              <w:t>3,324</w:t>
            </w:r>
          </w:p>
        </w:tc>
        <w:tc>
          <w:tcPr>
            <w:tcW w:w="126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12,871</w:t>
            </w:r>
          </w:p>
        </w:tc>
      </w:tr>
      <w:tr w:rsidR="00CD6CFC" w:rsidRPr="00CD6CFC" w:rsidTr="00C728E5">
        <w:trPr>
          <w:trHeight w:val="321"/>
        </w:trPr>
        <w:tc>
          <w:tcPr>
            <w:tcW w:w="1635" w:type="dxa"/>
            <w:vMerge/>
            <w:tcBorders>
              <w:top w:val="nil"/>
              <w:left w:val="single" w:sz="4" w:space="0" w:color="auto"/>
              <w:bottom w:val="single" w:sz="4" w:space="0" w:color="auto"/>
              <w:right w:val="single" w:sz="4" w:space="0" w:color="auto"/>
            </w:tcBorders>
            <w:vAlign w:val="center"/>
            <w:hideMark/>
          </w:tcPr>
          <w:p w:rsidR="00CD6CFC" w:rsidRPr="00CD6CFC" w:rsidRDefault="00CD6CFC" w:rsidP="00C728E5">
            <w:pPr>
              <w:jc w:val="center"/>
              <w:rPr>
                <w:color w:val="000000"/>
                <w:sz w:val="20"/>
                <w:szCs w:val="20"/>
              </w:rPr>
            </w:pPr>
          </w:p>
        </w:tc>
        <w:tc>
          <w:tcPr>
            <w:tcW w:w="135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50%</w:t>
            </w:r>
          </w:p>
        </w:tc>
        <w:tc>
          <w:tcPr>
            <w:tcW w:w="162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3,515</w:t>
            </w:r>
          </w:p>
        </w:tc>
        <w:tc>
          <w:tcPr>
            <w:tcW w:w="1890" w:type="dxa"/>
            <w:tcBorders>
              <w:top w:val="nil"/>
              <w:left w:val="nil"/>
              <w:bottom w:val="single" w:sz="4" w:space="0" w:color="auto"/>
              <w:right w:val="single" w:sz="4" w:space="0" w:color="auto"/>
            </w:tcBorders>
            <w:shd w:val="clear" w:color="auto" w:fill="auto"/>
            <w:vAlign w:val="center"/>
            <w:hideMark/>
          </w:tcPr>
          <w:p w:rsidR="00CD6CFC" w:rsidRPr="00CD6CFC" w:rsidRDefault="00CD6CFC" w:rsidP="00C728E5">
            <w:pPr>
              <w:jc w:val="center"/>
              <w:rPr>
                <w:color w:val="000000"/>
                <w:sz w:val="20"/>
                <w:szCs w:val="20"/>
              </w:rPr>
            </w:pPr>
            <w:r w:rsidRPr="00CD6CFC">
              <w:rPr>
                <w:color w:val="000000"/>
                <w:sz w:val="20"/>
                <w:szCs w:val="20"/>
              </w:rPr>
              <w:t>7,750</w:t>
            </w:r>
          </w:p>
        </w:tc>
        <w:tc>
          <w:tcPr>
            <w:tcW w:w="126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29,704</w:t>
            </w:r>
          </w:p>
        </w:tc>
      </w:tr>
      <w:tr w:rsidR="00CD6CFC" w:rsidRPr="00CD6CFC" w:rsidTr="00C728E5">
        <w:trPr>
          <w:trHeight w:val="321"/>
        </w:trPr>
        <w:tc>
          <w:tcPr>
            <w:tcW w:w="1635" w:type="dxa"/>
            <w:vMerge/>
            <w:tcBorders>
              <w:top w:val="nil"/>
              <w:left w:val="single" w:sz="4" w:space="0" w:color="auto"/>
              <w:bottom w:val="single" w:sz="4" w:space="0" w:color="auto"/>
              <w:right w:val="single" w:sz="4" w:space="0" w:color="auto"/>
            </w:tcBorders>
            <w:vAlign w:val="center"/>
            <w:hideMark/>
          </w:tcPr>
          <w:p w:rsidR="00CD6CFC" w:rsidRPr="00CD6CFC" w:rsidRDefault="00CD6CFC" w:rsidP="00C728E5">
            <w:pPr>
              <w:jc w:val="center"/>
              <w:rPr>
                <w:color w:val="000000"/>
                <w:sz w:val="20"/>
                <w:szCs w:val="20"/>
              </w:rPr>
            </w:pPr>
          </w:p>
        </w:tc>
        <w:tc>
          <w:tcPr>
            <w:tcW w:w="135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Total</w:t>
            </w:r>
          </w:p>
        </w:tc>
        <w:tc>
          <w:tcPr>
            <w:tcW w:w="162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4,652</w:t>
            </w:r>
          </w:p>
        </w:tc>
        <w:tc>
          <w:tcPr>
            <w:tcW w:w="189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11,074</w:t>
            </w:r>
          </w:p>
        </w:tc>
        <w:tc>
          <w:tcPr>
            <w:tcW w:w="126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42,575</w:t>
            </w:r>
          </w:p>
        </w:tc>
      </w:tr>
      <w:tr w:rsidR="00CD6CFC" w:rsidRPr="00CD6CFC" w:rsidTr="00C728E5">
        <w:trPr>
          <w:trHeight w:val="321"/>
        </w:trPr>
        <w:tc>
          <w:tcPr>
            <w:tcW w:w="163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Residential</w:t>
            </w:r>
          </w:p>
        </w:tc>
        <w:tc>
          <w:tcPr>
            <w:tcW w:w="135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50%</w:t>
            </w:r>
          </w:p>
        </w:tc>
        <w:tc>
          <w:tcPr>
            <w:tcW w:w="162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12,474</w:t>
            </w:r>
          </w:p>
        </w:tc>
        <w:tc>
          <w:tcPr>
            <w:tcW w:w="189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14,540</w:t>
            </w:r>
          </w:p>
        </w:tc>
        <w:tc>
          <w:tcPr>
            <w:tcW w:w="126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51,053</w:t>
            </w:r>
          </w:p>
        </w:tc>
      </w:tr>
      <w:tr w:rsidR="00CD6CFC" w:rsidRPr="00CD6CFC" w:rsidTr="00C728E5">
        <w:trPr>
          <w:trHeight w:val="321"/>
        </w:trPr>
        <w:tc>
          <w:tcPr>
            <w:tcW w:w="1635" w:type="dxa"/>
            <w:vMerge/>
            <w:tcBorders>
              <w:top w:val="nil"/>
              <w:left w:val="single" w:sz="4" w:space="0" w:color="auto"/>
              <w:bottom w:val="single" w:sz="4" w:space="0" w:color="auto"/>
              <w:right w:val="single" w:sz="4" w:space="0" w:color="auto"/>
            </w:tcBorders>
            <w:vAlign w:val="center"/>
            <w:hideMark/>
          </w:tcPr>
          <w:p w:rsidR="00CD6CFC" w:rsidRPr="00CD6CFC" w:rsidRDefault="00CD6CFC" w:rsidP="00C728E5">
            <w:pPr>
              <w:jc w:val="center"/>
              <w:rPr>
                <w:color w:val="000000"/>
                <w:sz w:val="20"/>
                <w:szCs w:val="20"/>
              </w:rPr>
            </w:pPr>
          </w:p>
        </w:tc>
        <w:tc>
          <w:tcPr>
            <w:tcW w:w="135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100%</w:t>
            </w:r>
          </w:p>
        </w:tc>
        <w:tc>
          <w:tcPr>
            <w:tcW w:w="162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9,260</w:t>
            </w:r>
          </w:p>
        </w:tc>
        <w:tc>
          <w:tcPr>
            <w:tcW w:w="1890" w:type="dxa"/>
            <w:tcBorders>
              <w:top w:val="nil"/>
              <w:left w:val="nil"/>
              <w:bottom w:val="single" w:sz="4" w:space="0" w:color="auto"/>
              <w:right w:val="single" w:sz="4" w:space="0" w:color="auto"/>
            </w:tcBorders>
            <w:shd w:val="clear" w:color="auto" w:fill="auto"/>
            <w:vAlign w:val="center"/>
            <w:hideMark/>
          </w:tcPr>
          <w:p w:rsidR="00CD6CFC" w:rsidRPr="00CD6CFC" w:rsidRDefault="00CD6CFC" w:rsidP="00C728E5">
            <w:pPr>
              <w:jc w:val="center"/>
              <w:rPr>
                <w:color w:val="000000"/>
                <w:sz w:val="20"/>
                <w:szCs w:val="20"/>
              </w:rPr>
            </w:pPr>
            <w:r w:rsidRPr="00CD6CFC">
              <w:rPr>
                <w:color w:val="000000"/>
                <w:sz w:val="20"/>
                <w:szCs w:val="20"/>
              </w:rPr>
              <w:t>11,432</w:t>
            </w:r>
          </w:p>
        </w:tc>
        <w:tc>
          <w:tcPr>
            <w:tcW w:w="126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41,623</w:t>
            </w:r>
          </w:p>
        </w:tc>
      </w:tr>
      <w:tr w:rsidR="00CD6CFC" w:rsidRPr="00CD6CFC" w:rsidTr="00C728E5">
        <w:trPr>
          <w:trHeight w:val="321"/>
        </w:trPr>
        <w:tc>
          <w:tcPr>
            <w:tcW w:w="1635" w:type="dxa"/>
            <w:vMerge/>
            <w:tcBorders>
              <w:top w:val="nil"/>
              <w:left w:val="single" w:sz="4" w:space="0" w:color="auto"/>
              <w:bottom w:val="single" w:sz="4" w:space="0" w:color="auto"/>
              <w:right w:val="single" w:sz="4" w:space="0" w:color="auto"/>
            </w:tcBorders>
            <w:vAlign w:val="center"/>
            <w:hideMark/>
          </w:tcPr>
          <w:p w:rsidR="00CD6CFC" w:rsidRPr="00CD6CFC" w:rsidRDefault="00CD6CFC" w:rsidP="00C728E5">
            <w:pPr>
              <w:jc w:val="center"/>
              <w:rPr>
                <w:color w:val="000000"/>
                <w:sz w:val="20"/>
                <w:szCs w:val="20"/>
              </w:rPr>
            </w:pPr>
          </w:p>
        </w:tc>
        <w:tc>
          <w:tcPr>
            <w:tcW w:w="135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Total</w:t>
            </w:r>
          </w:p>
        </w:tc>
        <w:tc>
          <w:tcPr>
            <w:tcW w:w="162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21,734</w:t>
            </w:r>
          </w:p>
        </w:tc>
        <w:tc>
          <w:tcPr>
            <w:tcW w:w="189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25,972</w:t>
            </w:r>
          </w:p>
        </w:tc>
        <w:tc>
          <w:tcPr>
            <w:tcW w:w="126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color w:val="000000"/>
                <w:sz w:val="20"/>
                <w:szCs w:val="20"/>
              </w:rPr>
            </w:pPr>
            <w:r w:rsidRPr="00CD6CFC">
              <w:rPr>
                <w:color w:val="000000"/>
                <w:sz w:val="20"/>
                <w:szCs w:val="20"/>
              </w:rPr>
              <w:t>92,677</w:t>
            </w:r>
          </w:p>
        </w:tc>
      </w:tr>
      <w:tr w:rsidR="00CD6CFC" w:rsidRPr="00CD6CFC" w:rsidTr="00C728E5">
        <w:trPr>
          <w:trHeight w:val="321"/>
        </w:trPr>
        <w:tc>
          <w:tcPr>
            <w:tcW w:w="298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6CFC" w:rsidRPr="00CD6CFC" w:rsidRDefault="00CD6CFC" w:rsidP="00C728E5">
            <w:pPr>
              <w:jc w:val="center"/>
              <w:rPr>
                <w:b/>
                <w:bCs/>
                <w:color w:val="000000"/>
                <w:sz w:val="20"/>
                <w:szCs w:val="20"/>
              </w:rPr>
            </w:pPr>
            <w:r w:rsidRPr="00CD6CFC">
              <w:rPr>
                <w:b/>
                <w:bCs/>
                <w:color w:val="000000"/>
                <w:sz w:val="20"/>
                <w:szCs w:val="20"/>
              </w:rPr>
              <w:t>Grand Total</w:t>
            </w:r>
          </w:p>
        </w:tc>
        <w:tc>
          <w:tcPr>
            <w:tcW w:w="162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b/>
                <w:bCs/>
                <w:color w:val="000000"/>
                <w:sz w:val="20"/>
                <w:szCs w:val="20"/>
              </w:rPr>
            </w:pPr>
            <w:r w:rsidRPr="00CD6CFC">
              <w:rPr>
                <w:b/>
                <w:bCs/>
                <w:color w:val="000000"/>
                <w:sz w:val="20"/>
                <w:szCs w:val="20"/>
              </w:rPr>
              <w:t>26,386</w:t>
            </w:r>
          </w:p>
        </w:tc>
        <w:tc>
          <w:tcPr>
            <w:tcW w:w="189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b/>
                <w:bCs/>
                <w:color w:val="000000"/>
                <w:sz w:val="20"/>
                <w:szCs w:val="20"/>
              </w:rPr>
            </w:pPr>
            <w:r w:rsidRPr="00CD6CFC">
              <w:rPr>
                <w:b/>
                <w:bCs/>
                <w:color w:val="000000"/>
                <w:sz w:val="20"/>
                <w:szCs w:val="20"/>
              </w:rPr>
              <w:t>37,046</w:t>
            </w:r>
          </w:p>
        </w:tc>
        <w:tc>
          <w:tcPr>
            <w:tcW w:w="1260" w:type="dxa"/>
            <w:tcBorders>
              <w:top w:val="nil"/>
              <w:left w:val="nil"/>
              <w:bottom w:val="single" w:sz="4" w:space="0" w:color="auto"/>
              <w:right w:val="single" w:sz="4" w:space="0" w:color="auto"/>
            </w:tcBorders>
            <w:shd w:val="clear" w:color="auto" w:fill="auto"/>
            <w:noWrap/>
            <w:vAlign w:val="center"/>
            <w:hideMark/>
          </w:tcPr>
          <w:p w:rsidR="00CD6CFC" w:rsidRPr="00CD6CFC" w:rsidRDefault="00CD6CFC" w:rsidP="00C728E5">
            <w:pPr>
              <w:jc w:val="center"/>
              <w:rPr>
                <w:b/>
                <w:bCs/>
                <w:color w:val="000000"/>
                <w:sz w:val="20"/>
                <w:szCs w:val="20"/>
              </w:rPr>
            </w:pPr>
            <w:r w:rsidRPr="00CD6CFC">
              <w:rPr>
                <w:b/>
                <w:bCs/>
                <w:color w:val="000000"/>
                <w:sz w:val="20"/>
                <w:szCs w:val="20"/>
              </w:rPr>
              <w:t>135,252</w:t>
            </w:r>
          </w:p>
        </w:tc>
      </w:tr>
    </w:tbl>
    <w:p w:rsidR="00C62A8A" w:rsidRPr="00C814A9" w:rsidRDefault="00C62A8A" w:rsidP="00EC3DEF">
      <w:pPr>
        <w:pStyle w:val="BodyParagraph"/>
        <w:spacing w:after="0" w:line="276" w:lineRule="auto"/>
        <w:rPr>
          <w:rFonts w:ascii="Times New Roman" w:hAnsi="Times New Roman"/>
          <w:color w:val="0000FF"/>
        </w:rPr>
      </w:pPr>
    </w:p>
    <w:p w:rsidR="00F149C4" w:rsidRPr="003B5EED" w:rsidRDefault="00F149C4" w:rsidP="00106C6D">
      <w:pPr>
        <w:pStyle w:val="Heading2"/>
        <w:spacing w:after="0" w:line="276" w:lineRule="auto"/>
        <w:rPr>
          <w:rFonts w:ascii="Times New Roman" w:hAnsi="Times New Roman" w:cs="Times New Roman"/>
          <w:color w:val="000000" w:themeColor="text1"/>
          <w:szCs w:val="24"/>
        </w:rPr>
      </w:pPr>
      <w:bookmarkStart w:id="163" w:name="_Toc349548901"/>
      <w:bookmarkStart w:id="164" w:name="_Toc350953032"/>
      <w:r w:rsidRPr="003B5EED">
        <w:rPr>
          <w:rFonts w:ascii="Times New Roman" w:hAnsi="Times New Roman" w:cs="Times New Roman"/>
          <w:color w:val="000000" w:themeColor="text1"/>
          <w:szCs w:val="24"/>
        </w:rPr>
        <w:t xml:space="preserve"> </w:t>
      </w:r>
      <w:bookmarkStart w:id="165" w:name="_Toc351990589"/>
      <w:bookmarkStart w:id="166" w:name="_Toc352084166"/>
      <w:bookmarkStart w:id="167" w:name="_Toc447179805"/>
      <w:r w:rsidR="00F93AF3" w:rsidRPr="003B5EED">
        <w:rPr>
          <w:rFonts w:ascii="Times New Roman" w:hAnsi="Times New Roman" w:cs="Times New Roman"/>
          <w:color w:val="000000" w:themeColor="text1"/>
          <w:szCs w:val="24"/>
        </w:rPr>
        <w:t xml:space="preserve">Summer Saver </w:t>
      </w:r>
      <w:r w:rsidR="001F1158">
        <w:rPr>
          <w:rFonts w:ascii="Times New Roman" w:hAnsi="Times New Roman" w:cs="Times New Roman"/>
          <w:color w:val="000000" w:themeColor="text1"/>
          <w:szCs w:val="24"/>
        </w:rPr>
        <w:t>Ex-P</w:t>
      </w:r>
      <w:r w:rsidR="0015465A" w:rsidRPr="003B5EED">
        <w:rPr>
          <w:rFonts w:ascii="Times New Roman" w:hAnsi="Times New Roman" w:cs="Times New Roman"/>
          <w:color w:val="000000" w:themeColor="text1"/>
          <w:szCs w:val="24"/>
        </w:rPr>
        <w:t>ost</w:t>
      </w:r>
      <w:r w:rsidRPr="003B5EED">
        <w:rPr>
          <w:rFonts w:ascii="Times New Roman" w:hAnsi="Times New Roman" w:cs="Times New Roman"/>
          <w:color w:val="000000" w:themeColor="text1"/>
          <w:szCs w:val="24"/>
        </w:rPr>
        <w:t xml:space="preserve"> </w:t>
      </w:r>
      <w:r w:rsidR="001F1158">
        <w:rPr>
          <w:rFonts w:ascii="Times New Roman" w:hAnsi="Times New Roman" w:cs="Times New Roman"/>
          <w:color w:val="000000" w:themeColor="text1"/>
          <w:szCs w:val="24"/>
        </w:rPr>
        <w:t xml:space="preserve">Evaluation </w:t>
      </w:r>
      <w:r w:rsidRPr="003B5EED">
        <w:rPr>
          <w:rFonts w:ascii="Times New Roman" w:hAnsi="Times New Roman" w:cs="Times New Roman"/>
          <w:color w:val="000000" w:themeColor="text1"/>
          <w:szCs w:val="24"/>
        </w:rPr>
        <w:t>Methodology</w:t>
      </w:r>
      <w:bookmarkEnd w:id="163"/>
      <w:bookmarkEnd w:id="164"/>
      <w:bookmarkEnd w:id="165"/>
      <w:bookmarkEnd w:id="166"/>
      <w:bookmarkEnd w:id="167"/>
    </w:p>
    <w:p w:rsidR="00F149C4" w:rsidRPr="008227A8" w:rsidRDefault="00F149C4" w:rsidP="00106C6D">
      <w:pPr>
        <w:pStyle w:val="BodyParagraph"/>
        <w:spacing w:after="0" w:line="276" w:lineRule="auto"/>
        <w:rPr>
          <w:rFonts w:ascii="Times New Roman" w:hAnsi="Times New Roman"/>
          <w:color w:val="000000" w:themeColor="text1"/>
          <w:sz w:val="24"/>
          <w:szCs w:val="24"/>
        </w:rPr>
      </w:pPr>
    </w:p>
    <w:p w:rsidR="00922933" w:rsidRPr="008227A8" w:rsidRDefault="00922933" w:rsidP="00D84FC4">
      <w:pPr>
        <w:pStyle w:val="Bullets"/>
        <w:numPr>
          <w:ilvl w:val="0"/>
          <w:numId w:val="0"/>
        </w:numPr>
        <w:tabs>
          <w:tab w:val="left" w:pos="7035"/>
        </w:tabs>
        <w:spacing w:after="0" w:line="276" w:lineRule="auto"/>
        <w:ind w:firstLine="36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 xml:space="preserve">The primary task in developing ex post load impacts is to estimate a reference load for each event. The reference load is a measure of what participant demand would have been in the absence of the CAC cycling during an event. </w:t>
      </w:r>
    </w:p>
    <w:p w:rsidR="00922933" w:rsidRPr="008227A8" w:rsidRDefault="00922933" w:rsidP="00922933">
      <w:pPr>
        <w:pStyle w:val="Bullets"/>
        <w:numPr>
          <w:ilvl w:val="0"/>
          <w:numId w:val="0"/>
        </w:numPr>
        <w:spacing w:after="0" w:line="276" w:lineRule="auto"/>
        <w:ind w:firstLine="36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 xml:space="preserve">Two separate approaches were used for estimating the reference loads: a randomized controlled trial (RCT) design and a propensity score matching (PSM) design. All residential customer impacts were estimated using a randomized controlled trial. The non-residential customer impacts were estimated by pooling a small RCT with a larger PSM study. </w:t>
      </w:r>
    </w:p>
    <w:p w:rsidR="00922933" w:rsidRPr="008227A8" w:rsidRDefault="00922933" w:rsidP="00922933">
      <w:pPr>
        <w:pStyle w:val="Bullets"/>
        <w:numPr>
          <w:ilvl w:val="0"/>
          <w:numId w:val="0"/>
        </w:numPr>
        <w:spacing w:after="0" w:line="276" w:lineRule="auto"/>
        <w:ind w:firstLine="36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An RCT is an experimental research approach where customers are randomly assigned to treatment and control conditions so that the only difference between the two groups, other than random chance, is the existence of the treatment condition. In this context, half of the roughly 2,000 customers in the residential sample and half of the approximately 300 customers in the nonresidential sample had their CAC unit cycled while the remaining customers served as the control group. The group that received the event signal alternated from event to event. This design has significant advantages in providing fast, reliable impact estimates if sample sizes are large enough.</w:t>
      </w:r>
    </w:p>
    <w:p w:rsidR="00922933" w:rsidRPr="008227A8" w:rsidRDefault="00922933" w:rsidP="00922933">
      <w:pPr>
        <w:pStyle w:val="Bullets"/>
        <w:numPr>
          <w:ilvl w:val="0"/>
          <w:numId w:val="0"/>
        </w:numPr>
        <w:spacing w:after="0" w:line="276" w:lineRule="auto"/>
        <w:ind w:firstLine="360"/>
        <w:rPr>
          <w:rFonts w:ascii="Times New Roman" w:hAnsi="Times New Roman" w:cs="Times New Roman"/>
          <w:color w:val="000000" w:themeColor="text1"/>
          <w:sz w:val="24"/>
          <w:szCs w:val="24"/>
        </w:rPr>
      </w:pPr>
    </w:p>
    <w:p w:rsidR="00922933" w:rsidRPr="008227A8" w:rsidRDefault="00922933" w:rsidP="00922933">
      <w:pPr>
        <w:pStyle w:val="Bullets"/>
        <w:numPr>
          <w:ilvl w:val="0"/>
          <w:numId w:val="0"/>
        </w:numPr>
        <w:spacing w:after="0" w:line="276" w:lineRule="auto"/>
        <w:ind w:firstLine="36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Those non-residential Summer Saver customers who were not sampled for the RCT all had their CAC units cycled. Because a sample size of 150 customers per nonresidential sub</w:t>
      </w:r>
      <w:r w:rsidR="00E2509C">
        <w:rPr>
          <w:rFonts w:ascii="Times New Roman" w:hAnsi="Times New Roman" w:cs="Times New Roman"/>
          <w:color w:val="000000" w:themeColor="text1"/>
          <w:sz w:val="24"/>
          <w:szCs w:val="24"/>
        </w:rPr>
        <w:t>-</w:t>
      </w:r>
      <w:r w:rsidRPr="008227A8">
        <w:rPr>
          <w:rFonts w:ascii="Times New Roman" w:hAnsi="Times New Roman" w:cs="Times New Roman"/>
          <w:color w:val="000000" w:themeColor="text1"/>
          <w:sz w:val="24"/>
          <w:szCs w:val="24"/>
        </w:rPr>
        <w:t xml:space="preserve">segment is not large enough to reliably estimate load impacts, a matched control group was selected for the remaining nonresidential program population, whereby one matched non-participant was selected for each participant on each event. The entire small commercial customer class was made available for the statistical matching analysis. Each matched customer was chosen because they most closely resembled their matched participant in terms of their propensity score, where the propensity score calculates the likelihood that a customer is a Summer Saver participant given that they have certain characteristics. In this case, those characteristics were typical peak </w:t>
      </w:r>
      <w:r w:rsidRPr="008227A8">
        <w:rPr>
          <w:rFonts w:ascii="Times New Roman" w:hAnsi="Times New Roman" w:cs="Times New Roman"/>
          <w:color w:val="000000" w:themeColor="text1"/>
          <w:sz w:val="24"/>
          <w:szCs w:val="24"/>
        </w:rPr>
        <w:lastRenderedPageBreak/>
        <w:t>demand on hot non-event days and demand in the morning and early afternoon prior to the event. This approach minimizes the differences between participants and matched non-participants.</w:t>
      </w:r>
      <w:r w:rsidRPr="008227A8">
        <w:rPr>
          <w:rFonts w:ascii="Times New Roman" w:hAnsi="Times New Roman" w:cs="Times New Roman"/>
          <w:color w:val="000000" w:themeColor="text1"/>
          <w:sz w:val="24"/>
          <w:szCs w:val="24"/>
        </w:rPr>
        <w:footnoteReference w:id="16"/>
      </w:r>
    </w:p>
    <w:p w:rsidR="00C728E5" w:rsidRDefault="00C728E5" w:rsidP="001A7E7C">
      <w:pPr>
        <w:pStyle w:val="BodyParagraph"/>
        <w:ind w:firstLine="576"/>
        <w:rPr>
          <w:rFonts w:ascii="Times New Roman" w:hAnsi="Times New Roman"/>
          <w:color w:val="000000" w:themeColor="text1"/>
          <w:sz w:val="24"/>
          <w:szCs w:val="24"/>
        </w:rPr>
      </w:pPr>
    </w:p>
    <w:p w:rsidR="00ED7741" w:rsidRPr="003B5EED" w:rsidRDefault="00C62A8A" w:rsidP="00416411">
      <w:pPr>
        <w:pStyle w:val="Heading2"/>
        <w:spacing w:after="0" w:line="276" w:lineRule="auto"/>
        <w:rPr>
          <w:rFonts w:ascii="Times New Roman" w:hAnsi="Times New Roman" w:cs="Times New Roman"/>
          <w:color w:val="000000" w:themeColor="text1"/>
          <w:szCs w:val="24"/>
        </w:rPr>
      </w:pPr>
      <w:r w:rsidRPr="003B5EED">
        <w:rPr>
          <w:rFonts w:ascii="Times New Roman" w:hAnsi="Times New Roman" w:cs="Times New Roman"/>
          <w:color w:val="000000" w:themeColor="text1"/>
          <w:szCs w:val="24"/>
        </w:rPr>
        <w:t xml:space="preserve"> </w:t>
      </w:r>
      <w:bookmarkStart w:id="168" w:name="_Toc351990591"/>
      <w:bookmarkStart w:id="169" w:name="_Toc352084168"/>
      <w:bookmarkStart w:id="170" w:name="_Toc447179806"/>
      <w:r w:rsidR="00ED7741" w:rsidRPr="003B5EED">
        <w:rPr>
          <w:rFonts w:ascii="Times New Roman" w:hAnsi="Times New Roman" w:cs="Times New Roman"/>
          <w:color w:val="000000" w:themeColor="text1"/>
          <w:szCs w:val="24"/>
        </w:rPr>
        <w:t xml:space="preserve">Summer Saver </w:t>
      </w:r>
      <w:r w:rsidR="0015465A" w:rsidRPr="003B5EED">
        <w:rPr>
          <w:rFonts w:ascii="Times New Roman" w:hAnsi="Times New Roman" w:cs="Times New Roman"/>
          <w:color w:val="000000" w:themeColor="text1"/>
          <w:szCs w:val="24"/>
        </w:rPr>
        <w:t>Ex-</w:t>
      </w:r>
      <w:r w:rsidR="00416411" w:rsidRPr="003B5EED">
        <w:rPr>
          <w:rFonts w:ascii="Times New Roman" w:hAnsi="Times New Roman" w:cs="Times New Roman"/>
          <w:color w:val="000000" w:themeColor="text1"/>
          <w:szCs w:val="24"/>
        </w:rPr>
        <w:t>P</w:t>
      </w:r>
      <w:r w:rsidR="0015465A" w:rsidRPr="003B5EED">
        <w:rPr>
          <w:rFonts w:ascii="Times New Roman" w:hAnsi="Times New Roman" w:cs="Times New Roman"/>
          <w:color w:val="000000" w:themeColor="text1"/>
          <w:szCs w:val="24"/>
        </w:rPr>
        <w:t>ost</w:t>
      </w:r>
      <w:r w:rsidR="00ED7741" w:rsidRPr="003B5EED">
        <w:rPr>
          <w:rFonts w:ascii="Times New Roman" w:hAnsi="Times New Roman" w:cs="Times New Roman"/>
          <w:color w:val="000000" w:themeColor="text1"/>
          <w:szCs w:val="24"/>
        </w:rPr>
        <w:t xml:space="preserve"> Load Impact Estimates</w:t>
      </w:r>
      <w:bookmarkEnd w:id="159"/>
      <w:bookmarkEnd w:id="160"/>
      <w:bookmarkEnd w:id="161"/>
      <w:bookmarkEnd w:id="162"/>
      <w:bookmarkEnd w:id="168"/>
      <w:bookmarkEnd w:id="169"/>
      <w:bookmarkEnd w:id="170"/>
    </w:p>
    <w:p w:rsidR="00ED7741" w:rsidRPr="008227A8" w:rsidRDefault="00ED7741" w:rsidP="00416411">
      <w:pPr>
        <w:spacing w:line="276" w:lineRule="auto"/>
        <w:rPr>
          <w:color w:val="000000" w:themeColor="text1"/>
        </w:rPr>
      </w:pPr>
    </w:p>
    <w:p w:rsidR="00416411" w:rsidRPr="008227A8" w:rsidRDefault="00416411" w:rsidP="00416411">
      <w:pPr>
        <w:pStyle w:val="BodyParagraph"/>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 xml:space="preserve">This section contains the </w:t>
      </w:r>
      <w:r w:rsidR="00E46994" w:rsidRPr="008227A8">
        <w:rPr>
          <w:rFonts w:ascii="Times New Roman" w:hAnsi="Times New Roman"/>
          <w:color w:val="000000" w:themeColor="text1"/>
          <w:sz w:val="24"/>
          <w:szCs w:val="24"/>
        </w:rPr>
        <w:t>ex-post</w:t>
      </w:r>
      <w:r w:rsidRPr="008227A8">
        <w:rPr>
          <w:rFonts w:ascii="Times New Roman" w:hAnsi="Times New Roman"/>
          <w:color w:val="000000" w:themeColor="text1"/>
          <w:sz w:val="24"/>
          <w:szCs w:val="24"/>
        </w:rPr>
        <w:t xml:space="preserve"> load impact estimates for program year 201</w:t>
      </w:r>
      <w:r w:rsidR="00922933" w:rsidRPr="008227A8">
        <w:rPr>
          <w:rFonts w:ascii="Times New Roman" w:hAnsi="Times New Roman"/>
          <w:color w:val="000000" w:themeColor="text1"/>
          <w:sz w:val="24"/>
          <w:szCs w:val="24"/>
        </w:rPr>
        <w:t>5</w:t>
      </w:r>
      <w:r w:rsidRPr="008227A8">
        <w:rPr>
          <w:rFonts w:ascii="Times New Roman" w:hAnsi="Times New Roman"/>
          <w:color w:val="000000" w:themeColor="text1"/>
          <w:sz w:val="24"/>
          <w:szCs w:val="24"/>
        </w:rPr>
        <w:t xml:space="preserve">.  Residential estimates are provided first, followed by nonresidential estimates.  </w:t>
      </w:r>
    </w:p>
    <w:p w:rsidR="008E3378" w:rsidRPr="008227A8" w:rsidRDefault="008E3378" w:rsidP="00416411">
      <w:pPr>
        <w:pStyle w:val="BodyParagraph"/>
        <w:spacing w:after="0" w:line="276" w:lineRule="auto"/>
        <w:ind w:firstLine="360"/>
        <w:rPr>
          <w:rFonts w:ascii="Times New Roman" w:hAnsi="Times New Roman"/>
          <w:color w:val="000000" w:themeColor="text1"/>
          <w:sz w:val="24"/>
          <w:szCs w:val="24"/>
        </w:rPr>
      </w:pPr>
    </w:p>
    <w:p w:rsidR="00416411" w:rsidRPr="008227A8" w:rsidRDefault="00DC24A2" w:rsidP="00C728E5">
      <w:pPr>
        <w:pStyle w:val="Heading3"/>
        <w:spacing w:before="0" w:after="0" w:line="276" w:lineRule="auto"/>
        <w:ind w:left="630" w:hanging="630"/>
        <w:rPr>
          <w:rFonts w:ascii="Times New Roman" w:hAnsi="Times New Roman" w:cs="Times New Roman"/>
          <w:color w:val="000000" w:themeColor="text1"/>
        </w:rPr>
      </w:pPr>
      <w:bookmarkStart w:id="171" w:name="_Toc349548907"/>
      <w:bookmarkStart w:id="172" w:name="_Toc350953038"/>
      <w:bookmarkStart w:id="173" w:name="_Toc383585136"/>
      <w:bookmarkStart w:id="174" w:name="_Toc447179807"/>
      <w:r w:rsidRPr="008227A8">
        <w:rPr>
          <w:rFonts w:ascii="Times New Roman" w:hAnsi="Times New Roman" w:cs="Times New Roman"/>
          <w:color w:val="000000" w:themeColor="text1"/>
        </w:rPr>
        <w:t xml:space="preserve">Summer Saver </w:t>
      </w:r>
      <w:r w:rsidR="00416411" w:rsidRPr="008227A8">
        <w:rPr>
          <w:rFonts w:ascii="Times New Roman" w:hAnsi="Times New Roman" w:cs="Times New Roman"/>
          <w:color w:val="000000" w:themeColor="text1"/>
        </w:rPr>
        <w:t>Residential Ex</w:t>
      </w:r>
      <w:r w:rsidRPr="008227A8">
        <w:rPr>
          <w:rFonts w:ascii="Times New Roman" w:hAnsi="Times New Roman" w:cs="Times New Roman"/>
          <w:color w:val="000000" w:themeColor="text1"/>
        </w:rPr>
        <w:t>-</w:t>
      </w:r>
      <w:r w:rsidR="00416411" w:rsidRPr="008227A8">
        <w:rPr>
          <w:rFonts w:ascii="Times New Roman" w:hAnsi="Times New Roman" w:cs="Times New Roman"/>
          <w:color w:val="000000" w:themeColor="text1"/>
        </w:rPr>
        <w:t>Post Load Impact Estimates</w:t>
      </w:r>
      <w:bookmarkEnd w:id="171"/>
      <w:bookmarkEnd w:id="172"/>
      <w:bookmarkEnd w:id="173"/>
      <w:bookmarkEnd w:id="174"/>
    </w:p>
    <w:p w:rsidR="008E3378" w:rsidRPr="008227A8" w:rsidRDefault="008E3378" w:rsidP="008E3378">
      <w:pPr>
        <w:pStyle w:val="BodyParagraph"/>
        <w:spacing w:after="0" w:line="276" w:lineRule="auto"/>
        <w:ind w:firstLine="576"/>
        <w:rPr>
          <w:rFonts w:ascii="Times New Roman" w:hAnsi="Times New Roman"/>
          <w:color w:val="000000" w:themeColor="text1"/>
          <w:sz w:val="24"/>
          <w:szCs w:val="24"/>
        </w:rPr>
      </w:pPr>
    </w:p>
    <w:p w:rsidR="00922933" w:rsidRPr="008227A8" w:rsidRDefault="00922933" w:rsidP="00922933">
      <w:pPr>
        <w:pStyle w:val="BodyParagraph"/>
        <w:spacing w:after="0" w:line="276" w:lineRule="auto"/>
        <w:ind w:firstLine="360"/>
        <w:rPr>
          <w:rFonts w:ascii="Times New Roman" w:hAnsi="Times New Roman"/>
          <w:color w:val="000000" w:themeColor="text1"/>
          <w:sz w:val="24"/>
          <w:szCs w:val="24"/>
          <w:highlight w:val="yellow"/>
        </w:rPr>
      </w:pPr>
      <w:r w:rsidRPr="008227A8">
        <w:rPr>
          <w:rFonts w:ascii="Times New Roman" w:hAnsi="Times New Roman"/>
          <w:color w:val="000000" w:themeColor="text1"/>
          <w:sz w:val="24"/>
          <w:szCs w:val="24"/>
        </w:rPr>
        <w:t xml:space="preserve">Fifteen Summer Saver events were called in 2015, and each one lasted for four hours, except for the event called on September 20. This event was called for an emergency and only lasted two hours, from 1:35 to 3:35 PM. For the remaining fourteen events, nine were called from 3 to 7 PM, and the others were called from 2 to 6 PM and 4 to 8 PM, respectively. </w:t>
      </w:r>
      <w:r w:rsidRPr="00057690">
        <w:rPr>
          <w:rFonts w:ascii="Times New Roman" w:hAnsi="Times New Roman"/>
          <w:color w:val="000000" w:themeColor="text1"/>
          <w:sz w:val="22"/>
        </w:rPr>
        <w:t>Table 6-2</w:t>
      </w:r>
      <w:r w:rsidRPr="008227A8">
        <w:rPr>
          <w:rFonts w:ascii="Times New Roman" w:hAnsi="Times New Roman"/>
          <w:color w:val="000000" w:themeColor="text1"/>
          <w:sz w:val="24"/>
          <w:szCs w:val="24"/>
        </w:rPr>
        <w:t xml:space="preserve"> presents ex post load impacts for the residential program segment for program years 2015.</w:t>
      </w:r>
    </w:p>
    <w:p w:rsidR="00922933" w:rsidRPr="00C04432" w:rsidRDefault="00922933" w:rsidP="00922933">
      <w:pPr>
        <w:pStyle w:val="BodyParagraph"/>
        <w:rPr>
          <w:rFonts w:asciiTheme="minorHAnsi" w:hAnsiTheme="minorHAnsi"/>
          <w:highlight w:val="yellow"/>
        </w:rPr>
      </w:pPr>
    </w:p>
    <w:p w:rsidR="00922933" w:rsidRPr="00922933" w:rsidRDefault="00922933" w:rsidP="00922933">
      <w:pPr>
        <w:pStyle w:val="TableFigureCaption"/>
        <w:rPr>
          <w:rFonts w:ascii="Times New Roman" w:hAnsi="Times New Roman"/>
        </w:rPr>
      </w:pPr>
      <w:r w:rsidRPr="00922933">
        <w:rPr>
          <w:rFonts w:ascii="Times New Roman" w:hAnsi="Times New Roman"/>
        </w:rPr>
        <w:t xml:space="preserve">Table </w:t>
      </w:r>
      <w:r>
        <w:rPr>
          <w:rFonts w:ascii="Times New Roman" w:hAnsi="Times New Roman"/>
        </w:rPr>
        <w:t>6</w:t>
      </w:r>
      <w:r w:rsidRPr="00922933">
        <w:rPr>
          <w:rFonts w:ascii="Times New Roman" w:hAnsi="Times New Roman"/>
        </w:rPr>
        <w:t>-</w:t>
      </w:r>
      <w:r>
        <w:rPr>
          <w:rFonts w:ascii="Times New Roman" w:hAnsi="Times New Roman"/>
        </w:rPr>
        <w:t>2</w:t>
      </w:r>
      <w:r w:rsidRPr="00922933">
        <w:rPr>
          <w:rFonts w:ascii="Times New Roman" w:hAnsi="Times New Roman"/>
        </w:rPr>
        <w:t>: Summer Saver Residential Ex Post Load Impact Estimates</w:t>
      </w:r>
    </w:p>
    <w:tbl>
      <w:tblPr>
        <w:tblW w:w="8790" w:type="dxa"/>
        <w:jc w:val="center"/>
        <w:tblLook w:val="04A0" w:firstRow="1" w:lastRow="0" w:firstColumn="1" w:lastColumn="0" w:noHBand="0" w:noVBand="1"/>
      </w:tblPr>
      <w:tblGrid>
        <w:gridCol w:w="1260"/>
        <w:gridCol w:w="1280"/>
        <w:gridCol w:w="1555"/>
        <w:gridCol w:w="60"/>
        <w:gridCol w:w="1495"/>
        <w:gridCol w:w="54"/>
        <w:gridCol w:w="1466"/>
        <w:gridCol w:w="1190"/>
        <w:gridCol w:w="430"/>
      </w:tblGrid>
      <w:tr w:rsidR="00922933" w:rsidRPr="00FD0511" w:rsidTr="00B52715">
        <w:trPr>
          <w:trHeight w:val="315"/>
          <w:jc w:val="center"/>
        </w:trPr>
        <w:tc>
          <w:tcPr>
            <w:tcW w:w="1260" w:type="dxa"/>
            <w:vMerge w:val="restart"/>
            <w:tcBorders>
              <w:top w:val="single" w:sz="4" w:space="0" w:color="auto"/>
              <w:left w:val="single" w:sz="4" w:space="0" w:color="auto"/>
              <w:bottom w:val="single" w:sz="4" w:space="0" w:color="000000"/>
              <w:right w:val="nil"/>
            </w:tcBorders>
            <w:shd w:val="clear" w:color="000000" w:fill="002060"/>
            <w:noWrap/>
            <w:vAlign w:val="center"/>
            <w:hideMark/>
          </w:tcPr>
          <w:p w:rsidR="00922933" w:rsidRPr="00922933" w:rsidRDefault="00922933" w:rsidP="00922933">
            <w:pPr>
              <w:jc w:val="center"/>
              <w:rPr>
                <w:b/>
                <w:bCs/>
                <w:color w:val="FFFFFF"/>
                <w:sz w:val="20"/>
                <w:szCs w:val="20"/>
              </w:rPr>
            </w:pPr>
            <w:r w:rsidRPr="00922933">
              <w:rPr>
                <w:b/>
                <w:bCs/>
                <w:color w:val="FFFFFF"/>
                <w:sz w:val="20"/>
                <w:szCs w:val="20"/>
              </w:rPr>
              <w:t>Year</w:t>
            </w:r>
          </w:p>
        </w:tc>
        <w:tc>
          <w:tcPr>
            <w:tcW w:w="1280" w:type="dxa"/>
            <w:vMerge w:val="restart"/>
            <w:tcBorders>
              <w:top w:val="single" w:sz="4" w:space="0" w:color="auto"/>
              <w:left w:val="single" w:sz="4" w:space="0" w:color="FFFFFF"/>
              <w:bottom w:val="single" w:sz="4" w:space="0" w:color="000000"/>
              <w:right w:val="single" w:sz="4" w:space="0" w:color="FFFFFF"/>
            </w:tcBorders>
            <w:shd w:val="clear" w:color="000000" w:fill="002060"/>
            <w:noWrap/>
            <w:vAlign w:val="center"/>
            <w:hideMark/>
          </w:tcPr>
          <w:p w:rsidR="00922933" w:rsidRPr="00922933" w:rsidRDefault="00922933" w:rsidP="00922933">
            <w:pPr>
              <w:jc w:val="center"/>
              <w:rPr>
                <w:b/>
                <w:bCs/>
                <w:color w:val="FFFFFF"/>
                <w:sz w:val="20"/>
                <w:szCs w:val="20"/>
              </w:rPr>
            </w:pPr>
            <w:r w:rsidRPr="00922933">
              <w:rPr>
                <w:b/>
                <w:bCs/>
                <w:color w:val="FFFFFF"/>
                <w:sz w:val="20"/>
                <w:szCs w:val="20"/>
              </w:rPr>
              <w:t>Date</w:t>
            </w:r>
          </w:p>
        </w:tc>
        <w:tc>
          <w:tcPr>
            <w:tcW w:w="4630" w:type="dxa"/>
            <w:gridSpan w:val="5"/>
            <w:tcBorders>
              <w:top w:val="single" w:sz="4" w:space="0" w:color="auto"/>
              <w:left w:val="nil"/>
              <w:right w:val="single" w:sz="4" w:space="0" w:color="FFFFFF"/>
            </w:tcBorders>
            <w:shd w:val="clear" w:color="000000" w:fill="002060"/>
            <w:noWrap/>
            <w:vAlign w:val="center"/>
            <w:hideMark/>
          </w:tcPr>
          <w:p w:rsidR="00922933" w:rsidRPr="00922933" w:rsidRDefault="00922933" w:rsidP="00922933">
            <w:pPr>
              <w:jc w:val="center"/>
              <w:rPr>
                <w:b/>
                <w:bCs/>
                <w:color w:val="FFFFFF"/>
                <w:sz w:val="20"/>
                <w:szCs w:val="20"/>
              </w:rPr>
            </w:pPr>
            <w:r w:rsidRPr="00922933">
              <w:rPr>
                <w:b/>
                <w:bCs/>
                <w:color w:val="FFFFFF"/>
                <w:sz w:val="20"/>
                <w:szCs w:val="20"/>
              </w:rPr>
              <w:t>Impact</w:t>
            </w:r>
          </w:p>
        </w:tc>
        <w:tc>
          <w:tcPr>
            <w:tcW w:w="1620" w:type="dxa"/>
            <w:gridSpan w:val="2"/>
            <w:vMerge w:val="restart"/>
            <w:tcBorders>
              <w:top w:val="single" w:sz="4" w:space="0" w:color="auto"/>
              <w:left w:val="nil"/>
              <w:right w:val="single" w:sz="4" w:space="0" w:color="auto"/>
            </w:tcBorders>
            <w:shd w:val="clear" w:color="000000" w:fill="002060"/>
            <w:vAlign w:val="center"/>
            <w:hideMark/>
          </w:tcPr>
          <w:p w:rsidR="00922933" w:rsidRPr="00922933" w:rsidRDefault="00922933" w:rsidP="00922933">
            <w:pPr>
              <w:jc w:val="center"/>
              <w:rPr>
                <w:b/>
                <w:bCs/>
                <w:color w:val="FFFFFF"/>
                <w:sz w:val="20"/>
                <w:szCs w:val="20"/>
              </w:rPr>
            </w:pPr>
            <w:r w:rsidRPr="00922933">
              <w:rPr>
                <w:b/>
                <w:bCs/>
                <w:color w:val="FFFFFF"/>
                <w:sz w:val="20"/>
                <w:szCs w:val="20"/>
              </w:rPr>
              <w:t>Mean17  (°F)</w:t>
            </w:r>
            <w:r w:rsidR="004B0873">
              <w:rPr>
                <w:rStyle w:val="FootnoteReference"/>
                <w:b/>
                <w:bCs/>
                <w:color w:val="FFFFFF"/>
                <w:sz w:val="20"/>
                <w:szCs w:val="20"/>
              </w:rPr>
              <w:footnoteReference w:id="17"/>
            </w:r>
          </w:p>
        </w:tc>
      </w:tr>
      <w:tr w:rsidR="00922933" w:rsidRPr="00FD0511" w:rsidTr="00B52715">
        <w:trPr>
          <w:trHeight w:val="300"/>
          <w:jc w:val="center"/>
        </w:trPr>
        <w:tc>
          <w:tcPr>
            <w:tcW w:w="1260" w:type="dxa"/>
            <w:vMerge/>
            <w:tcBorders>
              <w:top w:val="single" w:sz="4" w:space="0" w:color="auto"/>
              <w:left w:val="single" w:sz="4" w:space="0" w:color="auto"/>
              <w:bottom w:val="single" w:sz="4" w:space="0" w:color="000000"/>
              <w:right w:val="nil"/>
            </w:tcBorders>
            <w:vAlign w:val="center"/>
            <w:hideMark/>
          </w:tcPr>
          <w:p w:rsidR="00922933" w:rsidRPr="00922933" w:rsidRDefault="00922933" w:rsidP="00922933">
            <w:pPr>
              <w:rPr>
                <w:b/>
                <w:bCs/>
                <w:color w:val="FFFFFF"/>
                <w:sz w:val="20"/>
                <w:szCs w:val="20"/>
              </w:rPr>
            </w:pPr>
          </w:p>
        </w:tc>
        <w:tc>
          <w:tcPr>
            <w:tcW w:w="1280" w:type="dxa"/>
            <w:vMerge/>
            <w:tcBorders>
              <w:top w:val="single" w:sz="4" w:space="0" w:color="auto"/>
              <w:left w:val="single" w:sz="4" w:space="0" w:color="FFFFFF"/>
              <w:bottom w:val="single" w:sz="4" w:space="0" w:color="000000"/>
              <w:right w:val="single" w:sz="4" w:space="0" w:color="FFFFFF"/>
            </w:tcBorders>
            <w:vAlign w:val="center"/>
            <w:hideMark/>
          </w:tcPr>
          <w:p w:rsidR="00922933" w:rsidRPr="00922933" w:rsidRDefault="00922933" w:rsidP="00922933">
            <w:pPr>
              <w:rPr>
                <w:b/>
                <w:bCs/>
                <w:color w:val="FFFFFF"/>
                <w:sz w:val="20"/>
                <w:szCs w:val="20"/>
              </w:rPr>
            </w:pPr>
          </w:p>
        </w:tc>
        <w:tc>
          <w:tcPr>
            <w:tcW w:w="1615" w:type="dxa"/>
            <w:gridSpan w:val="2"/>
            <w:tcBorders>
              <w:top w:val="nil"/>
              <w:left w:val="nil"/>
              <w:bottom w:val="single" w:sz="4" w:space="0" w:color="auto"/>
              <w:right w:val="single" w:sz="4" w:space="0" w:color="FFFFFF"/>
            </w:tcBorders>
            <w:shd w:val="clear" w:color="000000" w:fill="002060"/>
            <w:noWrap/>
            <w:vAlign w:val="center"/>
            <w:hideMark/>
          </w:tcPr>
          <w:p w:rsidR="00922933" w:rsidRPr="00922933" w:rsidRDefault="00922933" w:rsidP="00922933">
            <w:pPr>
              <w:jc w:val="center"/>
              <w:rPr>
                <w:b/>
                <w:bCs/>
                <w:color w:val="FFFFFF"/>
                <w:sz w:val="20"/>
                <w:szCs w:val="20"/>
              </w:rPr>
            </w:pPr>
            <w:r w:rsidRPr="00922933">
              <w:rPr>
                <w:b/>
                <w:bCs/>
                <w:color w:val="FFFFFF"/>
                <w:sz w:val="20"/>
                <w:szCs w:val="20"/>
              </w:rPr>
              <w:t>Per CAC Unit (kW)</w:t>
            </w:r>
          </w:p>
        </w:tc>
        <w:tc>
          <w:tcPr>
            <w:tcW w:w="1549" w:type="dxa"/>
            <w:gridSpan w:val="2"/>
            <w:tcBorders>
              <w:top w:val="nil"/>
              <w:left w:val="nil"/>
              <w:bottom w:val="single" w:sz="4" w:space="0" w:color="auto"/>
              <w:right w:val="nil"/>
            </w:tcBorders>
            <w:shd w:val="clear" w:color="000000" w:fill="002060"/>
            <w:noWrap/>
            <w:vAlign w:val="center"/>
            <w:hideMark/>
          </w:tcPr>
          <w:p w:rsidR="00922933" w:rsidRPr="00922933" w:rsidRDefault="00922933" w:rsidP="00922933">
            <w:pPr>
              <w:jc w:val="center"/>
              <w:rPr>
                <w:b/>
                <w:bCs/>
                <w:color w:val="FFFFFF"/>
                <w:sz w:val="20"/>
                <w:szCs w:val="20"/>
              </w:rPr>
            </w:pPr>
            <w:r w:rsidRPr="00922933">
              <w:rPr>
                <w:b/>
                <w:bCs/>
                <w:color w:val="FFFFFF"/>
                <w:sz w:val="20"/>
                <w:szCs w:val="20"/>
              </w:rPr>
              <w:t>Per Premise (kW)</w:t>
            </w:r>
          </w:p>
        </w:tc>
        <w:tc>
          <w:tcPr>
            <w:tcW w:w="1466" w:type="dxa"/>
            <w:tcBorders>
              <w:top w:val="nil"/>
              <w:left w:val="single" w:sz="4" w:space="0" w:color="FFFFFF"/>
              <w:bottom w:val="single" w:sz="4" w:space="0" w:color="auto"/>
              <w:right w:val="single" w:sz="4" w:space="0" w:color="FFFFFF"/>
            </w:tcBorders>
            <w:shd w:val="clear" w:color="000000" w:fill="002060"/>
            <w:noWrap/>
            <w:vAlign w:val="center"/>
            <w:hideMark/>
          </w:tcPr>
          <w:p w:rsidR="00922933" w:rsidRPr="00922933" w:rsidRDefault="00922933" w:rsidP="00922933">
            <w:pPr>
              <w:jc w:val="center"/>
              <w:rPr>
                <w:b/>
                <w:bCs/>
                <w:color w:val="FFFFFF"/>
                <w:sz w:val="20"/>
                <w:szCs w:val="20"/>
              </w:rPr>
            </w:pPr>
            <w:r w:rsidRPr="00922933">
              <w:rPr>
                <w:b/>
                <w:bCs/>
                <w:color w:val="FFFFFF"/>
                <w:sz w:val="20"/>
                <w:szCs w:val="20"/>
              </w:rPr>
              <w:t>Aggregate (MW)</w:t>
            </w:r>
          </w:p>
        </w:tc>
        <w:tc>
          <w:tcPr>
            <w:tcW w:w="1620" w:type="dxa"/>
            <w:gridSpan w:val="2"/>
            <w:vMerge/>
            <w:tcBorders>
              <w:left w:val="nil"/>
              <w:bottom w:val="single" w:sz="4" w:space="0" w:color="000000"/>
              <w:right w:val="single" w:sz="4" w:space="0" w:color="auto"/>
            </w:tcBorders>
            <w:vAlign w:val="center"/>
            <w:hideMark/>
          </w:tcPr>
          <w:p w:rsidR="00922933" w:rsidRPr="00922933" w:rsidRDefault="00922933" w:rsidP="00922933">
            <w:pPr>
              <w:rPr>
                <w:b/>
                <w:bCs/>
                <w:color w:val="FFFFFF"/>
                <w:sz w:val="20"/>
                <w:szCs w:val="20"/>
              </w:rPr>
            </w:pPr>
          </w:p>
        </w:tc>
      </w:tr>
      <w:tr w:rsidR="00865030" w:rsidRPr="00FD0511" w:rsidTr="003E6B6C">
        <w:trPr>
          <w:trHeight w:val="300"/>
          <w:jc w:val="center"/>
        </w:trPr>
        <w:tc>
          <w:tcPr>
            <w:tcW w:w="12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65030" w:rsidRPr="00922933" w:rsidRDefault="00865030" w:rsidP="00922933">
            <w:pPr>
              <w:jc w:val="center"/>
              <w:rPr>
                <w:color w:val="000000"/>
                <w:sz w:val="20"/>
                <w:szCs w:val="20"/>
              </w:rPr>
            </w:pPr>
            <w:r w:rsidRPr="00922933">
              <w:rPr>
                <w:color w:val="000000"/>
                <w:sz w:val="20"/>
                <w:szCs w:val="20"/>
              </w:rPr>
              <w:t>2015</w:t>
            </w:r>
          </w:p>
        </w:tc>
        <w:tc>
          <w:tcPr>
            <w:tcW w:w="128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8/13/2015</w:t>
            </w:r>
          </w:p>
        </w:tc>
        <w:tc>
          <w:tcPr>
            <w:tcW w:w="155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0.42</w:t>
            </w:r>
          </w:p>
        </w:tc>
        <w:tc>
          <w:tcPr>
            <w:tcW w:w="1555"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0.50</w:t>
            </w:r>
          </w:p>
        </w:tc>
        <w:tc>
          <w:tcPr>
            <w:tcW w:w="15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10.5</w:t>
            </w:r>
          </w:p>
        </w:tc>
        <w:tc>
          <w:tcPr>
            <w:tcW w:w="16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78</w:t>
            </w:r>
          </w:p>
        </w:tc>
      </w:tr>
      <w:tr w:rsidR="00865030" w:rsidRPr="00FD0511" w:rsidTr="003E6B6C">
        <w:trPr>
          <w:trHeight w:val="300"/>
          <w:jc w:val="center"/>
        </w:trPr>
        <w:tc>
          <w:tcPr>
            <w:tcW w:w="1260"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8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8/14/2015</w:t>
            </w:r>
          </w:p>
        </w:tc>
        <w:tc>
          <w:tcPr>
            <w:tcW w:w="155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0.36</w:t>
            </w:r>
          </w:p>
        </w:tc>
        <w:tc>
          <w:tcPr>
            <w:tcW w:w="1555"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0.43</w:t>
            </w:r>
          </w:p>
        </w:tc>
        <w:tc>
          <w:tcPr>
            <w:tcW w:w="15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9.0</w:t>
            </w:r>
          </w:p>
        </w:tc>
        <w:tc>
          <w:tcPr>
            <w:tcW w:w="16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79</w:t>
            </w:r>
          </w:p>
        </w:tc>
      </w:tr>
      <w:tr w:rsidR="00865030" w:rsidRPr="00FD0511" w:rsidTr="003E6B6C">
        <w:trPr>
          <w:trHeight w:val="300"/>
          <w:jc w:val="center"/>
        </w:trPr>
        <w:tc>
          <w:tcPr>
            <w:tcW w:w="1260"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8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8/16/2015</w:t>
            </w:r>
          </w:p>
        </w:tc>
        <w:tc>
          <w:tcPr>
            <w:tcW w:w="155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0.70</w:t>
            </w:r>
          </w:p>
        </w:tc>
        <w:tc>
          <w:tcPr>
            <w:tcW w:w="1555"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0.84</w:t>
            </w:r>
          </w:p>
        </w:tc>
        <w:tc>
          <w:tcPr>
            <w:tcW w:w="15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17.8</w:t>
            </w:r>
          </w:p>
        </w:tc>
        <w:tc>
          <w:tcPr>
            <w:tcW w:w="16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82</w:t>
            </w:r>
          </w:p>
        </w:tc>
      </w:tr>
      <w:tr w:rsidR="00865030" w:rsidRPr="00FD0511" w:rsidTr="003E6B6C">
        <w:trPr>
          <w:trHeight w:val="300"/>
          <w:jc w:val="center"/>
        </w:trPr>
        <w:tc>
          <w:tcPr>
            <w:tcW w:w="1260"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8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8/26/2015</w:t>
            </w:r>
          </w:p>
        </w:tc>
        <w:tc>
          <w:tcPr>
            <w:tcW w:w="155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0.35</w:t>
            </w:r>
          </w:p>
        </w:tc>
        <w:tc>
          <w:tcPr>
            <w:tcW w:w="1555"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0.42</w:t>
            </w:r>
          </w:p>
        </w:tc>
        <w:tc>
          <w:tcPr>
            <w:tcW w:w="15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9.0</w:t>
            </w:r>
          </w:p>
        </w:tc>
        <w:tc>
          <w:tcPr>
            <w:tcW w:w="16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80</w:t>
            </w:r>
          </w:p>
        </w:tc>
      </w:tr>
      <w:tr w:rsidR="00865030" w:rsidRPr="00FD0511" w:rsidTr="003E6B6C">
        <w:trPr>
          <w:trHeight w:val="300"/>
          <w:jc w:val="center"/>
        </w:trPr>
        <w:tc>
          <w:tcPr>
            <w:tcW w:w="1260"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8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8/27/2015</w:t>
            </w:r>
          </w:p>
        </w:tc>
        <w:tc>
          <w:tcPr>
            <w:tcW w:w="155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0.54</w:t>
            </w:r>
          </w:p>
        </w:tc>
        <w:tc>
          <w:tcPr>
            <w:tcW w:w="1555"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0.64</w:t>
            </w:r>
          </w:p>
        </w:tc>
        <w:tc>
          <w:tcPr>
            <w:tcW w:w="15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13.7</w:t>
            </w:r>
          </w:p>
        </w:tc>
        <w:tc>
          <w:tcPr>
            <w:tcW w:w="16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82</w:t>
            </w:r>
          </w:p>
        </w:tc>
      </w:tr>
      <w:tr w:rsidR="00865030" w:rsidRPr="00FD0511" w:rsidTr="003E6B6C">
        <w:trPr>
          <w:trHeight w:val="300"/>
          <w:jc w:val="center"/>
        </w:trPr>
        <w:tc>
          <w:tcPr>
            <w:tcW w:w="1260"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8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8/28/2015</w:t>
            </w:r>
          </w:p>
        </w:tc>
        <w:tc>
          <w:tcPr>
            <w:tcW w:w="155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0.59</w:t>
            </w:r>
          </w:p>
        </w:tc>
        <w:tc>
          <w:tcPr>
            <w:tcW w:w="1555"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0.70</w:t>
            </w:r>
          </w:p>
        </w:tc>
        <w:tc>
          <w:tcPr>
            <w:tcW w:w="15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14.9</w:t>
            </w:r>
          </w:p>
        </w:tc>
        <w:tc>
          <w:tcPr>
            <w:tcW w:w="16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84</w:t>
            </w:r>
          </w:p>
        </w:tc>
      </w:tr>
      <w:tr w:rsidR="00865030" w:rsidRPr="00FD0511" w:rsidTr="003E6B6C">
        <w:trPr>
          <w:trHeight w:val="300"/>
          <w:jc w:val="center"/>
        </w:trPr>
        <w:tc>
          <w:tcPr>
            <w:tcW w:w="1260"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8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9/9/2015</w:t>
            </w:r>
          </w:p>
        </w:tc>
        <w:tc>
          <w:tcPr>
            <w:tcW w:w="155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0.68</w:t>
            </w:r>
          </w:p>
        </w:tc>
        <w:tc>
          <w:tcPr>
            <w:tcW w:w="1555"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0.81</w:t>
            </w:r>
          </w:p>
        </w:tc>
        <w:tc>
          <w:tcPr>
            <w:tcW w:w="15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17.2</w:t>
            </w:r>
          </w:p>
        </w:tc>
        <w:tc>
          <w:tcPr>
            <w:tcW w:w="16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88</w:t>
            </w:r>
          </w:p>
        </w:tc>
      </w:tr>
      <w:tr w:rsidR="00865030" w:rsidRPr="00FD0511" w:rsidTr="003E6B6C">
        <w:trPr>
          <w:trHeight w:val="300"/>
          <w:jc w:val="center"/>
        </w:trPr>
        <w:tc>
          <w:tcPr>
            <w:tcW w:w="1260"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8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9/10/2015</w:t>
            </w:r>
          </w:p>
        </w:tc>
        <w:tc>
          <w:tcPr>
            <w:tcW w:w="155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0.45</w:t>
            </w:r>
          </w:p>
        </w:tc>
        <w:tc>
          <w:tcPr>
            <w:tcW w:w="1555"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0.54</w:t>
            </w:r>
          </w:p>
        </w:tc>
        <w:tc>
          <w:tcPr>
            <w:tcW w:w="15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11.4</w:t>
            </w:r>
          </w:p>
        </w:tc>
        <w:tc>
          <w:tcPr>
            <w:tcW w:w="16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86</w:t>
            </w:r>
          </w:p>
        </w:tc>
      </w:tr>
      <w:tr w:rsidR="00865030" w:rsidRPr="00FD0511" w:rsidTr="003E6B6C">
        <w:trPr>
          <w:trHeight w:val="300"/>
          <w:jc w:val="center"/>
        </w:trPr>
        <w:tc>
          <w:tcPr>
            <w:tcW w:w="1260"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8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9/11/2015</w:t>
            </w:r>
          </w:p>
        </w:tc>
        <w:tc>
          <w:tcPr>
            <w:tcW w:w="155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0.51</w:t>
            </w:r>
          </w:p>
        </w:tc>
        <w:tc>
          <w:tcPr>
            <w:tcW w:w="1555"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0.61</w:t>
            </w:r>
          </w:p>
        </w:tc>
        <w:tc>
          <w:tcPr>
            <w:tcW w:w="15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13.0</w:t>
            </w:r>
          </w:p>
        </w:tc>
        <w:tc>
          <w:tcPr>
            <w:tcW w:w="16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84</w:t>
            </w:r>
          </w:p>
        </w:tc>
      </w:tr>
      <w:tr w:rsidR="00865030" w:rsidRPr="00FD0511" w:rsidTr="003E6B6C">
        <w:trPr>
          <w:trHeight w:val="300"/>
          <w:jc w:val="center"/>
        </w:trPr>
        <w:tc>
          <w:tcPr>
            <w:tcW w:w="1260"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8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9/20/2015**</w:t>
            </w:r>
          </w:p>
        </w:tc>
        <w:tc>
          <w:tcPr>
            <w:tcW w:w="155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0.34</w:t>
            </w:r>
          </w:p>
        </w:tc>
        <w:tc>
          <w:tcPr>
            <w:tcW w:w="1555"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0.41</w:t>
            </w:r>
          </w:p>
        </w:tc>
        <w:tc>
          <w:tcPr>
            <w:tcW w:w="15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8.7</w:t>
            </w:r>
          </w:p>
        </w:tc>
        <w:tc>
          <w:tcPr>
            <w:tcW w:w="16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84</w:t>
            </w:r>
          </w:p>
        </w:tc>
      </w:tr>
      <w:tr w:rsidR="00865030" w:rsidRPr="00FD0511" w:rsidTr="003E6B6C">
        <w:trPr>
          <w:trHeight w:val="300"/>
          <w:jc w:val="center"/>
        </w:trPr>
        <w:tc>
          <w:tcPr>
            <w:tcW w:w="1260"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8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9/24/2015</w:t>
            </w:r>
          </w:p>
        </w:tc>
        <w:tc>
          <w:tcPr>
            <w:tcW w:w="155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0.48</w:t>
            </w:r>
          </w:p>
        </w:tc>
        <w:tc>
          <w:tcPr>
            <w:tcW w:w="1555"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0.58</w:t>
            </w:r>
          </w:p>
        </w:tc>
        <w:tc>
          <w:tcPr>
            <w:tcW w:w="15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12.2</w:t>
            </w:r>
          </w:p>
        </w:tc>
        <w:tc>
          <w:tcPr>
            <w:tcW w:w="16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78</w:t>
            </w:r>
          </w:p>
        </w:tc>
      </w:tr>
      <w:tr w:rsidR="00865030" w:rsidRPr="00FD0511" w:rsidTr="003E6B6C">
        <w:trPr>
          <w:trHeight w:val="300"/>
          <w:jc w:val="center"/>
        </w:trPr>
        <w:tc>
          <w:tcPr>
            <w:tcW w:w="1260"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8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9/25/2015</w:t>
            </w:r>
          </w:p>
        </w:tc>
        <w:tc>
          <w:tcPr>
            <w:tcW w:w="155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0.40</w:t>
            </w:r>
          </w:p>
        </w:tc>
        <w:tc>
          <w:tcPr>
            <w:tcW w:w="1555"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0.47</w:t>
            </w:r>
          </w:p>
        </w:tc>
        <w:tc>
          <w:tcPr>
            <w:tcW w:w="15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10.1</w:t>
            </w:r>
          </w:p>
        </w:tc>
        <w:tc>
          <w:tcPr>
            <w:tcW w:w="16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79</w:t>
            </w:r>
          </w:p>
        </w:tc>
      </w:tr>
      <w:tr w:rsidR="00865030" w:rsidRPr="00FD0511" w:rsidTr="003E6B6C">
        <w:trPr>
          <w:trHeight w:val="300"/>
          <w:jc w:val="center"/>
        </w:trPr>
        <w:tc>
          <w:tcPr>
            <w:tcW w:w="1260"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8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10/9/2015</w:t>
            </w:r>
          </w:p>
        </w:tc>
        <w:tc>
          <w:tcPr>
            <w:tcW w:w="155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0.43</w:t>
            </w:r>
          </w:p>
        </w:tc>
        <w:tc>
          <w:tcPr>
            <w:tcW w:w="1555"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0.51</w:t>
            </w:r>
          </w:p>
        </w:tc>
        <w:tc>
          <w:tcPr>
            <w:tcW w:w="15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10.8</w:t>
            </w:r>
          </w:p>
        </w:tc>
        <w:tc>
          <w:tcPr>
            <w:tcW w:w="16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81</w:t>
            </w:r>
          </w:p>
        </w:tc>
      </w:tr>
      <w:tr w:rsidR="00865030" w:rsidRPr="00FD0511" w:rsidTr="003E6B6C">
        <w:trPr>
          <w:trHeight w:val="300"/>
          <w:jc w:val="center"/>
        </w:trPr>
        <w:tc>
          <w:tcPr>
            <w:tcW w:w="1260"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8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10/10/2015</w:t>
            </w:r>
          </w:p>
        </w:tc>
        <w:tc>
          <w:tcPr>
            <w:tcW w:w="155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0.45</w:t>
            </w:r>
          </w:p>
        </w:tc>
        <w:tc>
          <w:tcPr>
            <w:tcW w:w="1555"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0.54</w:t>
            </w:r>
          </w:p>
        </w:tc>
        <w:tc>
          <w:tcPr>
            <w:tcW w:w="15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11.4</w:t>
            </w:r>
          </w:p>
        </w:tc>
        <w:tc>
          <w:tcPr>
            <w:tcW w:w="16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88</w:t>
            </w:r>
          </w:p>
        </w:tc>
      </w:tr>
      <w:tr w:rsidR="00865030" w:rsidRPr="00FD0511" w:rsidTr="003E6B6C">
        <w:trPr>
          <w:trHeight w:val="300"/>
          <w:jc w:val="center"/>
        </w:trPr>
        <w:tc>
          <w:tcPr>
            <w:tcW w:w="1260"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8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10/13/2015</w:t>
            </w:r>
          </w:p>
        </w:tc>
        <w:tc>
          <w:tcPr>
            <w:tcW w:w="155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0.30</w:t>
            </w:r>
          </w:p>
        </w:tc>
        <w:tc>
          <w:tcPr>
            <w:tcW w:w="1555"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0.36</w:t>
            </w:r>
          </w:p>
        </w:tc>
        <w:tc>
          <w:tcPr>
            <w:tcW w:w="15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7.6</w:t>
            </w:r>
          </w:p>
        </w:tc>
        <w:tc>
          <w:tcPr>
            <w:tcW w:w="16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82</w:t>
            </w:r>
          </w:p>
        </w:tc>
      </w:tr>
      <w:tr w:rsidR="00865030" w:rsidRPr="00FD0511" w:rsidTr="003E6B6C">
        <w:trPr>
          <w:trHeight w:val="300"/>
          <w:jc w:val="center"/>
        </w:trPr>
        <w:tc>
          <w:tcPr>
            <w:tcW w:w="1260"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8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Average***</w:t>
            </w:r>
          </w:p>
        </w:tc>
        <w:tc>
          <w:tcPr>
            <w:tcW w:w="155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0.53</w:t>
            </w:r>
          </w:p>
        </w:tc>
        <w:tc>
          <w:tcPr>
            <w:tcW w:w="1555"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0.63</w:t>
            </w:r>
          </w:p>
        </w:tc>
        <w:tc>
          <w:tcPr>
            <w:tcW w:w="15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13.3</w:t>
            </w:r>
          </w:p>
        </w:tc>
        <w:tc>
          <w:tcPr>
            <w:tcW w:w="1620" w:type="dxa"/>
            <w:gridSpan w:val="2"/>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83</w:t>
            </w:r>
          </w:p>
        </w:tc>
      </w:tr>
      <w:tr w:rsidR="00922933" w:rsidRPr="00FD0511" w:rsidTr="00922933">
        <w:trPr>
          <w:gridAfter w:val="1"/>
          <w:wAfter w:w="430" w:type="dxa"/>
          <w:trHeight w:val="216"/>
          <w:jc w:val="center"/>
        </w:trPr>
        <w:tc>
          <w:tcPr>
            <w:tcW w:w="8360" w:type="dxa"/>
            <w:gridSpan w:val="8"/>
            <w:tcBorders>
              <w:top w:val="nil"/>
              <w:left w:val="nil"/>
              <w:bottom w:val="nil"/>
              <w:right w:val="nil"/>
            </w:tcBorders>
            <w:shd w:val="clear" w:color="auto" w:fill="auto"/>
            <w:noWrap/>
            <w:vAlign w:val="bottom"/>
            <w:hideMark/>
          </w:tcPr>
          <w:p w:rsidR="00922933" w:rsidRPr="00FD0511" w:rsidRDefault="00922933" w:rsidP="00922933">
            <w:pPr>
              <w:rPr>
                <w:rFonts w:ascii="Franklin Gothic Book" w:hAnsi="Franklin Gothic Book"/>
                <w:color w:val="000000"/>
                <w:sz w:val="18"/>
                <w:szCs w:val="18"/>
              </w:rPr>
            </w:pPr>
            <w:r w:rsidRPr="00FD0511">
              <w:rPr>
                <w:rFonts w:ascii="Franklin Gothic Book" w:hAnsi="Franklin Gothic Book"/>
                <w:color w:val="000000"/>
                <w:sz w:val="18"/>
                <w:szCs w:val="18"/>
              </w:rPr>
              <w:lastRenderedPageBreak/>
              <w:t>*Reflects the average 4-hour event from 2-6 PM</w:t>
            </w:r>
          </w:p>
        </w:tc>
      </w:tr>
      <w:tr w:rsidR="00922933" w:rsidRPr="00FD0511" w:rsidTr="00922933">
        <w:trPr>
          <w:gridAfter w:val="1"/>
          <w:wAfter w:w="430" w:type="dxa"/>
          <w:trHeight w:val="216"/>
          <w:jc w:val="center"/>
        </w:trPr>
        <w:tc>
          <w:tcPr>
            <w:tcW w:w="8360" w:type="dxa"/>
            <w:gridSpan w:val="8"/>
            <w:tcBorders>
              <w:top w:val="nil"/>
              <w:left w:val="nil"/>
              <w:bottom w:val="nil"/>
              <w:right w:val="nil"/>
            </w:tcBorders>
            <w:shd w:val="clear" w:color="auto" w:fill="auto"/>
            <w:noWrap/>
            <w:vAlign w:val="bottom"/>
            <w:hideMark/>
          </w:tcPr>
          <w:p w:rsidR="00922933" w:rsidRPr="00FD0511" w:rsidRDefault="00922933" w:rsidP="00922933">
            <w:pPr>
              <w:rPr>
                <w:rFonts w:ascii="Franklin Gothic Book" w:hAnsi="Franklin Gothic Book"/>
                <w:color w:val="000000"/>
                <w:sz w:val="18"/>
                <w:szCs w:val="18"/>
              </w:rPr>
            </w:pPr>
            <w:r w:rsidRPr="00FD0511">
              <w:rPr>
                <w:rFonts w:ascii="Franklin Gothic Book" w:hAnsi="Franklin Gothic Book"/>
                <w:color w:val="000000"/>
                <w:sz w:val="18"/>
                <w:szCs w:val="18"/>
              </w:rPr>
              <w:t>**Reflects the emergency event called from 1:35 to 3:35 PM</w:t>
            </w:r>
          </w:p>
        </w:tc>
      </w:tr>
      <w:tr w:rsidR="00922933" w:rsidRPr="00FD0511" w:rsidTr="00922933">
        <w:trPr>
          <w:gridAfter w:val="1"/>
          <w:wAfter w:w="430" w:type="dxa"/>
          <w:trHeight w:val="216"/>
          <w:jc w:val="center"/>
        </w:trPr>
        <w:tc>
          <w:tcPr>
            <w:tcW w:w="8360" w:type="dxa"/>
            <w:gridSpan w:val="8"/>
            <w:tcBorders>
              <w:top w:val="nil"/>
              <w:left w:val="nil"/>
              <w:bottom w:val="nil"/>
              <w:right w:val="nil"/>
            </w:tcBorders>
            <w:shd w:val="clear" w:color="auto" w:fill="auto"/>
            <w:noWrap/>
            <w:vAlign w:val="bottom"/>
            <w:hideMark/>
          </w:tcPr>
          <w:p w:rsidR="00922933" w:rsidRPr="00FD0511" w:rsidRDefault="00922933" w:rsidP="00922933">
            <w:pPr>
              <w:rPr>
                <w:rFonts w:ascii="Franklin Gothic Book" w:hAnsi="Franklin Gothic Book"/>
                <w:color w:val="000000"/>
                <w:sz w:val="18"/>
                <w:szCs w:val="18"/>
              </w:rPr>
            </w:pPr>
            <w:r w:rsidRPr="00FD0511">
              <w:rPr>
                <w:rFonts w:ascii="Franklin Gothic Book" w:hAnsi="Franklin Gothic Book"/>
                <w:color w:val="000000"/>
                <w:sz w:val="18"/>
                <w:szCs w:val="18"/>
              </w:rPr>
              <w:t>***Reflects the average 4-hour weekday event from 3-7 PM</w:t>
            </w:r>
          </w:p>
        </w:tc>
      </w:tr>
    </w:tbl>
    <w:p w:rsidR="002C17DD" w:rsidRDefault="002C17DD" w:rsidP="00337C0A">
      <w:pPr>
        <w:pStyle w:val="BodyParagraph"/>
        <w:spacing w:after="0" w:line="276" w:lineRule="auto"/>
        <w:ind w:firstLine="360"/>
        <w:rPr>
          <w:rFonts w:ascii="Times New Roman" w:hAnsi="Times New Roman"/>
          <w:color w:val="0000FF"/>
          <w:sz w:val="24"/>
          <w:szCs w:val="24"/>
        </w:rPr>
      </w:pPr>
    </w:p>
    <w:p w:rsidR="00DC24A2" w:rsidRPr="003B5EED" w:rsidRDefault="00DC24A2" w:rsidP="00C728E5">
      <w:pPr>
        <w:pStyle w:val="Heading3"/>
        <w:spacing w:after="0" w:line="276" w:lineRule="auto"/>
        <w:ind w:left="720"/>
        <w:rPr>
          <w:rFonts w:ascii="Times New Roman" w:hAnsi="Times New Roman" w:cs="Times New Roman"/>
          <w:color w:val="000000" w:themeColor="text1"/>
          <w:szCs w:val="24"/>
        </w:rPr>
      </w:pPr>
      <w:bookmarkStart w:id="175" w:name="_Toc447179808"/>
      <w:r w:rsidRPr="003B5EED">
        <w:rPr>
          <w:rFonts w:ascii="Times New Roman" w:hAnsi="Times New Roman" w:cs="Times New Roman"/>
          <w:color w:val="000000" w:themeColor="text1"/>
          <w:szCs w:val="24"/>
        </w:rPr>
        <w:t>Summer Saver Nonresidential Ex-Post Load Impact Estimates</w:t>
      </w:r>
      <w:bookmarkEnd w:id="175"/>
    </w:p>
    <w:p w:rsidR="00FE606C" w:rsidRDefault="00FE606C" w:rsidP="00FE606C">
      <w:pPr>
        <w:pStyle w:val="BodyParagraph"/>
      </w:pPr>
    </w:p>
    <w:p w:rsidR="00922933" w:rsidRPr="008227A8" w:rsidRDefault="00922933" w:rsidP="00922933">
      <w:pPr>
        <w:pStyle w:val="BodyParagraph"/>
        <w:spacing w:after="120" w:line="276" w:lineRule="auto"/>
        <w:ind w:firstLine="360"/>
        <w:rPr>
          <w:rFonts w:ascii="Times New Roman" w:hAnsi="Times New Roman"/>
          <w:color w:val="000000" w:themeColor="text1"/>
          <w:sz w:val="24"/>
          <w:szCs w:val="24"/>
        </w:rPr>
      </w:pPr>
      <w:r w:rsidRPr="00057690">
        <w:rPr>
          <w:rFonts w:ascii="Times New Roman" w:hAnsi="Times New Roman"/>
          <w:color w:val="000000" w:themeColor="text1"/>
          <w:sz w:val="22"/>
        </w:rPr>
        <w:t>Table 6-3</w:t>
      </w:r>
      <w:r w:rsidRPr="008227A8">
        <w:rPr>
          <w:rFonts w:ascii="Times New Roman" w:hAnsi="Times New Roman"/>
          <w:color w:val="000000" w:themeColor="text1"/>
          <w:sz w:val="24"/>
          <w:szCs w:val="24"/>
        </w:rPr>
        <w:t xml:space="preserve"> presents ex post load impact estimates for nonresidential customers for each 2015 event day and an average event day across the nine Summer Saver events in 2015 with common event hours from 3 to 7 PM. Nonresidential customers represent 17.6% of total Summer Saver participants and 31% of enrolled CAC tonnage. </w:t>
      </w:r>
    </w:p>
    <w:p w:rsidR="00282977" w:rsidRDefault="00282977">
      <w:pPr>
        <w:rPr>
          <w:color w:val="0000CC"/>
        </w:rPr>
      </w:pPr>
    </w:p>
    <w:p w:rsidR="00922933" w:rsidRPr="00922933" w:rsidRDefault="00922933" w:rsidP="00922933">
      <w:pPr>
        <w:pStyle w:val="BodyParagraph"/>
        <w:spacing w:after="120" w:line="276" w:lineRule="auto"/>
        <w:ind w:firstLine="360"/>
        <w:rPr>
          <w:rFonts w:ascii="Times New Roman" w:hAnsi="Times New Roman"/>
          <w:color w:val="0000CC"/>
          <w:sz w:val="24"/>
          <w:szCs w:val="24"/>
        </w:rPr>
      </w:pPr>
    </w:p>
    <w:p w:rsidR="00922933" w:rsidRPr="00922933" w:rsidRDefault="00922933" w:rsidP="00922933">
      <w:pPr>
        <w:pStyle w:val="TableFigureCaption"/>
        <w:rPr>
          <w:rFonts w:ascii="Times New Roman" w:hAnsi="Times New Roman"/>
        </w:rPr>
      </w:pPr>
      <w:r w:rsidRPr="00922933">
        <w:rPr>
          <w:rFonts w:ascii="Times New Roman" w:hAnsi="Times New Roman"/>
        </w:rPr>
        <w:t>Table 6-3: Summer Saver Nonresidential Ex Post Load Impact Estimates</w:t>
      </w:r>
    </w:p>
    <w:tbl>
      <w:tblPr>
        <w:tblW w:w="8711" w:type="dxa"/>
        <w:jc w:val="center"/>
        <w:tblLook w:val="04A0" w:firstRow="1" w:lastRow="0" w:firstColumn="1" w:lastColumn="0" w:noHBand="0" w:noVBand="1"/>
      </w:tblPr>
      <w:tblGrid>
        <w:gridCol w:w="1115"/>
        <w:gridCol w:w="1240"/>
        <w:gridCol w:w="1425"/>
        <w:gridCol w:w="1890"/>
        <w:gridCol w:w="1602"/>
        <w:gridCol w:w="1439"/>
      </w:tblGrid>
      <w:tr w:rsidR="00922933" w:rsidRPr="00F25A25" w:rsidTr="00922933">
        <w:trPr>
          <w:trHeight w:val="315"/>
          <w:jc w:val="center"/>
        </w:trPr>
        <w:tc>
          <w:tcPr>
            <w:tcW w:w="1115" w:type="dxa"/>
            <w:vMerge w:val="restart"/>
            <w:tcBorders>
              <w:top w:val="single" w:sz="4" w:space="0" w:color="auto"/>
              <w:left w:val="single" w:sz="4" w:space="0" w:color="auto"/>
              <w:bottom w:val="single" w:sz="4" w:space="0" w:color="000000"/>
              <w:right w:val="single" w:sz="4" w:space="0" w:color="FFFFFF"/>
            </w:tcBorders>
            <w:shd w:val="clear" w:color="000000" w:fill="002060"/>
            <w:noWrap/>
            <w:vAlign w:val="center"/>
            <w:hideMark/>
          </w:tcPr>
          <w:p w:rsidR="00922933" w:rsidRPr="00922933" w:rsidRDefault="00922933" w:rsidP="00922933">
            <w:pPr>
              <w:jc w:val="center"/>
              <w:rPr>
                <w:b/>
                <w:bCs/>
                <w:color w:val="FFFFFF"/>
                <w:sz w:val="20"/>
                <w:szCs w:val="20"/>
              </w:rPr>
            </w:pPr>
            <w:r w:rsidRPr="00922933">
              <w:rPr>
                <w:b/>
                <w:bCs/>
                <w:color w:val="FFFFFF"/>
                <w:sz w:val="20"/>
                <w:szCs w:val="20"/>
              </w:rPr>
              <w:t>Year</w:t>
            </w:r>
          </w:p>
        </w:tc>
        <w:tc>
          <w:tcPr>
            <w:tcW w:w="1240" w:type="dxa"/>
            <w:vMerge w:val="restart"/>
            <w:tcBorders>
              <w:top w:val="single" w:sz="4" w:space="0" w:color="auto"/>
              <w:left w:val="single" w:sz="4" w:space="0" w:color="FFFFFF"/>
              <w:bottom w:val="single" w:sz="4" w:space="0" w:color="000000"/>
              <w:right w:val="single" w:sz="4" w:space="0" w:color="FFFFFF"/>
            </w:tcBorders>
            <w:shd w:val="clear" w:color="000000" w:fill="002060"/>
            <w:noWrap/>
            <w:vAlign w:val="center"/>
            <w:hideMark/>
          </w:tcPr>
          <w:p w:rsidR="00922933" w:rsidRPr="00922933" w:rsidRDefault="00922933" w:rsidP="00922933">
            <w:pPr>
              <w:jc w:val="center"/>
              <w:rPr>
                <w:b/>
                <w:bCs/>
                <w:color w:val="FFFFFF"/>
                <w:sz w:val="20"/>
                <w:szCs w:val="20"/>
              </w:rPr>
            </w:pPr>
            <w:r w:rsidRPr="00922933">
              <w:rPr>
                <w:b/>
                <w:bCs/>
                <w:color w:val="FFFFFF"/>
                <w:sz w:val="20"/>
                <w:szCs w:val="20"/>
              </w:rPr>
              <w:t>Date</w:t>
            </w:r>
          </w:p>
        </w:tc>
        <w:tc>
          <w:tcPr>
            <w:tcW w:w="4917" w:type="dxa"/>
            <w:gridSpan w:val="3"/>
            <w:tcBorders>
              <w:top w:val="single" w:sz="4" w:space="0" w:color="auto"/>
              <w:left w:val="nil"/>
              <w:right w:val="single" w:sz="4" w:space="0" w:color="FFFFFF"/>
            </w:tcBorders>
            <w:shd w:val="clear" w:color="000000" w:fill="002060"/>
            <w:noWrap/>
            <w:vAlign w:val="center"/>
            <w:hideMark/>
          </w:tcPr>
          <w:p w:rsidR="00922933" w:rsidRPr="00922933" w:rsidRDefault="00922933" w:rsidP="00922933">
            <w:pPr>
              <w:jc w:val="center"/>
              <w:rPr>
                <w:b/>
                <w:bCs/>
                <w:color w:val="FFFFFF"/>
                <w:sz w:val="20"/>
                <w:szCs w:val="20"/>
              </w:rPr>
            </w:pPr>
            <w:r w:rsidRPr="00922933">
              <w:rPr>
                <w:b/>
                <w:bCs/>
                <w:color w:val="FFFFFF"/>
                <w:sz w:val="20"/>
                <w:szCs w:val="20"/>
              </w:rPr>
              <w:t>Impact</w:t>
            </w:r>
          </w:p>
        </w:tc>
        <w:tc>
          <w:tcPr>
            <w:tcW w:w="1439" w:type="dxa"/>
            <w:vMerge w:val="restart"/>
            <w:tcBorders>
              <w:top w:val="single" w:sz="4" w:space="0" w:color="auto"/>
              <w:left w:val="nil"/>
              <w:bottom w:val="single" w:sz="4" w:space="0" w:color="000000"/>
              <w:right w:val="single" w:sz="4" w:space="0" w:color="auto"/>
            </w:tcBorders>
            <w:shd w:val="clear" w:color="000000" w:fill="002060"/>
            <w:vAlign w:val="center"/>
            <w:hideMark/>
          </w:tcPr>
          <w:p w:rsidR="00922933" w:rsidRPr="00922933" w:rsidRDefault="00922933" w:rsidP="00922933">
            <w:pPr>
              <w:jc w:val="center"/>
              <w:rPr>
                <w:b/>
                <w:bCs/>
                <w:color w:val="FFFFFF"/>
                <w:sz w:val="20"/>
                <w:szCs w:val="20"/>
              </w:rPr>
            </w:pPr>
            <w:r w:rsidRPr="00922933">
              <w:rPr>
                <w:b/>
                <w:bCs/>
                <w:color w:val="FFFFFF"/>
                <w:sz w:val="20"/>
                <w:szCs w:val="20"/>
              </w:rPr>
              <w:t>Mean17  (°F)</w:t>
            </w:r>
          </w:p>
        </w:tc>
      </w:tr>
      <w:tr w:rsidR="00922933" w:rsidRPr="00F25A25" w:rsidTr="00922933">
        <w:trPr>
          <w:trHeight w:val="510"/>
          <w:jc w:val="center"/>
        </w:trPr>
        <w:tc>
          <w:tcPr>
            <w:tcW w:w="1115" w:type="dxa"/>
            <w:vMerge/>
            <w:tcBorders>
              <w:top w:val="single" w:sz="4" w:space="0" w:color="auto"/>
              <w:left w:val="single" w:sz="4" w:space="0" w:color="auto"/>
              <w:bottom w:val="single" w:sz="4" w:space="0" w:color="000000"/>
              <w:right w:val="single" w:sz="4" w:space="0" w:color="FFFFFF"/>
            </w:tcBorders>
            <w:vAlign w:val="center"/>
            <w:hideMark/>
          </w:tcPr>
          <w:p w:rsidR="00922933" w:rsidRPr="00922933" w:rsidRDefault="00922933" w:rsidP="00922933">
            <w:pPr>
              <w:rPr>
                <w:b/>
                <w:bCs/>
                <w:color w:val="FFFFFF"/>
                <w:sz w:val="20"/>
                <w:szCs w:val="20"/>
              </w:rPr>
            </w:pPr>
          </w:p>
        </w:tc>
        <w:tc>
          <w:tcPr>
            <w:tcW w:w="1240" w:type="dxa"/>
            <w:vMerge/>
            <w:tcBorders>
              <w:top w:val="single" w:sz="4" w:space="0" w:color="auto"/>
              <w:left w:val="single" w:sz="4" w:space="0" w:color="FFFFFF"/>
              <w:bottom w:val="single" w:sz="4" w:space="0" w:color="000000"/>
              <w:right w:val="single" w:sz="4" w:space="0" w:color="FFFFFF"/>
            </w:tcBorders>
            <w:vAlign w:val="center"/>
            <w:hideMark/>
          </w:tcPr>
          <w:p w:rsidR="00922933" w:rsidRPr="00922933" w:rsidRDefault="00922933" w:rsidP="00922933">
            <w:pPr>
              <w:rPr>
                <w:b/>
                <w:bCs/>
                <w:color w:val="FFFFFF"/>
                <w:sz w:val="20"/>
                <w:szCs w:val="20"/>
              </w:rPr>
            </w:pPr>
          </w:p>
        </w:tc>
        <w:tc>
          <w:tcPr>
            <w:tcW w:w="1425" w:type="dxa"/>
            <w:tcBorders>
              <w:top w:val="nil"/>
              <w:left w:val="nil"/>
              <w:bottom w:val="single" w:sz="4" w:space="0" w:color="auto"/>
              <w:right w:val="single" w:sz="4" w:space="0" w:color="FFFFFF"/>
            </w:tcBorders>
            <w:shd w:val="clear" w:color="auto" w:fill="002060"/>
            <w:noWrap/>
            <w:vAlign w:val="center"/>
            <w:hideMark/>
          </w:tcPr>
          <w:p w:rsidR="00922933" w:rsidRPr="00922933" w:rsidRDefault="00922933" w:rsidP="00922933">
            <w:pPr>
              <w:jc w:val="center"/>
              <w:rPr>
                <w:b/>
                <w:bCs/>
                <w:color w:val="FFFFFF"/>
                <w:sz w:val="20"/>
                <w:szCs w:val="20"/>
              </w:rPr>
            </w:pPr>
            <w:r w:rsidRPr="00922933">
              <w:rPr>
                <w:b/>
                <w:bCs/>
                <w:color w:val="FFFFFF"/>
                <w:sz w:val="20"/>
                <w:szCs w:val="20"/>
              </w:rPr>
              <w:t>Per CAC Unit (kW)</w:t>
            </w:r>
          </w:p>
        </w:tc>
        <w:tc>
          <w:tcPr>
            <w:tcW w:w="1890" w:type="dxa"/>
            <w:tcBorders>
              <w:top w:val="nil"/>
              <w:left w:val="nil"/>
              <w:bottom w:val="single" w:sz="4" w:space="0" w:color="auto"/>
              <w:right w:val="single" w:sz="4" w:space="0" w:color="FFFFFF"/>
            </w:tcBorders>
            <w:shd w:val="clear" w:color="auto" w:fill="002060"/>
            <w:noWrap/>
            <w:vAlign w:val="center"/>
            <w:hideMark/>
          </w:tcPr>
          <w:p w:rsidR="00922933" w:rsidRPr="00922933" w:rsidRDefault="00922933" w:rsidP="00922933">
            <w:pPr>
              <w:jc w:val="center"/>
              <w:rPr>
                <w:b/>
                <w:bCs/>
                <w:color w:val="FFFFFF"/>
                <w:sz w:val="20"/>
                <w:szCs w:val="20"/>
              </w:rPr>
            </w:pPr>
            <w:r w:rsidRPr="00922933">
              <w:rPr>
                <w:b/>
                <w:bCs/>
                <w:color w:val="FFFFFF"/>
                <w:sz w:val="20"/>
                <w:szCs w:val="20"/>
              </w:rPr>
              <w:t>Per Premise (kW)</w:t>
            </w:r>
          </w:p>
        </w:tc>
        <w:tc>
          <w:tcPr>
            <w:tcW w:w="1602" w:type="dxa"/>
            <w:tcBorders>
              <w:top w:val="nil"/>
              <w:left w:val="nil"/>
              <w:bottom w:val="single" w:sz="4" w:space="0" w:color="auto"/>
              <w:right w:val="single" w:sz="4" w:space="0" w:color="FFFFFF"/>
            </w:tcBorders>
            <w:shd w:val="clear" w:color="auto" w:fill="002060"/>
            <w:noWrap/>
            <w:vAlign w:val="center"/>
            <w:hideMark/>
          </w:tcPr>
          <w:p w:rsidR="00922933" w:rsidRPr="00922933" w:rsidRDefault="00922933" w:rsidP="00922933">
            <w:pPr>
              <w:jc w:val="center"/>
              <w:rPr>
                <w:b/>
                <w:bCs/>
                <w:color w:val="FFFFFF"/>
                <w:sz w:val="20"/>
                <w:szCs w:val="20"/>
              </w:rPr>
            </w:pPr>
            <w:r w:rsidRPr="00922933">
              <w:rPr>
                <w:b/>
                <w:bCs/>
                <w:color w:val="FFFFFF"/>
                <w:sz w:val="20"/>
                <w:szCs w:val="20"/>
              </w:rPr>
              <w:t>Aggregate (MW)</w:t>
            </w:r>
          </w:p>
        </w:tc>
        <w:tc>
          <w:tcPr>
            <w:tcW w:w="1439" w:type="dxa"/>
            <w:vMerge/>
            <w:tcBorders>
              <w:top w:val="single" w:sz="4" w:space="0" w:color="auto"/>
              <w:left w:val="nil"/>
              <w:bottom w:val="single" w:sz="4" w:space="0" w:color="000000"/>
              <w:right w:val="single" w:sz="4" w:space="0" w:color="auto"/>
            </w:tcBorders>
            <w:vAlign w:val="center"/>
            <w:hideMark/>
          </w:tcPr>
          <w:p w:rsidR="00922933" w:rsidRPr="00922933" w:rsidRDefault="00922933" w:rsidP="00922933">
            <w:pPr>
              <w:rPr>
                <w:b/>
                <w:bCs/>
                <w:color w:val="FFFFFF"/>
                <w:sz w:val="20"/>
                <w:szCs w:val="20"/>
              </w:rPr>
            </w:pPr>
          </w:p>
        </w:tc>
      </w:tr>
      <w:tr w:rsidR="00865030" w:rsidRPr="00F25A25" w:rsidTr="003E6B6C">
        <w:trPr>
          <w:trHeight w:val="300"/>
          <w:jc w:val="center"/>
        </w:trPr>
        <w:tc>
          <w:tcPr>
            <w:tcW w:w="111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65030" w:rsidRPr="00922933" w:rsidRDefault="00865030" w:rsidP="00922933">
            <w:pPr>
              <w:jc w:val="center"/>
              <w:rPr>
                <w:color w:val="000000"/>
                <w:sz w:val="20"/>
                <w:szCs w:val="20"/>
              </w:rPr>
            </w:pPr>
            <w:r w:rsidRPr="00922933">
              <w:rPr>
                <w:color w:val="000000"/>
                <w:sz w:val="20"/>
                <w:szCs w:val="20"/>
              </w:rPr>
              <w:t>2015</w:t>
            </w:r>
          </w:p>
        </w:tc>
        <w:tc>
          <w:tcPr>
            <w:tcW w:w="124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13-Aug-15</w:t>
            </w:r>
          </w:p>
        </w:tc>
        <w:tc>
          <w:tcPr>
            <w:tcW w:w="142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0.12</w:t>
            </w:r>
          </w:p>
        </w:tc>
        <w:tc>
          <w:tcPr>
            <w:tcW w:w="1890"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0.28</w:t>
            </w:r>
          </w:p>
        </w:tc>
        <w:tc>
          <w:tcPr>
            <w:tcW w:w="1602"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1.3</w:t>
            </w:r>
          </w:p>
        </w:tc>
        <w:tc>
          <w:tcPr>
            <w:tcW w:w="1439"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77</w:t>
            </w:r>
          </w:p>
        </w:tc>
      </w:tr>
      <w:tr w:rsidR="00865030" w:rsidRPr="00F25A25" w:rsidTr="003E6B6C">
        <w:trPr>
          <w:trHeight w:val="300"/>
          <w:jc w:val="center"/>
        </w:trPr>
        <w:tc>
          <w:tcPr>
            <w:tcW w:w="1115"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4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14-Aug-15</w:t>
            </w:r>
          </w:p>
        </w:tc>
        <w:tc>
          <w:tcPr>
            <w:tcW w:w="142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0.08</w:t>
            </w:r>
          </w:p>
        </w:tc>
        <w:tc>
          <w:tcPr>
            <w:tcW w:w="1890"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0.19</w:t>
            </w:r>
          </w:p>
        </w:tc>
        <w:tc>
          <w:tcPr>
            <w:tcW w:w="1602"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0.8</w:t>
            </w:r>
          </w:p>
        </w:tc>
        <w:tc>
          <w:tcPr>
            <w:tcW w:w="1439"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78</w:t>
            </w:r>
          </w:p>
        </w:tc>
      </w:tr>
      <w:tr w:rsidR="00865030" w:rsidRPr="00F25A25" w:rsidTr="003E6B6C">
        <w:trPr>
          <w:trHeight w:val="300"/>
          <w:jc w:val="center"/>
        </w:trPr>
        <w:tc>
          <w:tcPr>
            <w:tcW w:w="1115"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4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16-Aug-15</w:t>
            </w:r>
          </w:p>
        </w:tc>
        <w:tc>
          <w:tcPr>
            <w:tcW w:w="142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0.12</w:t>
            </w:r>
          </w:p>
        </w:tc>
        <w:tc>
          <w:tcPr>
            <w:tcW w:w="1890"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0.29</w:t>
            </w:r>
          </w:p>
        </w:tc>
        <w:tc>
          <w:tcPr>
            <w:tcW w:w="1602"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1.3</w:t>
            </w:r>
          </w:p>
        </w:tc>
        <w:tc>
          <w:tcPr>
            <w:tcW w:w="1439"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80</w:t>
            </w:r>
          </w:p>
        </w:tc>
      </w:tr>
      <w:tr w:rsidR="00865030" w:rsidRPr="00F25A25" w:rsidTr="003E6B6C">
        <w:trPr>
          <w:trHeight w:val="300"/>
          <w:jc w:val="center"/>
        </w:trPr>
        <w:tc>
          <w:tcPr>
            <w:tcW w:w="1115"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4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26-Aug-15</w:t>
            </w:r>
          </w:p>
        </w:tc>
        <w:tc>
          <w:tcPr>
            <w:tcW w:w="142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0.09</w:t>
            </w:r>
          </w:p>
        </w:tc>
        <w:tc>
          <w:tcPr>
            <w:tcW w:w="1890"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0.21</w:t>
            </w:r>
          </w:p>
        </w:tc>
        <w:tc>
          <w:tcPr>
            <w:tcW w:w="1602"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1.0</w:t>
            </w:r>
          </w:p>
        </w:tc>
        <w:tc>
          <w:tcPr>
            <w:tcW w:w="1439"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79</w:t>
            </w:r>
          </w:p>
        </w:tc>
      </w:tr>
      <w:tr w:rsidR="00865030" w:rsidRPr="00F25A25" w:rsidTr="003E6B6C">
        <w:trPr>
          <w:trHeight w:val="300"/>
          <w:jc w:val="center"/>
        </w:trPr>
        <w:tc>
          <w:tcPr>
            <w:tcW w:w="1115"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4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27-Aug-15</w:t>
            </w:r>
          </w:p>
        </w:tc>
        <w:tc>
          <w:tcPr>
            <w:tcW w:w="142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0.12</w:t>
            </w:r>
          </w:p>
        </w:tc>
        <w:tc>
          <w:tcPr>
            <w:tcW w:w="1890"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0.30</w:t>
            </w:r>
          </w:p>
        </w:tc>
        <w:tc>
          <w:tcPr>
            <w:tcW w:w="1602"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1.3</w:t>
            </w:r>
          </w:p>
        </w:tc>
        <w:tc>
          <w:tcPr>
            <w:tcW w:w="1439"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80</w:t>
            </w:r>
          </w:p>
        </w:tc>
      </w:tr>
      <w:tr w:rsidR="00865030" w:rsidRPr="00F25A25" w:rsidTr="003E6B6C">
        <w:trPr>
          <w:trHeight w:val="300"/>
          <w:jc w:val="center"/>
        </w:trPr>
        <w:tc>
          <w:tcPr>
            <w:tcW w:w="1115"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4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28-Aug-15</w:t>
            </w:r>
          </w:p>
        </w:tc>
        <w:tc>
          <w:tcPr>
            <w:tcW w:w="142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0.10</w:t>
            </w:r>
          </w:p>
        </w:tc>
        <w:tc>
          <w:tcPr>
            <w:tcW w:w="1890"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0.25</w:t>
            </w:r>
          </w:p>
        </w:tc>
        <w:tc>
          <w:tcPr>
            <w:tcW w:w="1602"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1.1</w:t>
            </w:r>
          </w:p>
        </w:tc>
        <w:tc>
          <w:tcPr>
            <w:tcW w:w="1439"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83</w:t>
            </w:r>
          </w:p>
        </w:tc>
      </w:tr>
      <w:tr w:rsidR="00865030" w:rsidRPr="00F25A25" w:rsidTr="003E6B6C">
        <w:trPr>
          <w:trHeight w:val="300"/>
          <w:jc w:val="center"/>
        </w:trPr>
        <w:tc>
          <w:tcPr>
            <w:tcW w:w="1115"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4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9-Sep-15</w:t>
            </w:r>
          </w:p>
        </w:tc>
        <w:tc>
          <w:tcPr>
            <w:tcW w:w="142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0.11</w:t>
            </w:r>
          </w:p>
        </w:tc>
        <w:tc>
          <w:tcPr>
            <w:tcW w:w="1890"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0.26</w:t>
            </w:r>
          </w:p>
        </w:tc>
        <w:tc>
          <w:tcPr>
            <w:tcW w:w="1602"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1.2</w:t>
            </w:r>
          </w:p>
        </w:tc>
        <w:tc>
          <w:tcPr>
            <w:tcW w:w="1439"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87</w:t>
            </w:r>
          </w:p>
        </w:tc>
      </w:tr>
      <w:tr w:rsidR="00865030" w:rsidRPr="00F25A25" w:rsidTr="003E6B6C">
        <w:trPr>
          <w:trHeight w:val="300"/>
          <w:jc w:val="center"/>
        </w:trPr>
        <w:tc>
          <w:tcPr>
            <w:tcW w:w="1115"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4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10-Sep-15</w:t>
            </w:r>
          </w:p>
        </w:tc>
        <w:tc>
          <w:tcPr>
            <w:tcW w:w="142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0.15</w:t>
            </w:r>
          </w:p>
        </w:tc>
        <w:tc>
          <w:tcPr>
            <w:tcW w:w="1890"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0.36</w:t>
            </w:r>
          </w:p>
        </w:tc>
        <w:tc>
          <w:tcPr>
            <w:tcW w:w="1602"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1.7</w:t>
            </w:r>
          </w:p>
        </w:tc>
        <w:tc>
          <w:tcPr>
            <w:tcW w:w="1439"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85</w:t>
            </w:r>
          </w:p>
        </w:tc>
      </w:tr>
      <w:tr w:rsidR="00865030" w:rsidRPr="00F25A25" w:rsidTr="003E6B6C">
        <w:trPr>
          <w:trHeight w:val="300"/>
          <w:jc w:val="center"/>
        </w:trPr>
        <w:tc>
          <w:tcPr>
            <w:tcW w:w="1115"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4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11-Sep-15</w:t>
            </w:r>
          </w:p>
        </w:tc>
        <w:tc>
          <w:tcPr>
            <w:tcW w:w="142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0.14</w:t>
            </w:r>
          </w:p>
        </w:tc>
        <w:tc>
          <w:tcPr>
            <w:tcW w:w="1890"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0.34</w:t>
            </w:r>
          </w:p>
        </w:tc>
        <w:tc>
          <w:tcPr>
            <w:tcW w:w="1602"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1.6</w:t>
            </w:r>
          </w:p>
        </w:tc>
        <w:tc>
          <w:tcPr>
            <w:tcW w:w="1439"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83</w:t>
            </w:r>
          </w:p>
        </w:tc>
      </w:tr>
      <w:tr w:rsidR="00865030" w:rsidRPr="00F25A25" w:rsidTr="003E6B6C">
        <w:trPr>
          <w:trHeight w:val="300"/>
          <w:jc w:val="center"/>
        </w:trPr>
        <w:tc>
          <w:tcPr>
            <w:tcW w:w="1115"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4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20-Sep-15</w:t>
            </w:r>
          </w:p>
        </w:tc>
        <w:tc>
          <w:tcPr>
            <w:tcW w:w="142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0.06</w:t>
            </w:r>
          </w:p>
        </w:tc>
        <w:tc>
          <w:tcPr>
            <w:tcW w:w="1890"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0.14</w:t>
            </w:r>
          </w:p>
        </w:tc>
        <w:tc>
          <w:tcPr>
            <w:tcW w:w="1602"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0.6</w:t>
            </w:r>
          </w:p>
        </w:tc>
        <w:tc>
          <w:tcPr>
            <w:tcW w:w="1439"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83</w:t>
            </w:r>
          </w:p>
        </w:tc>
      </w:tr>
      <w:tr w:rsidR="00865030" w:rsidRPr="00F25A25" w:rsidTr="003E6B6C">
        <w:trPr>
          <w:trHeight w:val="300"/>
          <w:jc w:val="center"/>
        </w:trPr>
        <w:tc>
          <w:tcPr>
            <w:tcW w:w="1115"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4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24-Sep-15</w:t>
            </w:r>
          </w:p>
        </w:tc>
        <w:tc>
          <w:tcPr>
            <w:tcW w:w="142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0.23</w:t>
            </w:r>
          </w:p>
        </w:tc>
        <w:tc>
          <w:tcPr>
            <w:tcW w:w="1890"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0.54</w:t>
            </w:r>
          </w:p>
        </w:tc>
        <w:tc>
          <w:tcPr>
            <w:tcW w:w="1602"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2.5</w:t>
            </w:r>
          </w:p>
        </w:tc>
        <w:tc>
          <w:tcPr>
            <w:tcW w:w="1439"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77</w:t>
            </w:r>
          </w:p>
        </w:tc>
      </w:tr>
      <w:tr w:rsidR="00865030" w:rsidRPr="00F25A25" w:rsidTr="003E6B6C">
        <w:trPr>
          <w:trHeight w:val="300"/>
          <w:jc w:val="center"/>
        </w:trPr>
        <w:tc>
          <w:tcPr>
            <w:tcW w:w="1115"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4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25-Sep-15</w:t>
            </w:r>
          </w:p>
        </w:tc>
        <w:tc>
          <w:tcPr>
            <w:tcW w:w="142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0.20</w:t>
            </w:r>
          </w:p>
        </w:tc>
        <w:tc>
          <w:tcPr>
            <w:tcW w:w="1890"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0.47</w:t>
            </w:r>
          </w:p>
        </w:tc>
        <w:tc>
          <w:tcPr>
            <w:tcW w:w="1602"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2.1</w:t>
            </w:r>
          </w:p>
        </w:tc>
        <w:tc>
          <w:tcPr>
            <w:tcW w:w="1439"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78</w:t>
            </w:r>
          </w:p>
        </w:tc>
      </w:tr>
      <w:tr w:rsidR="00865030" w:rsidRPr="00F25A25" w:rsidTr="003E6B6C">
        <w:trPr>
          <w:trHeight w:val="300"/>
          <w:jc w:val="center"/>
        </w:trPr>
        <w:tc>
          <w:tcPr>
            <w:tcW w:w="1115"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4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9-Oct-15</w:t>
            </w:r>
          </w:p>
        </w:tc>
        <w:tc>
          <w:tcPr>
            <w:tcW w:w="142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0.14</w:t>
            </w:r>
          </w:p>
        </w:tc>
        <w:tc>
          <w:tcPr>
            <w:tcW w:w="1890"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0.34</w:t>
            </w:r>
          </w:p>
        </w:tc>
        <w:tc>
          <w:tcPr>
            <w:tcW w:w="1602"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1.6</w:t>
            </w:r>
          </w:p>
        </w:tc>
        <w:tc>
          <w:tcPr>
            <w:tcW w:w="1439"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80</w:t>
            </w:r>
          </w:p>
        </w:tc>
      </w:tr>
      <w:tr w:rsidR="00865030" w:rsidRPr="00F25A25" w:rsidTr="003E6B6C">
        <w:trPr>
          <w:trHeight w:val="300"/>
          <w:jc w:val="center"/>
        </w:trPr>
        <w:tc>
          <w:tcPr>
            <w:tcW w:w="1115"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4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10-Oct-15</w:t>
            </w:r>
          </w:p>
        </w:tc>
        <w:tc>
          <w:tcPr>
            <w:tcW w:w="142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0.15</w:t>
            </w:r>
          </w:p>
        </w:tc>
        <w:tc>
          <w:tcPr>
            <w:tcW w:w="1890"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0.35</w:t>
            </w:r>
          </w:p>
        </w:tc>
        <w:tc>
          <w:tcPr>
            <w:tcW w:w="1602"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1.6</w:t>
            </w:r>
          </w:p>
        </w:tc>
        <w:tc>
          <w:tcPr>
            <w:tcW w:w="1439"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87</w:t>
            </w:r>
          </w:p>
        </w:tc>
      </w:tr>
      <w:tr w:rsidR="00865030" w:rsidRPr="00F25A25" w:rsidTr="003E6B6C">
        <w:trPr>
          <w:trHeight w:val="300"/>
          <w:jc w:val="center"/>
        </w:trPr>
        <w:tc>
          <w:tcPr>
            <w:tcW w:w="1115"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4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13-Oct-15</w:t>
            </w:r>
          </w:p>
        </w:tc>
        <w:tc>
          <w:tcPr>
            <w:tcW w:w="142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0.04</w:t>
            </w:r>
          </w:p>
        </w:tc>
        <w:tc>
          <w:tcPr>
            <w:tcW w:w="1890"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0.08</w:t>
            </w:r>
          </w:p>
        </w:tc>
        <w:tc>
          <w:tcPr>
            <w:tcW w:w="1602"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0.4</w:t>
            </w:r>
          </w:p>
        </w:tc>
        <w:tc>
          <w:tcPr>
            <w:tcW w:w="1439"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81</w:t>
            </w:r>
          </w:p>
        </w:tc>
      </w:tr>
      <w:tr w:rsidR="00865030" w:rsidRPr="00F25A25" w:rsidTr="003E6B6C">
        <w:trPr>
          <w:trHeight w:val="300"/>
          <w:jc w:val="center"/>
        </w:trPr>
        <w:tc>
          <w:tcPr>
            <w:tcW w:w="1115" w:type="dxa"/>
            <w:vMerge/>
            <w:tcBorders>
              <w:top w:val="nil"/>
              <w:left w:val="single" w:sz="4" w:space="0" w:color="auto"/>
              <w:bottom w:val="single" w:sz="4" w:space="0" w:color="auto"/>
              <w:right w:val="single" w:sz="4" w:space="0" w:color="auto"/>
            </w:tcBorders>
            <w:vAlign w:val="center"/>
            <w:hideMark/>
          </w:tcPr>
          <w:p w:rsidR="00865030" w:rsidRPr="00922933" w:rsidRDefault="00865030" w:rsidP="00922933">
            <w:pPr>
              <w:rPr>
                <w:color w:val="000000"/>
                <w:sz w:val="20"/>
                <w:szCs w:val="20"/>
              </w:rPr>
            </w:pPr>
          </w:p>
        </w:tc>
        <w:tc>
          <w:tcPr>
            <w:tcW w:w="1240" w:type="dxa"/>
            <w:tcBorders>
              <w:top w:val="nil"/>
              <w:left w:val="nil"/>
              <w:bottom w:val="single" w:sz="4" w:space="0" w:color="auto"/>
              <w:right w:val="single" w:sz="4" w:space="0" w:color="auto"/>
            </w:tcBorders>
            <w:shd w:val="clear" w:color="auto" w:fill="auto"/>
            <w:noWrap/>
            <w:vAlign w:val="bottom"/>
            <w:hideMark/>
          </w:tcPr>
          <w:p w:rsidR="00865030" w:rsidRPr="00922933" w:rsidRDefault="00865030" w:rsidP="00922933">
            <w:pPr>
              <w:jc w:val="center"/>
              <w:rPr>
                <w:color w:val="000000"/>
                <w:sz w:val="20"/>
                <w:szCs w:val="20"/>
              </w:rPr>
            </w:pPr>
            <w:r w:rsidRPr="00922933">
              <w:rPr>
                <w:color w:val="000000"/>
                <w:sz w:val="20"/>
                <w:szCs w:val="20"/>
              </w:rPr>
              <w:t>Average**</w:t>
            </w:r>
          </w:p>
        </w:tc>
        <w:tc>
          <w:tcPr>
            <w:tcW w:w="1425"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0.13</w:t>
            </w:r>
          </w:p>
        </w:tc>
        <w:tc>
          <w:tcPr>
            <w:tcW w:w="1890"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0.30</w:t>
            </w:r>
          </w:p>
        </w:tc>
        <w:tc>
          <w:tcPr>
            <w:tcW w:w="1602"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1.4</w:t>
            </w:r>
          </w:p>
        </w:tc>
        <w:tc>
          <w:tcPr>
            <w:tcW w:w="1439" w:type="dxa"/>
            <w:tcBorders>
              <w:top w:val="nil"/>
              <w:left w:val="nil"/>
              <w:bottom w:val="single" w:sz="4" w:space="0" w:color="auto"/>
              <w:right w:val="single" w:sz="4" w:space="0" w:color="auto"/>
            </w:tcBorders>
            <w:shd w:val="clear" w:color="auto" w:fill="auto"/>
            <w:noWrap/>
            <w:hideMark/>
          </w:tcPr>
          <w:p w:rsidR="00865030" w:rsidRPr="00865030" w:rsidRDefault="00865030" w:rsidP="00865030">
            <w:pPr>
              <w:jc w:val="center"/>
              <w:rPr>
                <w:sz w:val="20"/>
                <w:szCs w:val="20"/>
              </w:rPr>
            </w:pPr>
            <w:r w:rsidRPr="00865030">
              <w:rPr>
                <w:sz w:val="20"/>
                <w:szCs w:val="20"/>
              </w:rPr>
              <w:t>82</w:t>
            </w:r>
          </w:p>
        </w:tc>
      </w:tr>
      <w:tr w:rsidR="00922933" w:rsidRPr="00F25A25" w:rsidTr="00922933">
        <w:trPr>
          <w:trHeight w:val="296"/>
          <w:jc w:val="center"/>
        </w:trPr>
        <w:tc>
          <w:tcPr>
            <w:tcW w:w="8711" w:type="dxa"/>
            <w:gridSpan w:val="6"/>
            <w:tcBorders>
              <w:top w:val="nil"/>
              <w:left w:val="nil"/>
              <w:bottom w:val="nil"/>
              <w:right w:val="nil"/>
            </w:tcBorders>
            <w:shd w:val="clear" w:color="auto" w:fill="auto"/>
            <w:noWrap/>
            <w:vAlign w:val="center"/>
            <w:hideMark/>
          </w:tcPr>
          <w:p w:rsidR="00922933" w:rsidRPr="00F25A25" w:rsidRDefault="00922933" w:rsidP="00922933">
            <w:pPr>
              <w:rPr>
                <w:rFonts w:ascii="Franklin Gothic Book" w:hAnsi="Franklin Gothic Book"/>
                <w:color w:val="000000"/>
                <w:sz w:val="18"/>
                <w:szCs w:val="18"/>
              </w:rPr>
            </w:pPr>
            <w:r w:rsidRPr="00F25A25">
              <w:rPr>
                <w:rFonts w:ascii="Franklin Gothic Book" w:hAnsi="Franklin Gothic Book"/>
                <w:color w:val="000000"/>
                <w:sz w:val="18"/>
                <w:szCs w:val="18"/>
              </w:rPr>
              <w:t>*Reflects the average 4-hour event from 2-6 PM</w:t>
            </w:r>
          </w:p>
        </w:tc>
      </w:tr>
      <w:tr w:rsidR="00922933" w:rsidRPr="00F25A25" w:rsidTr="00922933">
        <w:trPr>
          <w:trHeight w:val="90"/>
          <w:jc w:val="center"/>
        </w:trPr>
        <w:tc>
          <w:tcPr>
            <w:tcW w:w="8711" w:type="dxa"/>
            <w:gridSpan w:val="6"/>
            <w:tcBorders>
              <w:top w:val="nil"/>
              <w:left w:val="nil"/>
              <w:bottom w:val="nil"/>
              <w:right w:val="nil"/>
            </w:tcBorders>
            <w:shd w:val="clear" w:color="auto" w:fill="auto"/>
            <w:noWrap/>
            <w:vAlign w:val="center"/>
            <w:hideMark/>
          </w:tcPr>
          <w:p w:rsidR="00922933" w:rsidRPr="00F25A25" w:rsidRDefault="00922933" w:rsidP="00922933">
            <w:pPr>
              <w:rPr>
                <w:rFonts w:ascii="Franklin Gothic Book" w:hAnsi="Franklin Gothic Book"/>
                <w:color w:val="000000"/>
                <w:sz w:val="18"/>
                <w:szCs w:val="20"/>
              </w:rPr>
            </w:pPr>
            <w:r w:rsidRPr="00F25A25">
              <w:rPr>
                <w:rFonts w:ascii="Franklin Gothic Book" w:hAnsi="Franklin Gothic Book"/>
                <w:color w:val="000000"/>
                <w:sz w:val="18"/>
                <w:szCs w:val="20"/>
              </w:rPr>
              <w:t>**Reflects the average 4-hour weekday event from 3-7 PM</w:t>
            </w:r>
          </w:p>
        </w:tc>
      </w:tr>
    </w:tbl>
    <w:p w:rsidR="00922933" w:rsidRDefault="00922933" w:rsidP="0099338A"/>
    <w:p w:rsidR="00E2509C" w:rsidRDefault="00E2509C" w:rsidP="0099338A"/>
    <w:p w:rsidR="00E2509C" w:rsidRDefault="00E2509C" w:rsidP="0099338A"/>
    <w:p w:rsidR="002C17DD" w:rsidRPr="00A40F5E" w:rsidRDefault="002C17DD" w:rsidP="00A40F5E">
      <w:pPr>
        <w:pStyle w:val="Heading2"/>
        <w:spacing w:after="0" w:line="276" w:lineRule="auto"/>
        <w:rPr>
          <w:rFonts w:ascii="Times New Roman" w:hAnsi="Times New Roman" w:cs="Times New Roman"/>
        </w:rPr>
      </w:pPr>
      <w:bookmarkStart w:id="176" w:name="_Toc349548905"/>
      <w:bookmarkStart w:id="177" w:name="_Toc350953036"/>
      <w:r w:rsidRPr="00A40F5E">
        <w:rPr>
          <w:rFonts w:ascii="Times New Roman" w:hAnsi="Times New Roman" w:cs="Times New Roman"/>
          <w:lang w:val="fr-FR"/>
        </w:rPr>
        <w:lastRenderedPageBreak/>
        <w:t xml:space="preserve"> </w:t>
      </w:r>
      <w:bookmarkStart w:id="178" w:name="_Toc351990592"/>
      <w:bookmarkStart w:id="179" w:name="_Toc352084169"/>
      <w:bookmarkStart w:id="180" w:name="_Toc447179809"/>
      <w:r w:rsidR="002957BB" w:rsidRPr="00A40F5E">
        <w:rPr>
          <w:rFonts w:ascii="Times New Roman" w:hAnsi="Times New Roman" w:cs="Times New Roman"/>
        </w:rPr>
        <w:t xml:space="preserve">Summer Saver </w:t>
      </w:r>
      <w:r w:rsidR="0015465A" w:rsidRPr="00A40F5E">
        <w:rPr>
          <w:rFonts w:ascii="Times New Roman" w:hAnsi="Times New Roman" w:cs="Times New Roman"/>
        </w:rPr>
        <w:t>Ex-</w:t>
      </w:r>
      <w:r w:rsidR="009F363F">
        <w:rPr>
          <w:rFonts w:ascii="Times New Roman" w:hAnsi="Times New Roman" w:cs="Times New Roman"/>
        </w:rPr>
        <w:t>A</w:t>
      </w:r>
      <w:r w:rsidR="0015465A" w:rsidRPr="00A40F5E">
        <w:rPr>
          <w:rFonts w:ascii="Times New Roman" w:hAnsi="Times New Roman" w:cs="Times New Roman"/>
        </w:rPr>
        <w:t>nte</w:t>
      </w:r>
      <w:r w:rsidRPr="00A40F5E">
        <w:rPr>
          <w:rFonts w:ascii="Times New Roman" w:hAnsi="Times New Roman" w:cs="Times New Roman"/>
        </w:rPr>
        <w:t xml:space="preserve"> </w:t>
      </w:r>
      <w:r w:rsidR="001F1158">
        <w:rPr>
          <w:rFonts w:ascii="Times New Roman" w:hAnsi="Times New Roman" w:cs="Times New Roman"/>
        </w:rPr>
        <w:t>Evaluation</w:t>
      </w:r>
      <w:r w:rsidRPr="00A40F5E">
        <w:rPr>
          <w:rFonts w:ascii="Times New Roman" w:hAnsi="Times New Roman" w:cs="Times New Roman"/>
        </w:rPr>
        <w:t xml:space="preserve"> Methodology</w:t>
      </w:r>
      <w:bookmarkEnd w:id="176"/>
      <w:bookmarkEnd w:id="177"/>
      <w:bookmarkEnd w:id="178"/>
      <w:bookmarkEnd w:id="179"/>
      <w:bookmarkEnd w:id="180"/>
    </w:p>
    <w:p w:rsidR="00547998" w:rsidRPr="00F8397C" w:rsidRDefault="00547998" w:rsidP="00547998">
      <w:pPr>
        <w:pStyle w:val="BodyBeforeBullet"/>
        <w:spacing w:after="0" w:line="276" w:lineRule="auto"/>
        <w:rPr>
          <w:rFonts w:ascii="Times New Roman" w:hAnsi="Times New Roman"/>
          <w:color w:val="000000" w:themeColor="text1"/>
          <w:sz w:val="24"/>
          <w:szCs w:val="24"/>
        </w:rPr>
      </w:pPr>
    </w:p>
    <w:p w:rsidR="00922933" w:rsidRPr="008227A8" w:rsidRDefault="00922933" w:rsidP="00922933">
      <w:pPr>
        <w:pStyle w:val="BodyParagraph"/>
        <w:spacing w:after="0" w:line="276" w:lineRule="auto"/>
        <w:ind w:firstLine="360"/>
        <w:rPr>
          <w:rFonts w:ascii="Times New Roman" w:hAnsi="Times New Roman"/>
          <w:color w:val="000000" w:themeColor="text1"/>
          <w:sz w:val="24"/>
          <w:szCs w:val="24"/>
        </w:rPr>
      </w:pPr>
      <w:bookmarkStart w:id="181" w:name="_Toc351990593"/>
      <w:bookmarkStart w:id="182" w:name="_Toc352084170"/>
      <w:r w:rsidRPr="008227A8">
        <w:rPr>
          <w:rFonts w:ascii="Times New Roman" w:hAnsi="Times New Roman"/>
          <w:color w:val="000000" w:themeColor="text1"/>
          <w:sz w:val="24"/>
          <w:szCs w:val="24"/>
        </w:rPr>
        <w:t>Calculating the ex ante load impacts is a multi-step process, but is driven by a straightforward approach to modeling load impacts as a function of weather. Briefly, load impacts from the 2015 plus the previous five years of Summer Saver events were modeled as a function of temperature and then applied to ex ante weather conditions to predict ex ante load impacts. This section presents a detailed description of the ex ante methodology.</w:t>
      </w:r>
    </w:p>
    <w:p w:rsidR="00C728E5" w:rsidRPr="008227A8" w:rsidRDefault="00C728E5" w:rsidP="00922933">
      <w:pPr>
        <w:pStyle w:val="BodyParagraph"/>
        <w:spacing w:after="0" w:line="276" w:lineRule="auto"/>
        <w:ind w:firstLine="360"/>
        <w:rPr>
          <w:rFonts w:ascii="Times New Roman" w:hAnsi="Times New Roman"/>
          <w:color w:val="000000" w:themeColor="text1"/>
          <w:sz w:val="24"/>
          <w:szCs w:val="24"/>
        </w:rPr>
      </w:pPr>
    </w:p>
    <w:p w:rsidR="00922933" w:rsidRPr="008227A8" w:rsidRDefault="00922933" w:rsidP="00922933">
      <w:pPr>
        <w:pStyle w:val="BodyParagraph"/>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 xml:space="preserve">Ex ante load impacts were developed by using the available ex post data. For both residential and nonresidential customers, load impacts for a common set of hours across all ex post events from 2010 through 2015 were used in the estimation database for developing the ex ante model. Only the hours from 3 to 5 PM were used for the analysis because these hours were common across the greatest number of ex post event days. Certain prior Summer Saver event days were not used in the ex ante regression analysis because of atypical circumstances surrounding the event. September 8 and 9, 2011 were excluded as they were associated with a regional system outage. August 10, 2012 and September 20, 2015 were excluded because those events only had one hour during the period 2 to 5 PM. The May 2014 events were excluded because of wildfires in the San Diego region in addition to unusually high temperatures, attributable to Santa Ana wind conditions, that were recorded during those events which were further coupled with unusually low load impacts. </w:t>
      </w:r>
    </w:p>
    <w:p w:rsidR="00C728E5" w:rsidRPr="008227A8" w:rsidRDefault="00C728E5" w:rsidP="00922933">
      <w:pPr>
        <w:pStyle w:val="BodyBeforeBullet"/>
        <w:spacing w:after="0" w:line="276" w:lineRule="auto"/>
        <w:ind w:firstLine="360"/>
        <w:rPr>
          <w:rFonts w:ascii="Times New Roman" w:hAnsi="Times New Roman"/>
          <w:color w:val="000000" w:themeColor="text1"/>
          <w:sz w:val="24"/>
          <w:szCs w:val="24"/>
        </w:rPr>
      </w:pPr>
    </w:p>
    <w:p w:rsidR="00922933" w:rsidRPr="008227A8" w:rsidRDefault="00922933" w:rsidP="00922933">
      <w:pPr>
        <w:pStyle w:val="BodyBeforeBullet"/>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The average load reduction from 3 to 5 PM was modeled as a function of the average temperature for the first 17 hours of each event day, midnight to 5 PM, (mean17). This 17-hour average was used to capture the impact of heat buildup leading up to and including the event hours. Per ton load impacts were used so that the load impacts would be scalable to ex ante scenarios where the tonnage and number of devices per premise may be different. The models were run separately by customer type (residential and nonresidential) and cycling strategy. The estimated parameters from the models were used to predict load impacts under 1-in-2 and 1-in-10 year ex ante weather conditions. The final regressions only included one explanatory variable because more complicated models were not found to perform better in cross-validations done in previous Summer Saver evaluations. The model that was used to predict average ex post impacts was:</w:t>
      </w:r>
    </w:p>
    <w:p w:rsidR="00922933" w:rsidRPr="007E7F38" w:rsidRDefault="0024252A" w:rsidP="00922933">
      <w:pPr>
        <w:pStyle w:val="BodyParagraph"/>
        <w:rPr>
          <w:sz w:val="24"/>
          <w:szCs w:val="24"/>
        </w:rPr>
      </w:pPr>
      <m:oMathPara>
        <m:oMath>
          <m:sSub>
            <m:sSubPr>
              <m:ctrlPr>
                <w:rPr>
                  <w:rFonts w:ascii="Cambria Math" w:hAnsi="Cambria Math" w:cs="Arial"/>
                  <w:sz w:val="24"/>
                  <w:szCs w:val="24"/>
                </w:rPr>
              </m:ctrlPr>
            </m:sSubPr>
            <m:e>
              <m:r>
                <w:rPr>
                  <w:rFonts w:ascii="Cambria Math" w:hAnsi="Cambria Math" w:cs="Arial"/>
                </w:rPr>
                <m:t>impact</m:t>
              </m:r>
            </m:e>
            <m:sub>
              <m:r>
                <w:rPr>
                  <w:rFonts w:ascii="Cambria Math" w:hAnsi="Cambria Math" w:cs="Arial"/>
                </w:rPr>
                <m:t>d</m:t>
              </m:r>
            </m:sub>
          </m:sSub>
          <m:r>
            <w:rPr>
              <w:rFonts w:ascii="Cambria Math" w:cs="Arial"/>
            </w:rPr>
            <m:t>=</m:t>
          </m:r>
          <m:sSub>
            <m:sSubPr>
              <m:ctrlPr>
                <w:rPr>
                  <w:rFonts w:ascii="Cambria Math" w:hAnsi="Cambria Math" w:cs="Arial"/>
                  <w:i/>
                </w:rPr>
              </m:ctrlPr>
            </m:sSubPr>
            <m:e>
              <m:r>
                <w:rPr>
                  <w:rFonts w:ascii="Cambria Math" w:hAnsi="Cambria Math" w:cs="Arial"/>
                </w:rPr>
                <m:t>b</m:t>
              </m:r>
            </m:e>
            <m:sub>
              <m:r>
                <w:rPr>
                  <w:rFonts w:ascii="Cambria Math" w:hAnsi="Cambria Math" w:cs="Arial"/>
                </w:rPr>
                <m:t>0</m:t>
              </m:r>
            </m:sub>
          </m:sSub>
          <m:r>
            <w:rPr>
              <w:rFonts w:ascii="Cambria Math" w:cs="Arial"/>
            </w:rPr>
            <m:t>+</m:t>
          </m:r>
          <m:sSub>
            <m:sSubPr>
              <m:ctrlPr>
                <w:rPr>
                  <w:rFonts w:ascii="Cambria Math" w:hAnsi="Cambria Math" w:cs="Arial"/>
                  <w:i/>
                </w:rPr>
              </m:ctrlPr>
            </m:sSubPr>
            <m:e>
              <m:r>
                <w:rPr>
                  <w:rFonts w:ascii="Cambria Math" w:cs="Arial"/>
                </w:rPr>
                <m:t>b</m:t>
              </m:r>
            </m:e>
            <m:sub>
              <m:r>
                <w:rPr>
                  <w:rFonts w:ascii="Cambria Math" w:cs="Arial"/>
                </w:rPr>
                <m:t>1</m:t>
              </m:r>
            </m:sub>
          </m:sSub>
          <m:sSub>
            <m:sSubPr>
              <m:ctrlPr>
                <w:rPr>
                  <w:rFonts w:ascii="Cambria Math" w:hAnsi="Cambria Math" w:cs="Arial"/>
                  <w:sz w:val="24"/>
                  <w:szCs w:val="24"/>
                </w:rPr>
              </m:ctrlPr>
            </m:sSubPr>
            <m:e>
              <m:r>
                <w:rPr>
                  <w:rFonts w:ascii="Cambria Math" w:hAnsi="Cambria Math" w:cs="Arial"/>
                </w:rPr>
                <m:t>∙</m:t>
              </m:r>
              <m:r>
                <w:rPr>
                  <w:rFonts w:ascii="Cambria Math" w:cs="Arial"/>
                </w:rPr>
                <m:t>mean17</m:t>
              </m:r>
            </m:e>
            <m:sub>
              <m:r>
                <m:rPr>
                  <m:sty m:val="p"/>
                </m:rPr>
                <w:rPr>
                  <w:rFonts w:ascii="Cambria Math" w:hAnsi="Cambria Math" w:cs="Arial"/>
                  <w:sz w:val="24"/>
                  <w:szCs w:val="24"/>
                </w:rPr>
                <m:t xml:space="preserve">d </m:t>
              </m:r>
            </m:sub>
          </m:sSub>
          <m:r>
            <m:rPr>
              <m:sty m:val="b"/>
            </m:rPr>
            <w:rPr>
              <w:rFonts w:ascii="Cambria Math" w:hAnsi="Cambria Math"/>
            </w:rPr>
            <m:t>+</m:t>
          </m:r>
          <m:sSub>
            <m:sSubPr>
              <m:ctrlPr>
                <w:rPr>
                  <w:rFonts w:ascii="Cambria Math" w:hAnsi="Cambria Math"/>
                  <w:sz w:val="24"/>
                  <w:szCs w:val="24"/>
                </w:rPr>
              </m:ctrlPr>
            </m:sSubPr>
            <m:e>
              <m:r>
                <m:rPr>
                  <m:sty m:val="p"/>
                </m:rPr>
                <w:rPr>
                  <w:rFonts w:ascii="Cambria Math" w:hAnsi="Cambria Math"/>
                </w:rPr>
                <m:t>ε</m:t>
              </m:r>
            </m:e>
            <m:sub>
              <m:r>
                <w:rPr>
                  <w:rFonts w:ascii="Cambria Math" w:hAnsi="Cambria Math"/>
                </w:rPr>
                <m:t>d</m:t>
              </m:r>
            </m:sub>
          </m:sSub>
        </m:oMath>
      </m:oMathPara>
    </w:p>
    <w:p w:rsidR="00C728E5" w:rsidRDefault="00C728E5">
      <w:pPr>
        <w:rPr>
          <w:b/>
          <w:sz w:val="22"/>
          <w:szCs w:val="22"/>
        </w:rPr>
      </w:pPr>
    </w:p>
    <w:p w:rsidR="00922933" w:rsidRPr="00922933" w:rsidRDefault="00922933" w:rsidP="00922933">
      <w:pPr>
        <w:pStyle w:val="TableFigureCaption"/>
        <w:rPr>
          <w:rFonts w:ascii="Times New Roman" w:hAnsi="Times New Roman"/>
        </w:rPr>
      </w:pPr>
      <w:r w:rsidRPr="00922933">
        <w:rPr>
          <w:rFonts w:ascii="Times New Roman" w:hAnsi="Times New Roman"/>
        </w:rPr>
        <w:t xml:space="preserve">Table </w:t>
      </w:r>
      <w:r>
        <w:rPr>
          <w:rFonts w:ascii="Times New Roman" w:hAnsi="Times New Roman"/>
        </w:rPr>
        <w:t>6</w:t>
      </w:r>
      <w:r w:rsidRPr="00922933">
        <w:rPr>
          <w:rFonts w:ascii="Times New Roman" w:hAnsi="Times New Roman"/>
        </w:rPr>
        <w:noBreakHyphen/>
      </w:r>
      <w:r>
        <w:rPr>
          <w:rFonts w:ascii="Times New Roman" w:hAnsi="Times New Roman"/>
        </w:rPr>
        <w:t>4</w:t>
      </w:r>
      <w:r w:rsidRPr="00922933">
        <w:rPr>
          <w:rFonts w:ascii="Times New Roman" w:hAnsi="Times New Roman"/>
        </w:rPr>
        <w:t>: Ex Ante Regression Variables</w:t>
      </w:r>
    </w:p>
    <w:tbl>
      <w:tblPr>
        <w:tblW w:w="47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
        <w:gridCol w:w="8104"/>
      </w:tblGrid>
      <w:tr w:rsidR="00922933" w:rsidRPr="007E7F38" w:rsidTr="00922933">
        <w:trPr>
          <w:trHeight w:val="276"/>
          <w:tblHeader/>
          <w:jc w:val="center"/>
        </w:trPr>
        <w:tc>
          <w:tcPr>
            <w:tcW w:w="565" w:type="pct"/>
            <w:tcBorders>
              <w:top w:val="single" w:sz="4" w:space="0" w:color="auto"/>
              <w:left w:val="single" w:sz="4" w:space="0" w:color="auto"/>
              <w:bottom w:val="single" w:sz="4" w:space="0" w:color="auto"/>
              <w:right w:val="single" w:sz="8" w:space="0" w:color="FFFFFF"/>
            </w:tcBorders>
            <w:shd w:val="clear" w:color="auto" w:fill="002060"/>
            <w:hideMark/>
          </w:tcPr>
          <w:p w:rsidR="00922933" w:rsidRPr="007E7F38" w:rsidRDefault="00922933" w:rsidP="00922933">
            <w:pPr>
              <w:pStyle w:val="TableHeader"/>
              <w:rPr>
                <w:rFonts w:asciiTheme="minorHAnsi" w:hAnsiTheme="minorHAnsi"/>
              </w:rPr>
            </w:pPr>
            <w:r w:rsidRPr="007E7F38">
              <w:rPr>
                <w:rFonts w:asciiTheme="minorHAnsi" w:hAnsiTheme="minorHAnsi"/>
              </w:rPr>
              <w:t>Variable</w:t>
            </w:r>
          </w:p>
        </w:tc>
        <w:tc>
          <w:tcPr>
            <w:tcW w:w="4435" w:type="pct"/>
            <w:tcBorders>
              <w:top w:val="single" w:sz="4" w:space="0" w:color="auto"/>
              <w:left w:val="single" w:sz="8" w:space="0" w:color="FFFFFF"/>
              <w:bottom w:val="single" w:sz="4" w:space="0" w:color="auto"/>
              <w:right w:val="single" w:sz="4" w:space="0" w:color="auto"/>
            </w:tcBorders>
            <w:shd w:val="clear" w:color="auto" w:fill="002060"/>
            <w:hideMark/>
          </w:tcPr>
          <w:p w:rsidR="00922933" w:rsidRPr="007E7F38" w:rsidRDefault="00922933" w:rsidP="00922933">
            <w:pPr>
              <w:pStyle w:val="TableHeader"/>
              <w:rPr>
                <w:rFonts w:asciiTheme="minorHAnsi" w:hAnsiTheme="minorHAnsi"/>
              </w:rPr>
            </w:pPr>
            <w:r w:rsidRPr="007E7F38">
              <w:rPr>
                <w:rFonts w:asciiTheme="minorHAnsi" w:hAnsiTheme="minorHAnsi"/>
              </w:rPr>
              <w:t>Description</w:t>
            </w:r>
          </w:p>
        </w:tc>
      </w:tr>
      <w:tr w:rsidR="00922933" w:rsidRPr="007E7F38" w:rsidTr="00922933">
        <w:trPr>
          <w:trHeight w:val="276"/>
          <w:jc w:val="center"/>
        </w:trPr>
        <w:tc>
          <w:tcPr>
            <w:tcW w:w="56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22933" w:rsidRPr="00922933" w:rsidRDefault="00922933" w:rsidP="00922933">
            <w:pPr>
              <w:pStyle w:val="TableText"/>
              <w:rPr>
                <w:rFonts w:ascii="Times New Roman" w:hAnsi="Times New Roman"/>
                <w:i/>
                <w:sz w:val="20"/>
                <w:szCs w:val="20"/>
              </w:rPr>
            </w:pPr>
            <w:r w:rsidRPr="00922933">
              <w:rPr>
                <w:rFonts w:ascii="Times New Roman" w:hAnsi="Times New Roman"/>
                <w:i/>
                <w:sz w:val="20"/>
                <w:szCs w:val="20"/>
              </w:rPr>
              <w:t>Impact</w:t>
            </w:r>
            <w:r w:rsidRPr="00922933">
              <w:rPr>
                <w:rFonts w:ascii="Times New Roman" w:hAnsi="Times New Roman"/>
                <w:i/>
                <w:sz w:val="20"/>
                <w:szCs w:val="20"/>
                <w:vertAlign w:val="subscript"/>
              </w:rPr>
              <w:t>d</w:t>
            </w:r>
          </w:p>
        </w:tc>
        <w:tc>
          <w:tcPr>
            <w:tcW w:w="4435" w:type="pct"/>
            <w:tcBorders>
              <w:top w:val="single" w:sz="4" w:space="0" w:color="auto"/>
              <w:left w:val="single" w:sz="4" w:space="0" w:color="auto"/>
              <w:bottom w:val="single" w:sz="4" w:space="0" w:color="auto"/>
              <w:right w:val="single" w:sz="4" w:space="0" w:color="auto"/>
            </w:tcBorders>
            <w:shd w:val="clear" w:color="auto" w:fill="FFFFFF"/>
            <w:hideMark/>
          </w:tcPr>
          <w:p w:rsidR="00922933" w:rsidRPr="00922933" w:rsidRDefault="00922933" w:rsidP="00922933">
            <w:pPr>
              <w:pStyle w:val="TableText"/>
              <w:rPr>
                <w:rFonts w:ascii="Times New Roman" w:hAnsi="Times New Roman"/>
                <w:sz w:val="20"/>
                <w:szCs w:val="20"/>
              </w:rPr>
            </w:pPr>
            <w:r w:rsidRPr="00922933">
              <w:rPr>
                <w:rFonts w:ascii="Times New Roman" w:hAnsi="Times New Roman"/>
                <w:sz w:val="20"/>
                <w:szCs w:val="20"/>
              </w:rPr>
              <w:t>Average per ton ex post load impact for each event day from 2 to 5 PM</w:t>
            </w:r>
          </w:p>
        </w:tc>
      </w:tr>
      <w:tr w:rsidR="00922933" w:rsidRPr="007E7F38" w:rsidTr="00922933">
        <w:trPr>
          <w:trHeight w:val="276"/>
          <w:jc w:val="center"/>
        </w:trPr>
        <w:tc>
          <w:tcPr>
            <w:tcW w:w="56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922933" w:rsidRPr="00922933" w:rsidRDefault="0024252A" w:rsidP="00922933">
            <w:pPr>
              <w:pStyle w:val="TableText"/>
              <w:rPr>
                <w:rFonts w:ascii="Times New Roman" w:hAnsi="Times New Roman"/>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0</m:t>
                    </m:r>
                  </m:sub>
                </m:sSub>
              </m:oMath>
            </m:oMathPara>
          </w:p>
        </w:tc>
        <w:tc>
          <w:tcPr>
            <w:tcW w:w="4435" w:type="pct"/>
            <w:tcBorders>
              <w:top w:val="single" w:sz="4" w:space="0" w:color="auto"/>
              <w:left w:val="single" w:sz="4" w:space="0" w:color="auto"/>
              <w:bottom w:val="single" w:sz="4" w:space="0" w:color="auto"/>
              <w:right w:val="single" w:sz="4" w:space="0" w:color="auto"/>
            </w:tcBorders>
            <w:shd w:val="clear" w:color="auto" w:fill="FFFFFF"/>
            <w:hideMark/>
          </w:tcPr>
          <w:p w:rsidR="00922933" w:rsidRPr="00922933" w:rsidRDefault="00922933" w:rsidP="00922933">
            <w:pPr>
              <w:pStyle w:val="TableText"/>
              <w:rPr>
                <w:rFonts w:ascii="Times New Roman" w:hAnsi="Times New Roman"/>
                <w:sz w:val="20"/>
                <w:szCs w:val="20"/>
              </w:rPr>
            </w:pPr>
            <w:r w:rsidRPr="00922933">
              <w:rPr>
                <w:rFonts w:ascii="Times New Roman" w:hAnsi="Times New Roman"/>
                <w:sz w:val="20"/>
                <w:szCs w:val="20"/>
              </w:rPr>
              <w:t>Estimated constant</w:t>
            </w:r>
          </w:p>
        </w:tc>
      </w:tr>
      <w:tr w:rsidR="00922933" w:rsidRPr="007E7F38" w:rsidTr="00922933">
        <w:trPr>
          <w:trHeight w:val="276"/>
          <w:jc w:val="center"/>
        </w:trPr>
        <w:tc>
          <w:tcPr>
            <w:tcW w:w="565" w:type="pct"/>
            <w:tcBorders>
              <w:top w:val="single" w:sz="4" w:space="0" w:color="auto"/>
              <w:left w:val="single" w:sz="4" w:space="0" w:color="auto"/>
              <w:bottom w:val="single" w:sz="4" w:space="0" w:color="auto"/>
              <w:right w:val="single" w:sz="4" w:space="0" w:color="auto"/>
            </w:tcBorders>
            <w:vAlign w:val="center"/>
            <w:hideMark/>
          </w:tcPr>
          <w:p w:rsidR="00922933" w:rsidRPr="00922933" w:rsidRDefault="0024252A" w:rsidP="00922933">
            <w:pPr>
              <w:pStyle w:val="TableText"/>
              <w:rPr>
                <w:rFonts w:ascii="Times New Roman" w:hAnsi="Times New Roman"/>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b</m:t>
                    </m:r>
                  </m:e>
                  <m:sub>
                    <m:r>
                      <w:rPr>
                        <w:rFonts w:ascii="Cambria Math" w:hAnsi="Cambria Math"/>
                        <w:sz w:val="20"/>
                        <w:szCs w:val="20"/>
                      </w:rPr>
                      <m:t>1</m:t>
                    </m:r>
                  </m:sub>
                </m:sSub>
              </m:oMath>
            </m:oMathPara>
          </w:p>
        </w:tc>
        <w:tc>
          <w:tcPr>
            <w:tcW w:w="4435" w:type="pct"/>
            <w:tcBorders>
              <w:top w:val="single" w:sz="4" w:space="0" w:color="auto"/>
              <w:left w:val="single" w:sz="4" w:space="0" w:color="auto"/>
              <w:bottom w:val="single" w:sz="4" w:space="0" w:color="auto"/>
              <w:right w:val="single" w:sz="4" w:space="0" w:color="auto"/>
            </w:tcBorders>
            <w:hideMark/>
          </w:tcPr>
          <w:p w:rsidR="00922933" w:rsidRPr="00922933" w:rsidRDefault="00922933" w:rsidP="00922933">
            <w:pPr>
              <w:pStyle w:val="TableText"/>
              <w:rPr>
                <w:rFonts w:ascii="Times New Roman" w:hAnsi="Times New Roman"/>
                <w:sz w:val="20"/>
                <w:szCs w:val="20"/>
              </w:rPr>
            </w:pPr>
            <w:r w:rsidRPr="00922933">
              <w:rPr>
                <w:rFonts w:ascii="Times New Roman" w:hAnsi="Times New Roman"/>
                <w:sz w:val="20"/>
                <w:szCs w:val="20"/>
              </w:rPr>
              <w:t>Estimated parameter coefficient</w:t>
            </w:r>
          </w:p>
        </w:tc>
      </w:tr>
      <w:tr w:rsidR="00922933" w:rsidRPr="007E7F38" w:rsidTr="00922933">
        <w:trPr>
          <w:trHeight w:val="276"/>
          <w:jc w:val="center"/>
        </w:trPr>
        <w:tc>
          <w:tcPr>
            <w:tcW w:w="565" w:type="pct"/>
            <w:tcBorders>
              <w:top w:val="single" w:sz="4" w:space="0" w:color="auto"/>
              <w:left w:val="single" w:sz="4" w:space="0" w:color="auto"/>
              <w:bottom w:val="single" w:sz="4" w:space="0" w:color="auto"/>
              <w:right w:val="single" w:sz="4" w:space="0" w:color="auto"/>
            </w:tcBorders>
            <w:vAlign w:val="center"/>
            <w:hideMark/>
          </w:tcPr>
          <w:p w:rsidR="00922933" w:rsidRPr="00922933" w:rsidRDefault="0024252A" w:rsidP="00922933">
            <w:pPr>
              <w:pStyle w:val="TableText"/>
              <w:rPr>
                <w:rFonts w:ascii="Times New Roman" w:hAnsi="Times New Roman"/>
                <w:i/>
                <w:sz w:val="20"/>
                <w:szCs w:val="20"/>
              </w:rPr>
            </w:pPr>
            <m:oMathPara>
              <m:oMathParaPr>
                <m:jc m:val="left"/>
              </m:oMathParaPr>
              <m:oMath>
                <m:sSub>
                  <m:sSubPr>
                    <m:ctrlPr>
                      <w:rPr>
                        <w:rFonts w:ascii="Cambria Math" w:hAnsi="Cambria Math"/>
                        <w:i/>
                        <w:sz w:val="20"/>
                        <w:szCs w:val="20"/>
                      </w:rPr>
                    </m:ctrlPr>
                  </m:sSubPr>
                  <m:e>
                    <m:r>
                      <w:rPr>
                        <w:rFonts w:ascii="Cambria Math" w:hAnsi="Cambria Math"/>
                        <w:sz w:val="20"/>
                        <w:szCs w:val="20"/>
                      </w:rPr>
                      <m:t>mean17</m:t>
                    </m:r>
                  </m:e>
                  <m:sub>
                    <m:r>
                      <w:rPr>
                        <w:rFonts w:ascii="Cambria Math" w:hAnsi="Cambria Math"/>
                        <w:sz w:val="20"/>
                        <w:szCs w:val="20"/>
                      </w:rPr>
                      <m:t>d</m:t>
                    </m:r>
                  </m:sub>
                </m:sSub>
              </m:oMath>
            </m:oMathPara>
          </w:p>
        </w:tc>
        <w:tc>
          <w:tcPr>
            <w:tcW w:w="4435" w:type="pct"/>
            <w:tcBorders>
              <w:top w:val="single" w:sz="4" w:space="0" w:color="auto"/>
              <w:left w:val="single" w:sz="4" w:space="0" w:color="auto"/>
              <w:bottom w:val="single" w:sz="4" w:space="0" w:color="auto"/>
              <w:right w:val="single" w:sz="4" w:space="0" w:color="auto"/>
            </w:tcBorders>
            <w:hideMark/>
          </w:tcPr>
          <w:p w:rsidR="00922933" w:rsidRPr="00922933" w:rsidRDefault="00922933" w:rsidP="00922933">
            <w:pPr>
              <w:pStyle w:val="TableText"/>
              <w:rPr>
                <w:rFonts w:ascii="Times New Roman" w:hAnsi="Times New Roman"/>
                <w:sz w:val="20"/>
                <w:szCs w:val="20"/>
              </w:rPr>
            </w:pPr>
            <w:r w:rsidRPr="00922933">
              <w:rPr>
                <w:rFonts w:ascii="Times New Roman" w:hAnsi="Times New Roman"/>
                <w:sz w:val="20"/>
                <w:szCs w:val="20"/>
              </w:rPr>
              <w:t>Average temperature over the 17 hours prior to the start of the event for each event day</w:t>
            </w:r>
          </w:p>
        </w:tc>
      </w:tr>
      <w:tr w:rsidR="00922933" w:rsidRPr="007E7F38" w:rsidTr="00922933">
        <w:trPr>
          <w:trHeight w:val="278"/>
          <w:jc w:val="center"/>
        </w:trPr>
        <w:tc>
          <w:tcPr>
            <w:tcW w:w="565" w:type="pct"/>
            <w:tcBorders>
              <w:top w:val="single" w:sz="4" w:space="0" w:color="auto"/>
              <w:left w:val="single" w:sz="4" w:space="0" w:color="auto"/>
              <w:bottom w:val="single" w:sz="4" w:space="0" w:color="auto"/>
              <w:right w:val="single" w:sz="4" w:space="0" w:color="auto"/>
            </w:tcBorders>
            <w:vAlign w:val="center"/>
            <w:hideMark/>
          </w:tcPr>
          <w:p w:rsidR="00922933" w:rsidRPr="00922933" w:rsidRDefault="0024252A" w:rsidP="00922933">
            <w:pPr>
              <w:pStyle w:val="TableText"/>
              <w:rPr>
                <w:rFonts w:ascii="Times New Roman" w:hAnsi="Times New Roman"/>
                <w:sz w:val="20"/>
                <w:szCs w:val="20"/>
              </w:rPr>
            </w:pPr>
            <m:oMathPara>
              <m:oMathParaPr>
                <m:jc m:val="left"/>
              </m:oMathParaPr>
              <m:oMath>
                <m:sSub>
                  <m:sSubPr>
                    <m:ctrlPr>
                      <w:rPr>
                        <w:rFonts w:ascii="Cambria Math" w:hAnsi="Cambria Math"/>
                        <w:sz w:val="20"/>
                        <w:szCs w:val="20"/>
                      </w:rPr>
                    </m:ctrlPr>
                  </m:sSubPr>
                  <m:e>
                    <m:r>
                      <m:rPr>
                        <m:sty m:val="p"/>
                      </m:rPr>
                      <w:rPr>
                        <w:rFonts w:ascii="Cambria Math" w:hAnsi="Cambria Math"/>
                        <w:sz w:val="20"/>
                        <w:szCs w:val="20"/>
                      </w:rPr>
                      <m:t>ε</m:t>
                    </m:r>
                  </m:e>
                  <m:sub>
                    <m:r>
                      <w:rPr>
                        <w:rFonts w:ascii="Cambria Math" w:hAnsi="Cambria Math"/>
                        <w:sz w:val="20"/>
                        <w:szCs w:val="20"/>
                      </w:rPr>
                      <m:t>d</m:t>
                    </m:r>
                  </m:sub>
                </m:sSub>
              </m:oMath>
            </m:oMathPara>
          </w:p>
        </w:tc>
        <w:tc>
          <w:tcPr>
            <w:tcW w:w="4435" w:type="pct"/>
            <w:tcBorders>
              <w:top w:val="single" w:sz="4" w:space="0" w:color="auto"/>
              <w:left w:val="single" w:sz="4" w:space="0" w:color="auto"/>
              <w:bottom w:val="single" w:sz="4" w:space="0" w:color="auto"/>
              <w:right w:val="single" w:sz="4" w:space="0" w:color="auto"/>
            </w:tcBorders>
            <w:hideMark/>
          </w:tcPr>
          <w:p w:rsidR="00922933" w:rsidRPr="00922933" w:rsidRDefault="00922933" w:rsidP="00922933">
            <w:pPr>
              <w:pStyle w:val="TableText"/>
              <w:rPr>
                <w:rFonts w:ascii="Times New Roman" w:hAnsi="Times New Roman"/>
                <w:sz w:val="20"/>
                <w:szCs w:val="20"/>
              </w:rPr>
            </w:pPr>
            <w:r w:rsidRPr="00922933">
              <w:rPr>
                <w:rFonts w:ascii="Times New Roman" w:hAnsi="Times New Roman"/>
                <w:sz w:val="20"/>
                <w:szCs w:val="20"/>
              </w:rPr>
              <w:t xml:space="preserve">The error term for each day </w:t>
            </w:r>
            <w:r w:rsidRPr="00922933">
              <w:rPr>
                <w:rFonts w:ascii="Times New Roman" w:hAnsi="Times New Roman"/>
                <w:i/>
                <w:sz w:val="20"/>
                <w:szCs w:val="20"/>
              </w:rPr>
              <w:t>d</w:t>
            </w:r>
          </w:p>
        </w:tc>
      </w:tr>
    </w:tbl>
    <w:p w:rsidR="00C728E5" w:rsidRDefault="00C728E5" w:rsidP="00922933">
      <w:pPr>
        <w:pStyle w:val="BodyParaAfterTableFigure"/>
        <w:spacing w:before="0" w:after="0" w:line="276" w:lineRule="auto"/>
        <w:ind w:firstLine="360"/>
        <w:rPr>
          <w:rFonts w:ascii="Times New Roman" w:hAnsi="Times New Roman"/>
          <w:color w:val="0000CC"/>
          <w:sz w:val="24"/>
          <w:szCs w:val="24"/>
        </w:rPr>
      </w:pPr>
    </w:p>
    <w:p w:rsidR="008A2B5D" w:rsidRDefault="00922933" w:rsidP="008A2B5D">
      <w:pPr>
        <w:pStyle w:val="BodyParaAfterTableFigure"/>
        <w:spacing w:before="0"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 xml:space="preserve">After the ex ante impacts have been estimated for the 3 to 5 PM period, the next step is to predict impacts for the additional hours covered by the CPUC resource adequacy window from 1 to 6 PM. </w:t>
      </w:r>
    </w:p>
    <w:p w:rsidR="00922933" w:rsidRPr="008227A8" w:rsidRDefault="008A2B5D" w:rsidP="008A2B5D">
      <w:pPr>
        <w:pStyle w:val="BodyParaAfterTableFigure"/>
        <w:spacing w:before="0" w:after="0" w:line="276" w:lineRule="auto"/>
        <w:ind w:firstLine="360"/>
        <w:rPr>
          <w:rFonts w:ascii="Times New Roman" w:hAnsi="Times New Roman"/>
          <w:color w:val="000000" w:themeColor="text1"/>
          <w:sz w:val="24"/>
          <w:szCs w:val="24"/>
        </w:rPr>
      </w:pPr>
      <w:r>
        <w:rPr>
          <w:rFonts w:ascii="Times New Roman" w:hAnsi="Times New Roman"/>
          <w:color w:val="000000" w:themeColor="text1"/>
          <w:sz w:val="24"/>
          <w:szCs w:val="24"/>
        </w:rPr>
        <w:t xml:space="preserve">The </w:t>
      </w:r>
      <w:r w:rsidR="00922933" w:rsidRPr="008227A8">
        <w:rPr>
          <w:rFonts w:ascii="Times New Roman" w:hAnsi="Times New Roman"/>
          <w:color w:val="000000" w:themeColor="text1"/>
          <w:sz w:val="24"/>
          <w:szCs w:val="24"/>
        </w:rPr>
        <w:t>average ex ante load impacts were estimated directly based on ex post impacts. However, the CPUC Load Impact Protocols require that ex ante reference loads also be estimated even though they may not always be necessary for load impact estimation, as is true here. To meet this requirement, reference loads were estimated in a manner similar to the approach used for ex ante impact estimation. Models for estimating reference loads were estimated separately by customer type and cycling strategy. The following steps were used:</w:t>
      </w:r>
    </w:p>
    <w:p w:rsidR="00922933" w:rsidRPr="008227A8" w:rsidRDefault="00922933" w:rsidP="00922933">
      <w:pPr>
        <w:pStyle w:val="Bullets"/>
        <w:spacing w:after="0" w:line="276" w:lineRule="auto"/>
        <w:ind w:left="0" w:firstLine="36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Average control group usage during the 3 to 5 PM time period on 2011–2015</w:t>
      </w:r>
      <w:r w:rsidRPr="008227A8">
        <w:rPr>
          <w:rStyle w:val="FootnoteReference"/>
          <w:rFonts w:ascii="Times New Roman" w:hAnsi="Times New Roman"/>
          <w:color w:val="000000" w:themeColor="text1"/>
          <w:sz w:val="24"/>
          <w:szCs w:val="24"/>
        </w:rPr>
        <w:footnoteReference w:id="18"/>
      </w:r>
      <w:r w:rsidRPr="008227A8">
        <w:rPr>
          <w:rFonts w:ascii="Times New Roman" w:hAnsi="Times New Roman" w:cs="Times New Roman"/>
          <w:color w:val="000000" w:themeColor="text1"/>
          <w:sz w:val="24"/>
          <w:szCs w:val="24"/>
        </w:rPr>
        <w:t xml:space="preserve"> event days was modeled as a function of mean17;</w:t>
      </w:r>
    </w:p>
    <w:p w:rsidR="00922933" w:rsidRPr="008227A8" w:rsidRDefault="00922933" w:rsidP="00922933">
      <w:pPr>
        <w:pStyle w:val="Bullets"/>
        <w:spacing w:after="0" w:line="276" w:lineRule="auto"/>
        <w:ind w:left="0" w:firstLine="36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The parameters from this regression were used to predict average usage from 3 to 5 PM under ex ante weather conditions;</w:t>
      </w:r>
    </w:p>
    <w:p w:rsidR="00922933" w:rsidRPr="008227A8" w:rsidRDefault="00922933" w:rsidP="00922933">
      <w:pPr>
        <w:pStyle w:val="Bullets"/>
        <w:spacing w:after="0" w:line="276" w:lineRule="auto"/>
        <w:ind w:left="0" w:firstLine="36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A ratio between each ex ante prediction and average 2014 control group usage from 2 to 5 PM across all days was calculated; and</w:t>
      </w:r>
    </w:p>
    <w:p w:rsidR="00922933" w:rsidRPr="008227A8" w:rsidRDefault="00922933" w:rsidP="00922933">
      <w:pPr>
        <w:pStyle w:val="BulletLast"/>
        <w:spacing w:after="0" w:line="276" w:lineRule="auto"/>
        <w:ind w:left="0" w:firstLine="360"/>
        <w:rPr>
          <w:rFonts w:ascii="Times New Roman" w:hAnsi="Times New Roman" w:cs="Times New Roman"/>
          <w:color w:val="000000" w:themeColor="text1"/>
          <w:sz w:val="24"/>
          <w:szCs w:val="24"/>
        </w:rPr>
      </w:pPr>
      <w:r w:rsidRPr="008227A8">
        <w:rPr>
          <w:rFonts w:ascii="Times New Roman" w:hAnsi="Times New Roman" w:cs="Times New Roman"/>
          <w:color w:val="000000" w:themeColor="text1"/>
          <w:sz w:val="24"/>
          <w:szCs w:val="24"/>
        </w:rPr>
        <w:t>Average control group load profiles for the entire average event day 2011–2015 were adjusted by the ratio specific to each set of ex ante weather conditions to produce the final ex ante reference loads.</w:t>
      </w:r>
    </w:p>
    <w:p w:rsidR="006B51D2" w:rsidRPr="008227A8" w:rsidRDefault="006B51D2" w:rsidP="00B11D5B">
      <w:pPr>
        <w:pStyle w:val="Heading2"/>
        <w:spacing w:after="0" w:line="276" w:lineRule="auto"/>
        <w:rPr>
          <w:rFonts w:ascii="Times New Roman" w:hAnsi="Times New Roman" w:cs="Times New Roman"/>
          <w:color w:val="000000" w:themeColor="text1"/>
          <w:szCs w:val="24"/>
        </w:rPr>
      </w:pPr>
      <w:bookmarkStart w:id="183" w:name="_Toc447179810"/>
      <w:r w:rsidRPr="008227A8">
        <w:rPr>
          <w:rFonts w:ascii="Times New Roman" w:hAnsi="Times New Roman" w:cs="Times New Roman"/>
          <w:color w:val="000000" w:themeColor="text1"/>
          <w:szCs w:val="24"/>
        </w:rPr>
        <w:t xml:space="preserve">Summer Saver </w:t>
      </w:r>
      <w:r w:rsidR="0015465A" w:rsidRPr="008227A8">
        <w:rPr>
          <w:rFonts w:ascii="Times New Roman" w:hAnsi="Times New Roman" w:cs="Times New Roman"/>
          <w:color w:val="000000" w:themeColor="text1"/>
          <w:szCs w:val="24"/>
        </w:rPr>
        <w:t>Ex-</w:t>
      </w:r>
      <w:r w:rsidR="000C4806" w:rsidRPr="008227A8">
        <w:rPr>
          <w:rFonts w:ascii="Times New Roman" w:hAnsi="Times New Roman" w:cs="Times New Roman"/>
          <w:color w:val="000000" w:themeColor="text1"/>
          <w:szCs w:val="24"/>
        </w:rPr>
        <w:t>A</w:t>
      </w:r>
      <w:r w:rsidR="0015465A" w:rsidRPr="008227A8">
        <w:rPr>
          <w:rFonts w:ascii="Times New Roman" w:hAnsi="Times New Roman" w:cs="Times New Roman"/>
          <w:color w:val="000000" w:themeColor="text1"/>
          <w:szCs w:val="24"/>
        </w:rPr>
        <w:t>nte</w:t>
      </w:r>
      <w:r w:rsidRPr="008227A8">
        <w:rPr>
          <w:rFonts w:ascii="Times New Roman" w:hAnsi="Times New Roman" w:cs="Times New Roman"/>
          <w:color w:val="000000" w:themeColor="text1"/>
          <w:szCs w:val="24"/>
        </w:rPr>
        <w:t xml:space="preserve"> Load Impact Estimates</w:t>
      </w:r>
      <w:bookmarkEnd w:id="181"/>
      <w:bookmarkEnd w:id="182"/>
      <w:bookmarkEnd w:id="183"/>
    </w:p>
    <w:p w:rsidR="00112848" w:rsidRPr="008227A8" w:rsidRDefault="00112848" w:rsidP="00B11D5B">
      <w:pPr>
        <w:pStyle w:val="BodyParagraph"/>
        <w:spacing w:after="0" w:line="276" w:lineRule="auto"/>
        <w:ind w:firstLine="360"/>
        <w:rPr>
          <w:rFonts w:ascii="Times New Roman" w:hAnsi="Times New Roman"/>
          <w:color w:val="000000" w:themeColor="text1"/>
          <w:sz w:val="24"/>
          <w:szCs w:val="24"/>
        </w:rPr>
      </w:pPr>
    </w:p>
    <w:p w:rsidR="00B52715" w:rsidRPr="008227A8" w:rsidRDefault="00B52715" w:rsidP="00B52715">
      <w:pPr>
        <w:pStyle w:val="BodyParagraph"/>
        <w:spacing w:after="0" w:line="276" w:lineRule="auto"/>
        <w:ind w:firstLine="360"/>
        <w:rPr>
          <w:rFonts w:ascii="Times New Roman" w:eastAsia="Calibri" w:hAnsi="Times New Roman"/>
          <w:color w:val="000000" w:themeColor="text1"/>
          <w:sz w:val="24"/>
          <w:szCs w:val="24"/>
        </w:rPr>
      </w:pPr>
      <w:r w:rsidRPr="008227A8">
        <w:rPr>
          <w:rFonts w:ascii="Times New Roman" w:eastAsia="Calibri" w:hAnsi="Times New Roman"/>
          <w:color w:val="000000" w:themeColor="text1"/>
          <w:sz w:val="24"/>
          <w:szCs w:val="24"/>
        </w:rPr>
        <w:t>The model described in the previous section was used to estimate load impacts based on ex ante event weather conditions and enrollment projections for the years 2016</w:t>
      </w:r>
      <w:r w:rsidRPr="008227A8">
        <w:rPr>
          <w:rFonts w:ascii="Times New Roman" w:hAnsi="Times New Roman"/>
          <w:color w:val="000000" w:themeColor="text1"/>
          <w:sz w:val="24"/>
          <w:szCs w:val="24"/>
        </w:rPr>
        <w:t>–</w:t>
      </w:r>
      <w:r w:rsidRPr="008227A8">
        <w:rPr>
          <w:rFonts w:ascii="Times New Roman" w:eastAsia="Calibri" w:hAnsi="Times New Roman"/>
          <w:color w:val="000000" w:themeColor="text1"/>
          <w:sz w:val="24"/>
          <w:szCs w:val="24"/>
        </w:rPr>
        <w:t>202</w:t>
      </w:r>
      <w:r w:rsidRPr="008227A8">
        <w:rPr>
          <w:rFonts w:ascii="Times New Roman" w:hAnsi="Times New Roman"/>
          <w:color w:val="000000" w:themeColor="text1"/>
          <w:sz w:val="24"/>
          <w:szCs w:val="24"/>
        </w:rPr>
        <w:t>6</w:t>
      </w:r>
      <w:r w:rsidRPr="008227A8">
        <w:rPr>
          <w:rFonts w:ascii="Times New Roman" w:eastAsia="Calibri" w:hAnsi="Times New Roman"/>
          <w:color w:val="000000" w:themeColor="text1"/>
          <w:sz w:val="24"/>
          <w:szCs w:val="24"/>
        </w:rPr>
        <w:t xml:space="preserve">. Enrollment in the Summer Saver program is not expected to change over the forecast horizon so the tables in this section represent predictions for each of the 11 years from 2016 to 2026, under the assumption that the program would continue to be operated as it is currently throughout that period of time. </w:t>
      </w:r>
    </w:p>
    <w:p w:rsidR="00C728E5" w:rsidRPr="008227A8" w:rsidRDefault="00C728E5" w:rsidP="00B52715">
      <w:pPr>
        <w:pStyle w:val="BodyParagraph"/>
        <w:spacing w:after="0" w:line="276" w:lineRule="auto"/>
        <w:ind w:firstLine="360"/>
        <w:rPr>
          <w:rFonts w:ascii="Times New Roman" w:hAnsi="Times New Roman"/>
          <w:color w:val="000000" w:themeColor="text1"/>
          <w:sz w:val="24"/>
          <w:szCs w:val="24"/>
        </w:rPr>
      </w:pPr>
    </w:p>
    <w:p w:rsidR="00B52715" w:rsidRPr="008227A8" w:rsidRDefault="00B52715" w:rsidP="00B52715">
      <w:pPr>
        <w:pStyle w:val="BodyParagraph"/>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 xml:space="preserve">September ex ante conditions are much hotter than typical event day conditions. The residential program is estimated to provide an average impact of 14.6 MW over the 5-hour event window from 1 to 6 PM on a 1-in-10 September monthly system peak day and 11.1 MW on the September monthly system peak day under 1-in-2 year weather conditions for SDG&amp;E-specific </w:t>
      </w:r>
      <w:r w:rsidRPr="008227A8">
        <w:rPr>
          <w:rFonts w:ascii="Times New Roman" w:hAnsi="Times New Roman"/>
          <w:color w:val="000000" w:themeColor="text1"/>
          <w:sz w:val="24"/>
          <w:szCs w:val="24"/>
        </w:rPr>
        <w:lastRenderedPageBreak/>
        <w:t xml:space="preserve">peaking conditions. Under CAISO peak conditions, residential aggregate load reduction on a September monthly system peak day is 11.9 MW for 1-in-2 and 14.7 MW for 1-in-10. </w:t>
      </w:r>
    </w:p>
    <w:p w:rsidR="00C728E5" w:rsidRPr="008227A8" w:rsidRDefault="00C728E5" w:rsidP="00B52715">
      <w:pPr>
        <w:pStyle w:val="BodyParagraph"/>
        <w:spacing w:after="0" w:line="276" w:lineRule="auto"/>
        <w:ind w:firstLine="360"/>
        <w:rPr>
          <w:rFonts w:ascii="Times New Roman" w:hAnsi="Times New Roman"/>
          <w:color w:val="000000" w:themeColor="text1"/>
          <w:sz w:val="24"/>
          <w:szCs w:val="24"/>
        </w:rPr>
      </w:pPr>
    </w:p>
    <w:p w:rsidR="00B52715" w:rsidRPr="008227A8" w:rsidRDefault="00B52715" w:rsidP="00B52715">
      <w:pPr>
        <w:pStyle w:val="BodyParagraph"/>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There is significant variation in load impacts across months and weather conditions. Based on 1-in-2 year weather, the low temperatures in May and June typically experienced in San Diego result in the smallest average and aggregate load impacts. The May and June 1-in-2 year impacts for residential customers are only about 60% of the September estimate, which is the highest of any month under 1-in-2 year weather conditions. For residential customers, the May and June 1-in-10 year estimates are 1.7 times greater than the 1-in-2 year estimates as a result of the 1</w:t>
      </w:r>
      <w:r w:rsidRPr="008227A8">
        <w:rPr>
          <w:rFonts w:ascii="Times New Roman" w:hAnsi="Times New Roman"/>
          <w:color w:val="000000" w:themeColor="text1"/>
          <w:sz w:val="24"/>
          <w:szCs w:val="24"/>
        </w:rPr>
        <w:noBreakHyphen/>
        <w:t xml:space="preserve">in-10 year temperatures being much warmer than the 1-in-2 year temperatures for May and June. </w:t>
      </w:r>
    </w:p>
    <w:p w:rsidR="00C728E5" w:rsidRPr="008227A8" w:rsidRDefault="00C728E5" w:rsidP="00B52715">
      <w:pPr>
        <w:pStyle w:val="BodyParagraph"/>
        <w:spacing w:after="0" w:line="276" w:lineRule="auto"/>
        <w:ind w:firstLine="360"/>
        <w:rPr>
          <w:rFonts w:ascii="Times New Roman" w:hAnsi="Times New Roman"/>
          <w:color w:val="000000" w:themeColor="text1"/>
          <w:sz w:val="24"/>
          <w:szCs w:val="24"/>
        </w:rPr>
      </w:pPr>
    </w:p>
    <w:p w:rsidR="00B52715" w:rsidRPr="008227A8" w:rsidRDefault="00B52715" w:rsidP="00B52715">
      <w:pPr>
        <w:pStyle w:val="BodyParagraph"/>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The nonresidential segment of the program is less weather sensitive than the residential segment. For example, May 1-in-2 load impacts are 74% of the September 1-in-2 load impacts, and May 1-in-10 load impacts are about 1.4 times as large as May 1-in-2 load impacts.</w:t>
      </w:r>
    </w:p>
    <w:p w:rsidR="00B52715" w:rsidRPr="008227A8" w:rsidRDefault="00B52715" w:rsidP="00B52715">
      <w:pPr>
        <w:pStyle w:val="BodyParagraph"/>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 xml:space="preserve">On a per premise basis, the nonresidential segment provides more load impacts than residential customers. But in aggregate, the residential segment provides far more MW of load reduction due to the much greater numbers of residential participants than nonparticipants. </w:t>
      </w:r>
    </w:p>
    <w:p w:rsidR="00B52715" w:rsidRPr="008227A8" w:rsidRDefault="00B52715" w:rsidP="00B52715">
      <w:pPr>
        <w:pStyle w:val="BodyParagraph"/>
        <w:spacing w:after="0" w:line="276" w:lineRule="auto"/>
        <w:ind w:firstLine="360"/>
        <w:rPr>
          <w:rFonts w:ascii="Times New Roman" w:hAnsi="Times New Roman"/>
          <w:color w:val="000000" w:themeColor="text1"/>
          <w:sz w:val="24"/>
          <w:szCs w:val="24"/>
        </w:rPr>
      </w:pPr>
    </w:p>
    <w:p w:rsidR="00C728E5" w:rsidRPr="008227A8" w:rsidRDefault="00C728E5">
      <w:pPr>
        <w:rPr>
          <w:b/>
          <w:color w:val="000000" w:themeColor="text1"/>
          <w:sz w:val="22"/>
          <w:szCs w:val="22"/>
        </w:rPr>
      </w:pPr>
    </w:p>
    <w:p w:rsidR="00B52715" w:rsidRPr="00B52715" w:rsidRDefault="00B52715" w:rsidP="00B52715">
      <w:pPr>
        <w:pStyle w:val="TableFigureCaption"/>
        <w:rPr>
          <w:rFonts w:ascii="Times New Roman" w:hAnsi="Times New Roman"/>
        </w:rPr>
      </w:pPr>
      <w:r w:rsidRPr="00B52715">
        <w:rPr>
          <w:rFonts w:ascii="Times New Roman" w:hAnsi="Times New Roman"/>
        </w:rPr>
        <w:t xml:space="preserve">Table </w:t>
      </w:r>
      <w:r w:rsidR="0024252A">
        <w:rPr>
          <w:rFonts w:ascii="Times New Roman" w:hAnsi="Times New Roman"/>
        </w:rPr>
        <w:t>6</w:t>
      </w:r>
      <w:r w:rsidRPr="00B52715">
        <w:rPr>
          <w:rFonts w:ascii="Times New Roman" w:hAnsi="Times New Roman"/>
        </w:rPr>
        <w:t>-</w:t>
      </w:r>
      <w:r w:rsidR="0024252A">
        <w:rPr>
          <w:rFonts w:ascii="Times New Roman" w:hAnsi="Times New Roman"/>
        </w:rPr>
        <w:t>5</w:t>
      </w:r>
      <w:r w:rsidRPr="00B52715">
        <w:rPr>
          <w:rFonts w:ascii="Times New Roman" w:hAnsi="Times New Roman"/>
        </w:rPr>
        <w:t>: Summer Saver Ex Ante Load Impact Estimates by CAISO and SDG&amp;E-specific Weather and Day Type (1 to 6 PM, 1-in-10 Conditions)</w:t>
      </w:r>
    </w:p>
    <w:tbl>
      <w:tblPr>
        <w:tblW w:w="8943" w:type="dxa"/>
        <w:jc w:val="center"/>
        <w:tblInd w:w="18" w:type="dxa"/>
        <w:tblLook w:val="04A0" w:firstRow="1" w:lastRow="0" w:firstColumn="1" w:lastColumn="0" w:noHBand="0" w:noVBand="1"/>
      </w:tblPr>
      <w:tblGrid>
        <w:gridCol w:w="1899"/>
        <w:gridCol w:w="2399"/>
        <w:gridCol w:w="1152"/>
        <w:gridCol w:w="1189"/>
        <w:gridCol w:w="1152"/>
        <w:gridCol w:w="1152"/>
      </w:tblGrid>
      <w:tr w:rsidR="00B52715" w:rsidRPr="00A04232" w:rsidTr="008A2B5D">
        <w:trPr>
          <w:trHeight w:val="300"/>
          <w:jc w:val="center"/>
        </w:trPr>
        <w:tc>
          <w:tcPr>
            <w:tcW w:w="1899" w:type="dxa"/>
            <w:vMerge w:val="restart"/>
            <w:tcBorders>
              <w:top w:val="single" w:sz="4" w:space="0" w:color="auto"/>
              <w:left w:val="single" w:sz="4" w:space="0" w:color="auto"/>
              <w:bottom w:val="single" w:sz="4" w:space="0" w:color="000000"/>
              <w:right w:val="nil"/>
            </w:tcBorders>
            <w:shd w:val="clear" w:color="auto" w:fill="002060"/>
            <w:noWrap/>
            <w:vAlign w:val="center"/>
            <w:hideMark/>
          </w:tcPr>
          <w:p w:rsidR="00B52715" w:rsidRPr="00B52715" w:rsidRDefault="00B52715" w:rsidP="0020759B">
            <w:pPr>
              <w:jc w:val="center"/>
              <w:rPr>
                <w:b/>
                <w:bCs/>
                <w:color w:val="FFFFFF"/>
                <w:sz w:val="20"/>
                <w:szCs w:val="20"/>
              </w:rPr>
            </w:pPr>
            <w:r w:rsidRPr="00B52715">
              <w:rPr>
                <w:b/>
                <w:bCs/>
                <w:color w:val="FFFFFF"/>
                <w:sz w:val="20"/>
                <w:szCs w:val="20"/>
              </w:rPr>
              <w:t>Customer Type</w:t>
            </w:r>
          </w:p>
        </w:tc>
        <w:tc>
          <w:tcPr>
            <w:tcW w:w="2399" w:type="dxa"/>
            <w:vMerge w:val="restart"/>
            <w:tcBorders>
              <w:top w:val="single" w:sz="4" w:space="0" w:color="auto"/>
              <w:left w:val="single" w:sz="4" w:space="0" w:color="FFFFFF"/>
              <w:bottom w:val="single" w:sz="4" w:space="0" w:color="000000"/>
              <w:right w:val="nil"/>
            </w:tcBorders>
            <w:shd w:val="clear" w:color="auto" w:fill="002060"/>
            <w:noWrap/>
            <w:vAlign w:val="center"/>
            <w:hideMark/>
          </w:tcPr>
          <w:p w:rsidR="00B52715" w:rsidRPr="00B52715" w:rsidRDefault="00B52715" w:rsidP="0020759B">
            <w:pPr>
              <w:jc w:val="center"/>
              <w:rPr>
                <w:b/>
                <w:bCs/>
                <w:color w:val="FFFFFF"/>
                <w:sz w:val="20"/>
                <w:szCs w:val="20"/>
              </w:rPr>
            </w:pPr>
            <w:r w:rsidRPr="00B52715">
              <w:rPr>
                <w:b/>
                <w:bCs/>
                <w:color w:val="FFFFFF"/>
                <w:sz w:val="20"/>
                <w:szCs w:val="20"/>
              </w:rPr>
              <w:t>Day Type</w:t>
            </w:r>
          </w:p>
        </w:tc>
        <w:tc>
          <w:tcPr>
            <w:tcW w:w="2341" w:type="dxa"/>
            <w:gridSpan w:val="2"/>
            <w:tcBorders>
              <w:top w:val="single" w:sz="4" w:space="0" w:color="auto"/>
              <w:left w:val="single" w:sz="4" w:space="0" w:color="FFFFFF"/>
              <w:bottom w:val="single" w:sz="4" w:space="0" w:color="FFFFFF"/>
              <w:right w:val="single" w:sz="4" w:space="0" w:color="FFFFFF"/>
            </w:tcBorders>
            <w:shd w:val="clear" w:color="auto" w:fill="002060"/>
            <w:noWrap/>
            <w:vAlign w:val="center"/>
            <w:hideMark/>
          </w:tcPr>
          <w:p w:rsidR="00B52715" w:rsidRPr="00B52715" w:rsidRDefault="00B52715" w:rsidP="0020759B">
            <w:pPr>
              <w:jc w:val="center"/>
              <w:rPr>
                <w:b/>
                <w:bCs/>
                <w:color w:val="FFFFFF"/>
                <w:sz w:val="20"/>
                <w:szCs w:val="20"/>
              </w:rPr>
            </w:pPr>
            <w:r w:rsidRPr="00B52715">
              <w:rPr>
                <w:b/>
                <w:bCs/>
                <w:color w:val="FFFFFF"/>
                <w:sz w:val="20"/>
                <w:szCs w:val="20"/>
              </w:rPr>
              <w:t>Per Premise Impact (kW)</w:t>
            </w:r>
          </w:p>
        </w:tc>
        <w:tc>
          <w:tcPr>
            <w:tcW w:w="2304" w:type="dxa"/>
            <w:gridSpan w:val="2"/>
            <w:tcBorders>
              <w:top w:val="single" w:sz="4" w:space="0" w:color="auto"/>
              <w:left w:val="nil"/>
              <w:bottom w:val="single" w:sz="4" w:space="0" w:color="FFFFFF"/>
              <w:right w:val="single" w:sz="4" w:space="0" w:color="000000"/>
            </w:tcBorders>
            <w:shd w:val="clear" w:color="auto" w:fill="002060"/>
            <w:noWrap/>
            <w:vAlign w:val="center"/>
            <w:hideMark/>
          </w:tcPr>
          <w:p w:rsidR="00B52715" w:rsidRPr="00B52715" w:rsidRDefault="00B52715" w:rsidP="0020759B">
            <w:pPr>
              <w:jc w:val="center"/>
              <w:rPr>
                <w:b/>
                <w:bCs/>
                <w:color w:val="FFFFFF"/>
                <w:sz w:val="20"/>
                <w:szCs w:val="20"/>
              </w:rPr>
            </w:pPr>
            <w:r w:rsidRPr="00B52715">
              <w:rPr>
                <w:b/>
                <w:bCs/>
                <w:color w:val="FFFFFF"/>
                <w:sz w:val="20"/>
                <w:szCs w:val="20"/>
              </w:rPr>
              <w:t>Aggregate Impact (MW)</w:t>
            </w:r>
          </w:p>
        </w:tc>
      </w:tr>
      <w:tr w:rsidR="00B52715" w:rsidRPr="00A04232" w:rsidTr="008A2B5D">
        <w:trPr>
          <w:trHeight w:val="300"/>
          <w:jc w:val="center"/>
        </w:trPr>
        <w:tc>
          <w:tcPr>
            <w:tcW w:w="1899" w:type="dxa"/>
            <w:vMerge/>
            <w:tcBorders>
              <w:top w:val="single" w:sz="4" w:space="0" w:color="auto"/>
              <w:left w:val="single" w:sz="4" w:space="0" w:color="auto"/>
              <w:bottom w:val="single" w:sz="4" w:space="0" w:color="000000"/>
              <w:right w:val="nil"/>
            </w:tcBorders>
            <w:shd w:val="clear" w:color="auto" w:fill="002060"/>
            <w:vAlign w:val="center"/>
            <w:hideMark/>
          </w:tcPr>
          <w:p w:rsidR="00B52715" w:rsidRPr="00B52715" w:rsidRDefault="00B52715" w:rsidP="0020759B">
            <w:pPr>
              <w:rPr>
                <w:b/>
                <w:bCs/>
                <w:color w:val="FFFFFF"/>
                <w:sz w:val="20"/>
                <w:szCs w:val="20"/>
              </w:rPr>
            </w:pPr>
          </w:p>
        </w:tc>
        <w:tc>
          <w:tcPr>
            <w:tcW w:w="2399" w:type="dxa"/>
            <w:vMerge/>
            <w:tcBorders>
              <w:top w:val="single" w:sz="4" w:space="0" w:color="auto"/>
              <w:left w:val="single" w:sz="4" w:space="0" w:color="FFFFFF"/>
              <w:bottom w:val="single" w:sz="4" w:space="0" w:color="000000"/>
              <w:right w:val="nil"/>
            </w:tcBorders>
            <w:shd w:val="clear" w:color="auto" w:fill="002060"/>
            <w:vAlign w:val="center"/>
            <w:hideMark/>
          </w:tcPr>
          <w:p w:rsidR="00B52715" w:rsidRPr="00B52715" w:rsidRDefault="00B52715" w:rsidP="0020759B">
            <w:pPr>
              <w:rPr>
                <w:b/>
                <w:bCs/>
                <w:color w:val="FFFFFF"/>
                <w:sz w:val="20"/>
                <w:szCs w:val="20"/>
              </w:rPr>
            </w:pPr>
          </w:p>
        </w:tc>
        <w:tc>
          <w:tcPr>
            <w:tcW w:w="1152" w:type="dxa"/>
            <w:tcBorders>
              <w:top w:val="nil"/>
              <w:left w:val="single" w:sz="4" w:space="0" w:color="FFFFFF"/>
              <w:bottom w:val="single" w:sz="4" w:space="0" w:color="auto"/>
              <w:right w:val="single" w:sz="4" w:space="0" w:color="FFFFFF"/>
            </w:tcBorders>
            <w:shd w:val="clear" w:color="auto" w:fill="002060"/>
            <w:noWrap/>
            <w:vAlign w:val="center"/>
            <w:hideMark/>
          </w:tcPr>
          <w:p w:rsidR="00B52715" w:rsidRPr="00B52715" w:rsidRDefault="00B52715" w:rsidP="0020759B">
            <w:pPr>
              <w:jc w:val="center"/>
              <w:rPr>
                <w:b/>
                <w:bCs/>
                <w:color w:val="FFFFFF"/>
                <w:sz w:val="20"/>
                <w:szCs w:val="20"/>
              </w:rPr>
            </w:pPr>
            <w:r w:rsidRPr="00B52715">
              <w:rPr>
                <w:b/>
                <w:bCs/>
                <w:color w:val="FFFFFF"/>
                <w:sz w:val="20"/>
                <w:szCs w:val="20"/>
              </w:rPr>
              <w:t>CAISO</w:t>
            </w:r>
          </w:p>
        </w:tc>
        <w:tc>
          <w:tcPr>
            <w:tcW w:w="1189" w:type="dxa"/>
            <w:tcBorders>
              <w:top w:val="nil"/>
              <w:left w:val="nil"/>
              <w:bottom w:val="single" w:sz="4" w:space="0" w:color="auto"/>
              <w:right w:val="single" w:sz="4" w:space="0" w:color="FFFFFF"/>
            </w:tcBorders>
            <w:shd w:val="clear" w:color="auto" w:fill="002060"/>
            <w:noWrap/>
            <w:vAlign w:val="center"/>
            <w:hideMark/>
          </w:tcPr>
          <w:p w:rsidR="00B52715" w:rsidRPr="00B52715" w:rsidRDefault="00B52715" w:rsidP="0020759B">
            <w:pPr>
              <w:jc w:val="center"/>
              <w:rPr>
                <w:b/>
                <w:bCs/>
                <w:color w:val="FFFFFF"/>
                <w:sz w:val="20"/>
                <w:szCs w:val="20"/>
              </w:rPr>
            </w:pPr>
            <w:r w:rsidRPr="00B52715">
              <w:rPr>
                <w:b/>
                <w:bCs/>
                <w:color w:val="FFFFFF"/>
                <w:sz w:val="20"/>
                <w:szCs w:val="20"/>
              </w:rPr>
              <w:t>SDGE</w:t>
            </w:r>
          </w:p>
        </w:tc>
        <w:tc>
          <w:tcPr>
            <w:tcW w:w="1152" w:type="dxa"/>
            <w:tcBorders>
              <w:top w:val="nil"/>
              <w:left w:val="nil"/>
              <w:bottom w:val="single" w:sz="4" w:space="0" w:color="auto"/>
              <w:right w:val="single" w:sz="4" w:space="0" w:color="FFFFFF"/>
            </w:tcBorders>
            <w:shd w:val="clear" w:color="auto" w:fill="002060"/>
            <w:noWrap/>
            <w:vAlign w:val="center"/>
            <w:hideMark/>
          </w:tcPr>
          <w:p w:rsidR="00B52715" w:rsidRPr="00B52715" w:rsidRDefault="00B52715" w:rsidP="0020759B">
            <w:pPr>
              <w:jc w:val="center"/>
              <w:rPr>
                <w:b/>
                <w:bCs/>
                <w:color w:val="FFFFFF"/>
                <w:sz w:val="20"/>
                <w:szCs w:val="20"/>
              </w:rPr>
            </w:pPr>
            <w:r w:rsidRPr="00B52715">
              <w:rPr>
                <w:b/>
                <w:bCs/>
                <w:color w:val="FFFFFF"/>
                <w:sz w:val="20"/>
                <w:szCs w:val="20"/>
              </w:rPr>
              <w:t>CAISO</w:t>
            </w:r>
          </w:p>
        </w:tc>
        <w:tc>
          <w:tcPr>
            <w:tcW w:w="1152" w:type="dxa"/>
            <w:tcBorders>
              <w:top w:val="nil"/>
              <w:left w:val="nil"/>
              <w:bottom w:val="single" w:sz="4" w:space="0" w:color="auto"/>
              <w:right w:val="single" w:sz="4" w:space="0" w:color="auto"/>
            </w:tcBorders>
            <w:shd w:val="clear" w:color="auto" w:fill="002060"/>
            <w:noWrap/>
            <w:vAlign w:val="center"/>
            <w:hideMark/>
          </w:tcPr>
          <w:p w:rsidR="00B52715" w:rsidRPr="00B52715" w:rsidRDefault="00B52715" w:rsidP="0020759B">
            <w:pPr>
              <w:jc w:val="center"/>
              <w:rPr>
                <w:b/>
                <w:bCs/>
                <w:color w:val="FFFFFF"/>
                <w:sz w:val="20"/>
                <w:szCs w:val="20"/>
              </w:rPr>
            </w:pPr>
            <w:r w:rsidRPr="00B52715">
              <w:rPr>
                <w:b/>
                <w:bCs/>
                <w:color w:val="FFFFFF"/>
                <w:sz w:val="20"/>
                <w:szCs w:val="20"/>
              </w:rPr>
              <w:t>SDGE</w:t>
            </w:r>
          </w:p>
        </w:tc>
      </w:tr>
      <w:tr w:rsidR="008A2B5D" w:rsidRPr="00A04232" w:rsidTr="008A2B5D">
        <w:trPr>
          <w:trHeight w:val="300"/>
          <w:jc w:val="center"/>
        </w:trPr>
        <w:tc>
          <w:tcPr>
            <w:tcW w:w="18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A2B5D" w:rsidRPr="00B52715" w:rsidRDefault="008A2B5D" w:rsidP="0020759B">
            <w:pPr>
              <w:jc w:val="center"/>
              <w:rPr>
                <w:color w:val="000000"/>
                <w:sz w:val="20"/>
                <w:szCs w:val="20"/>
              </w:rPr>
            </w:pPr>
            <w:r w:rsidRPr="00B52715">
              <w:rPr>
                <w:color w:val="000000"/>
                <w:sz w:val="20"/>
                <w:szCs w:val="20"/>
              </w:rPr>
              <w:t>Residential</w:t>
            </w:r>
          </w:p>
        </w:tc>
        <w:tc>
          <w:tcPr>
            <w:tcW w:w="2399" w:type="dxa"/>
            <w:tcBorders>
              <w:top w:val="nil"/>
              <w:left w:val="nil"/>
              <w:bottom w:val="single" w:sz="4" w:space="0" w:color="auto"/>
              <w:right w:val="single" w:sz="4" w:space="0" w:color="auto"/>
            </w:tcBorders>
            <w:shd w:val="clear" w:color="auto" w:fill="auto"/>
            <w:noWrap/>
            <w:vAlign w:val="center"/>
            <w:hideMark/>
          </w:tcPr>
          <w:p w:rsidR="008A2B5D" w:rsidRPr="00B52715" w:rsidRDefault="008A2B5D" w:rsidP="0020759B">
            <w:pPr>
              <w:jc w:val="center"/>
              <w:rPr>
                <w:color w:val="000000"/>
                <w:sz w:val="20"/>
                <w:szCs w:val="20"/>
              </w:rPr>
            </w:pPr>
            <w:r w:rsidRPr="00B52715">
              <w:rPr>
                <w:color w:val="000000"/>
                <w:sz w:val="20"/>
                <w:szCs w:val="20"/>
              </w:rPr>
              <w:t>Typical Event Day</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0.53</w:t>
            </w:r>
          </w:p>
        </w:tc>
        <w:tc>
          <w:tcPr>
            <w:tcW w:w="1189"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0.58</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11.6</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12.6</w:t>
            </w:r>
          </w:p>
        </w:tc>
      </w:tr>
      <w:tr w:rsidR="008A2B5D" w:rsidRPr="00A04232" w:rsidTr="008A2B5D">
        <w:trPr>
          <w:trHeight w:val="300"/>
          <w:jc w:val="center"/>
        </w:trPr>
        <w:tc>
          <w:tcPr>
            <w:tcW w:w="1899" w:type="dxa"/>
            <w:vMerge/>
            <w:tcBorders>
              <w:top w:val="nil"/>
              <w:left w:val="single" w:sz="4" w:space="0" w:color="auto"/>
              <w:bottom w:val="single" w:sz="4" w:space="0" w:color="auto"/>
              <w:right w:val="single" w:sz="4" w:space="0" w:color="auto"/>
            </w:tcBorders>
            <w:vAlign w:val="center"/>
            <w:hideMark/>
          </w:tcPr>
          <w:p w:rsidR="008A2B5D" w:rsidRPr="00B52715" w:rsidRDefault="008A2B5D" w:rsidP="0020759B">
            <w:pPr>
              <w:rPr>
                <w:color w:val="000000"/>
                <w:sz w:val="20"/>
                <w:szCs w:val="20"/>
              </w:rPr>
            </w:pPr>
          </w:p>
        </w:tc>
        <w:tc>
          <w:tcPr>
            <w:tcW w:w="2399" w:type="dxa"/>
            <w:tcBorders>
              <w:top w:val="nil"/>
              <w:left w:val="nil"/>
              <w:bottom w:val="single" w:sz="4" w:space="0" w:color="auto"/>
              <w:right w:val="single" w:sz="4" w:space="0" w:color="auto"/>
            </w:tcBorders>
            <w:shd w:val="clear" w:color="auto" w:fill="auto"/>
            <w:noWrap/>
            <w:vAlign w:val="center"/>
            <w:hideMark/>
          </w:tcPr>
          <w:p w:rsidR="008A2B5D" w:rsidRPr="00B52715" w:rsidRDefault="008A2B5D" w:rsidP="0020759B">
            <w:pPr>
              <w:jc w:val="center"/>
              <w:rPr>
                <w:color w:val="000000"/>
                <w:sz w:val="20"/>
                <w:szCs w:val="20"/>
              </w:rPr>
            </w:pPr>
            <w:r w:rsidRPr="00B52715">
              <w:rPr>
                <w:color w:val="000000"/>
                <w:sz w:val="20"/>
                <w:szCs w:val="20"/>
              </w:rPr>
              <w:t>May Monthly Peak</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0.45</w:t>
            </w:r>
          </w:p>
        </w:tc>
        <w:tc>
          <w:tcPr>
            <w:tcW w:w="1189"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0.53</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9.8</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11.4</w:t>
            </w:r>
          </w:p>
        </w:tc>
      </w:tr>
      <w:tr w:rsidR="008A2B5D" w:rsidRPr="00A04232" w:rsidTr="008A2B5D">
        <w:trPr>
          <w:trHeight w:val="300"/>
          <w:jc w:val="center"/>
        </w:trPr>
        <w:tc>
          <w:tcPr>
            <w:tcW w:w="1899" w:type="dxa"/>
            <w:vMerge/>
            <w:tcBorders>
              <w:top w:val="nil"/>
              <w:left w:val="single" w:sz="4" w:space="0" w:color="auto"/>
              <w:bottom w:val="single" w:sz="4" w:space="0" w:color="auto"/>
              <w:right w:val="single" w:sz="4" w:space="0" w:color="auto"/>
            </w:tcBorders>
            <w:vAlign w:val="center"/>
            <w:hideMark/>
          </w:tcPr>
          <w:p w:rsidR="008A2B5D" w:rsidRPr="00B52715" w:rsidRDefault="008A2B5D" w:rsidP="0020759B">
            <w:pPr>
              <w:rPr>
                <w:color w:val="000000"/>
                <w:sz w:val="20"/>
                <w:szCs w:val="20"/>
              </w:rPr>
            </w:pPr>
          </w:p>
        </w:tc>
        <w:tc>
          <w:tcPr>
            <w:tcW w:w="2399" w:type="dxa"/>
            <w:tcBorders>
              <w:top w:val="nil"/>
              <w:left w:val="nil"/>
              <w:bottom w:val="single" w:sz="4" w:space="0" w:color="auto"/>
              <w:right w:val="single" w:sz="4" w:space="0" w:color="auto"/>
            </w:tcBorders>
            <w:shd w:val="clear" w:color="auto" w:fill="auto"/>
            <w:noWrap/>
            <w:vAlign w:val="center"/>
            <w:hideMark/>
          </w:tcPr>
          <w:p w:rsidR="008A2B5D" w:rsidRPr="00B52715" w:rsidRDefault="008A2B5D" w:rsidP="0020759B">
            <w:pPr>
              <w:jc w:val="center"/>
              <w:rPr>
                <w:color w:val="000000"/>
                <w:sz w:val="20"/>
                <w:szCs w:val="20"/>
              </w:rPr>
            </w:pPr>
            <w:r w:rsidRPr="00B52715">
              <w:rPr>
                <w:color w:val="000000"/>
                <w:sz w:val="20"/>
                <w:szCs w:val="20"/>
              </w:rPr>
              <w:t>June Monthly Peak</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0.45</w:t>
            </w:r>
          </w:p>
        </w:tc>
        <w:tc>
          <w:tcPr>
            <w:tcW w:w="1189"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0.46</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9.7</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10.0</w:t>
            </w:r>
          </w:p>
        </w:tc>
      </w:tr>
      <w:tr w:rsidR="008A2B5D" w:rsidRPr="00A04232" w:rsidTr="008A2B5D">
        <w:trPr>
          <w:trHeight w:val="300"/>
          <w:jc w:val="center"/>
        </w:trPr>
        <w:tc>
          <w:tcPr>
            <w:tcW w:w="1899" w:type="dxa"/>
            <w:vMerge/>
            <w:tcBorders>
              <w:top w:val="nil"/>
              <w:left w:val="single" w:sz="4" w:space="0" w:color="auto"/>
              <w:bottom w:val="single" w:sz="4" w:space="0" w:color="auto"/>
              <w:right w:val="single" w:sz="4" w:space="0" w:color="auto"/>
            </w:tcBorders>
            <w:vAlign w:val="center"/>
            <w:hideMark/>
          </w:tcPr>
          <w:p w:rsidR="008A2B5D" w:rsidRPr="00B52715" w:rsidRDefault="008A2B5D" w:rsidP="0020759B">
            <w:pPr>
              <w:rPr>
                <w:color w:val="000000"/>
                <w:sz w:val="20"/>
                <w:szCs w:val="20"/>
              </w:rPr>
            </w:pPr>
          </w:p>
        </w:tc>
        <w:tc>
          <w:tcPr>
            <w:tcW w:w="2399" w:type="dxa"/>
            <w:tcBorders>
              <w:top w:val="nil"/>
              <w:left w:val="nil"/>
              <w:bottom w:val="single" w:sz="4" w:space="0" w:color="auto"/>
              <w:right w:val="single" w:sz="4" w:space="0" w:color="auto"/>
            </w:tcBorders>
            <w:shd w:val="clear" w:color="auto" w:fill="auto"/>
            <w:noWrap/>
            <w:vAlign w:val="center"/>
            <w:hideMark/>
          </w:tcPr>
          <w:p w:rsidR="008A2B5D" w:rsidRPr="00B52715" w:rsidRDefault="008A2B5D" w:rsidP="0020759B">
            <w:pPr>
              <w:jc w:val="center"/>
              <w:rPr>
                <w:color w:val="000000"/>
                <w:sz w:val="20"/>
                <w:szCs w:val="20"/>
              </w:rPr>
            </w:pPr>
            <w:r w:rsidRPr="00B52715">
              <w:rPr>
                <w:color w:val="000000"/>
                <w:sz w:val="20"/>
                <w:szCs w:val="20"/>
              </w:rPr>
              <w:t>July Monthly Peak</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0.47</w:t>
            </w:r>
          </w:p>
        </w:tc>
        <w:tc>
          <w:tcPr>
            <w:tcW w:w="1189"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0.58</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10.1</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12.7</w:t>
            </w:r>
          </w:p>
        </w:tc>
      </w:tr>
      <w:tr w:rsidR="008A2B5D" w:rsidRPr="00A04232" w:rsidTr="008A2B5D">
        <w:trPr>
          <w:trHeight w:val="300"/>
          <w:jc w:val="center"/>
        </w:trPr>
        <w:tc>
          <w:tcPr>
            <w:tcW w:w="1899" w:type="dxa"/>
            <w:vMerge/>
            <w:tcBorders>
              <w:top w:val="nil"/>
              <w:left w:val="single" w:sz="4" w:space="0" w:color="auto"/>
              <w:bottom w:val="single" w:sz="4" w:space="0" w:color="auto"/>
              <w:right w:val="single" w:sz="4" w:space="0" w:color="auto"/>
            </w:tcBorders>
            <w:vAlign w:val="center"/>
            <w:hideMark/>
          </w:tcPr>
          <w:p w:rsidR="008A2B5D" w:rsidRPr="00B52715" w:rsidRDefault="008A2B5D" w:rsidP="0020759B">
            <w:pPr>
              <w:rPr>
                <w:color w:val="000000"/>
                <w:sz w:val="20"/>
                <w:szCs w:val="20"/>
              </w:rPr>
            </w:pPr>
          </w:p>
        </w:tc>
        <w:tc>
          <w:tcPr>
            <w:tcW w:w="2399" w:type="dxa"/>
            <w:tcBorders>
              <w:top w:val="nil"/>
              <w:left w:val="nil"/>
              <w:bottom w:val="single" w:sz="4" w:space="0" w:color="auto"/>
              <w:right w:val="single" w:sz="4" w:space="0" w:color="auto"/>
            </w:tcBorders>
            <w:shd w:val="clear" w:color="auto" w:fill="auto"/>
            <w:noWrap/>
            <w:vAlign w:val="center"/>
            <w:hideMark/>
          </w:tcPr>
          <w:p w:rsidR="008A2B5D" w:rsidRPr="00B52715" w:rsidRDefault="008A2B5D" w:rsidP="0020759B">
            <w:pPr>
              <w:jc w:val="center"/>
              <w:rPr>
                <w:color w:val="000000"/>
                <w:sz w:val="20"/>
                <w:szCs w:val="20"/>
              </w:rPr>
            </w:pPr>
            <w:r w:rsidRPr="00B52715">
              <w:rPr>
                <w:color w:val="000000"/>
                <w:sz w:val="20"/>
                <w:szCs w:val="20"/>
              </w:rPr>
              <w:t>August Monthly Peak</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0.55</w:t>
            </w:r>
          </w:p>
        </w:tc>
        <w:tc>
          <w:tcPr>
            <w:tcW w:w="1189"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0.60</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11.9</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13.1</w:t>
            </w:r>
          </w:p>
        </w:tc>
      </w:tr>
      <w:tr w:rsidR="00B52715" w:rsidRPr="00A04232" w:rsidTr="008A2B5D">
        <w:trPr>
          <w:trHeight w:val="300"/>
          <w:jc w:val="center"/>
        </w:trPr>
        <w:tc>
          <w:tcPr>
            <w:tcW w:w="1899" w:type="dxa"/>
            <w:vMerge/>
            <w:tcBorders>
              <w:top w:val="nil"/>
              <w:left w:val="single" w:sz="4" w:space="0" w:color="auto"/>
              <w:bottom w:val="single" w:sz="4" w:space="0" w:color="auto"/>
              <w:right w:val="single" w:sz="4" w:space="0" w:color="auto"/>
            </w:tcBorders>
            <w:vAlign w:val="center"/>
            <w:hideMark/>
          </w:tcPr>
          <w:p w:rsidR="00B52715" w:rsidRPr="00B52715" w:rsidRDefault="00B52715" w:rsidP="0020759B">
            <w:pPr>
              <w:rPr>
                <w:color w:val="000000"/>
                <w:sz w:val="20"/>
                <w:szCs w:val="20"/>
              </w:rPr>
            </w:pPr>
          </w:p>
        </w:tc>
        <w:tc>
          <w:tcPr>
            <w:tcW w:w="2399" w:type="dxa"/>
            <w:tcBorders>
              <w:top w:val="nil"/>
              <w:left w:val="nil"/>
              <w:bottom w:val="single" w:sz="4" w:space="0" w:color="auto"/>
              <w:right w:val="single" w:sz="4" w:space="0" w:color="auto"/>
            </w:tcBorders>
            <w:shd w:val="clear" w:color="auto" w:fill="auto"/>
            <w:noWrap/>
            <w:vAlign w:val="center"/>
            <w:hideMark/>
          </w:tcPr>
          <w:p w:rsidR="00B52715" w:rsidRPr="00B52715" w:rsidRDefault="00B52715" w:rsidP="0020759B">
            <w:pPr>
              <w:jc w:val="center"/>
              <w:rPr>
                <w:color w:val="000000"/>
                <w:sz w:val="20"/>
                <w:szCs w:val="20"/>
              </w:rPr>
            </w:pPr>
            <w:r w:rsidRPr="00B52715">
              <w:rPr>
                <w:color w:val="000000"/>
                <w:sz w:val="20"/>
                <w:szCs w:val="20"/>
              </w:rPr>
              <w:t>September Monthly Peak</w:t>
            </w:r>
          </w:p>
        </w:tc>
        <w:tc>
          <w:tcPr>
            <w:tcW w:w="1152" w:type="dxa"/>
            <w:tcBorders>
              <w:top w:val="nil"/>
              <w:left w:val="nil"/>
              <w:bottom w:val="single" w:sz="4" w:space="0" w:color="auto"/>
              <w:right w:val="single" w:sz="4" w:space="0" w:color="auto"/>
            </w:tcBorders>
            <w:shd w:val="clear" w:color="auto" w:fill="auto"/>
            <w:noWrap/>
            <w:vAlign w:val="center"/>
            <w:hideMark/>
          </w:tcPr>
          <w:p w:rsidR="00B52715" w:rsidRPr="008A2B5D" w:rsidRDefault="00B52715" w:rsidP="008A2B5D">
            <w:pPr>
              <w:jc w:val="center"/>
              <w:rPr>
                <w:color w:val="000000"/>
                <w:sz w:val="20"/>
                <w:szCs w:val="20"/>
              </w:rPr>
            </w:pPr>
            <w:r w:rsidRPr="008A2B5D">
              <w:rPr>
                <w:color w:val="000000"/>
                <w:sz w:val="20"/>
                <w:szCs w:val="20"/>
              </w:rPr>
              <w:t>0.68</w:t>
            </w:r>
          </w:p>
        </w:tc>
        <w:tc>
          <w:tcPr>
            <w:tcW w:w="1189" w:type="dxa"/>
            <w:tcBorders>
              <w:top w:val="nil"/>
              <w:left w:val="nil"/>
              <w:bottom w:val="single" w:sz="4" w:space="0" w:color="auto"/>
              <w:right w:val="single" w:sz="4" w:space="0" w:color="auto"/>
            </w:tcBorders>
            <w:shd w:val="clear" w:color="auto" w:fill="auto"/>
            <w:noWrap/>
            <w:vAlign w:val="center"/>
            <w:hideMark/>
          </w:tcPr>
          <w:p w:rsidR="00B52715" w:rsidRPr="008A2B5D" w:rsidRDefault="00B52715" w:rsidP="008A2B5D">
            <w:pPr>
              <w:jc w:val="center"/>
              <w:rPr>
                <w:color w:val="000000"/>
                <w:sz w:val="20"/>
                <w:szCs w:val="20"/>
              </w:rPr>
            </w:pPr>
            <w:r w:rsidRPr="008A2B5D">
              <w:rPr>
                <w:color w:val="000000"/>
                <w:sz w:val="20"/>
                <w:szCs w:val="20"/>
              </w:rPr>
              <w:t>0.67</w:t>
            </w:r>
          </w:p>
        </w:tc>
        <w:tc>
          <w:tcPr>
            <w:tcW w:w="1152" w:type="dxa"/>
            <w:tcBorders>
              <w:top w:val="nil"/>
              <w:left w:val="nil"/>
              <w:bottom w:val="single" w:sz="4" w:space="0" w:color="auto"/>
              <w:right w:val="single" w:sz="4" w:space="0" w:color="auto"/>
            </w:tcBorders>
            <w:shd w:val="clear" w:color="auto" w:fill="auto"/>
            <w:noWrap/>
            <w:vAlign w:val="center"/>
            <w:hideMark/>
          </w:tcPr>
          <w:p w:rsidR="00B52715" w:rsidRPr="008A2B5D" w:rsidRDefault="00B52715" w:rsidP="008A2B5D">
            <w:pPr>
              <w:jc w:val="center"/>
              <w:rPr>
                <w:color w:val="000000"/>
                <w:sz w:val="20"/>
                <w:szCs w:val="20"/>
              </w:rPr>
            </w:pPr>
            <w:r w:rsidRPr="008A2B5D">
              <w:rPr>
                <w:color w:val="000000"/>
                <w:sz w:val="20"/>
                <w:szCs w:val="20"/>
              </w:rPr>
              <w:t>14.7</w:t>
            </w:r>
          </w:p>
        </w:tc>
        <w:tc>
          <w:tcPr>
            <w:tcW w:w="1152" w:type="dxa"/>
            <w:tcBorders>
              <w:top w:val="nil"/>
              <w:left w:val="nil"/>
              <w:bottom w:val="single" w:sz="4" w:space="0" w:color="auto"/>
              <w:right w:val="single" w:sz="4" w:space="0" w:color="auto"/>
            </w:tcBorders>
            <w:shd w:val="clear" w:color="auto" w:fill="auto"/>
            <w:noWrap/>
            <w:vAlign w:val="center"/>
            <w:hideMark/>
          </w:tcPr>
          <w:p w:rsidR="00B52715" w:rsidRPr="008A2B5D" w:rsidRDefault="00B52715" w:rsidP="008A2B5D">
            <w:pPr>
              <w:jc w:val="center"/>
              <w:rPr>
                <w:color w:val="000000"/>
                <w:sz w:val="20"/>
                <w:szCs w:val="20"/>
              </w:rPr>
            </w:pPr>
            <w:r w:rsidRPr="008A2B5D">
              <w:rPr>
                <w:color w:val="000000"/>
                <w:sz w:val="20"/>
                <w:szCs w:val="20"/>
              </w:rPr>
              <w:t>14.6</w:t>
            </w:r>
          </w:p>
        </w:tc>
      </w:tr>
      <w:tr w:rsidR="008A2B5D" w:rsidRPr="00A04232" w:rsidTr="003E6B6C">
        <w:trPr>
          <w:trHeight w:val="300"/>
          <w:jc w:val="center"/>
        </w:trPr>
        <w:tc>
          <w:tcPr>
            <w:tcW w:w="1899" w:type="dxa"/>
            <w:vMerge/>
            <w:tcBorders>
              <w:top w:val="nil"/>
              <w:left w:val="single" w:sz="4" w:space="0" w:color="auto"/>
              <w:bottom w:val="single" w:sz="4" w:space="0" w:color="auto"/>
              <w:right w:val="single" w:sz="4" w:space="0" w:color="auto"/>
            </w:tcBorders>
            <w:vAlign w:val="center"/>
            <w:hideMark/>
          </w:tcPr>
          <w:p w:rsidR="008A2B5D" w:rsidRPr="00B52715" w:rsidRDefault="008A2B5D" w:rsidP="0020759B">
            <w:pPr>
              <w:rPr>
                <w:color w:val="000000"/>
                <w:sz w:val="20"/>
                <w:szCs w:val="20"/>
              </w:rPr>
            </w:pPr>
          </w:p>
        </w:tc>
        <w:tc>
          <w:tcPr>
            <w:tcW w:w="2399" w:type="dxa"/>
            <w:tcBorders>
              <w:top w:val="nil"/>
              <w:left w:val="nil"/>
              <w:bottom w:val="single" w:sz="4" w:space="0" w:color="auto"/>
              <w:right w:val="single" w:sz="4" w:space="0" w:color="auto"/>
            </w:tcBorders>
            <w:shd w:val="clear" w:color="auto" w:fill="auto"/>
            <w:noWrap/>
            <w:vAlign w:val="center"/>
            <w:hideMark/>
          </w:tcPr>
          <w:p w:rsidR="008A2B5D" w:rsidRPr="00B52715" w:rsidRDefault="008A2B5D" w:rsidP="0020759B">
            <w:pPr>
              <w:jc w:val="center"/>
              <w:rPr>
                <w:color w:val="000000"/>
                <w:sz w:val="20"/>
                <w:szCs w:val="20"/>
              </w:rPr>
            </w:pPr>
            <w:r w:rsidRPr="00B52715">
              <w:rPr>
                <w:color w:val="000000"/>
                <w:sz w:val="20"/>
                <w:szCs w:val="20"/>
              </w:rPr>
              <w:t>October Monthly Peak</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0.49</w:t>
            </w:r>
          </w:p>
        </w:tc>
        <w:tc>
          <w:tcPr>
            <w:tcW w:w="1189"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0.54</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10.5</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11.6</w:t>
            </w:r>
          </w:p>
        </w:tc>
      </w:tr>
      <w:tr w:rsidR="008A2B5D" w:rsidRPr="00A04232" w:rsidTr="003E6B6C">
        <w:trPr>
          <w:trHeight w:val="300"/>
          <w:jc w:val="center"/>
        </w:trPr>
        <w:tc>
          <w:tcPr>
            <w:tcW w:w="189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A2B5D" w:rsidRPr="00B52715" w:rsidRDefault="008A2B5D" w:rsidP="0020759B">
            <w:pPr>
              <w:jc w:val="center"/>
              <w:rPr>
                <w:color w:val="000000"/>
                <w:sz w:val="20"/>
                <w:szCs w:val="20"/>
              </w:rPr>
            </w:pPr>
            <w:r w:rsidRPr="00B52715">
              <w:rPr>
                <w:color w:val="000000"/>
                <w:sz w:val="20"/>
                <w:szCs w:val="20"/>
              </w:rPr>
              <w:t>Non-Residential</w:t>
            </w:r>
          </w:p>
        </w:tc>
        <w:tc>
          <w:tcPr>
            <w:tcW w:w="2399" w:type="dxa"/>
            <w:tcBorders>
              <w:top w:val="nil"/>
              <w:left w:val="nil"/>
              <w:bottom w:val="single" w:sz="4" w:space="0" w:color="auto"/>
              <w:right w:val="single" w:sz="4" w:space="0" w:color="auto"/>
            </w:tcBorders>
            <w:shd w:val="clear" w:color="auto" w:fill="auto"/>
            <w:noWrap/>
            <w:vAlign w:val="center"/>
            <w:hideMark/>
          </w:tcPr>
          <w:p w:rsidR="008A2B5D" w:rsidRPr="00B52715" w:rsidRDefault="008A2B5D" w:rsidP="0020759B">
            <w:pPr>
              <w:jc w:val="center"/>
              <w:rPr>
                <w:color w:val="000000"/>
                <w:sz w:val="20"/>
                <w:szCs w:val="20"/>
              </w:rPr>
            </w:pPr>
            <w:r w:rsidRPr="00B52715">
              <w:rPr>
                <w:color w:val="000000"/>
                <w:sz w:val="20"/>
                <w:szCs w:val="20"/>
              </w:rPr>
              <w:t>Typical Event Day</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0.66</w:t>
            </w:r>
          </w:p>
        </w:tc>
        <w:tc>
          <w:tcPr>
            <w:tcW w:w="1189"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0.67</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3.1</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3.1</w:t>
            </w:r>
          </w:p>
        </w:tc>
      </w:tr>
      <w:tr w:rsidR="008A2B5D" w:rsidRPr="00A04232" w:rsidTr="003E6B6C">
        <w:trPr>
          <w:trHeight w:val="300"/>
          <w:jc w:val="center"/>
        </w:trPr>
        <w:tc>
          <w:tcPr>
            <w:tcW w:w="1899" w:type="dxa"/>
            <w:vMerge/>
            <w:tcBorders>
              <w:top w:val="nil"/>
              <w:left w:val="single" w:sz="4" w:space="0" w:color="auto"/>
              <w:bottom w:val="single" w:sz="4" w:space="0" w:color="auto"/>
              <w:right w:val="single" w:sz="4" w:space="0" w:color="auto"/>
            </w:tcBorders>
            <w:vAlign w:val="center"/>
            <w:hideMark/>
          </w:tcPr>
          <w:p w:rsidR="008A2B5D" w:rsidRPr="00B52715" w:rsidRDefault="008A2B5D" w:rsidP="0020759B">
            <w:pPr>
              <w:rPr>
                <w:color w:val="000000"/>
                <w:sz w:val="20"/>
                <w:szCs w:val="20"/>
              </w:rPr>
            </w:pPr>
          </w:p>
        </w:tc>
        <w:tc>
          <w:tcPr>
            <w:tcW w:w="2399" w:type="dxa"/>
            <w:tcBorders>
              <w:top w:val="nil"/>
              <w:left w:val="nil"/>
              <w:bottom w:val="single" w:sz="4" w:space="0" w:color="auto"/>
              <w:right w:val="single" w:sz="4" w:space="0" w:color="auto"/>
            </w:tcBorders>
            <w:shd w:val="clear" w:color="auto" w:fill="auto"/>
            <w:noWrap/>
            <w:vAlign w:val="center"/>
            <w:hideMark/>
          </w:tcPr>
          <w:p w:rsidR="008A2B5D" w:rsidRPr="00B52715" w:rsidRDefault="008A2B5D" w:rsidP="0020759B">
            <w:pPr>
              <w:jc w:val="center"/>
              <w:rPr>
                <w:color w:val="000000"/>
                <w:sz w:val="20"/>
                <w:szCs w:val="20"/>
              </w:rPr>
            </w:pPr>
            <w:r w:rsidRPr="00B52715">
              <w:rPr>
                <w:color w:val="000000"/>
                <w:sz w:val="20"/>
                <w:szCs w:val="20"/>
              </w:rPr>
              <w:t>May Monthly Peak</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0.63</w:t>
            </w:r>
          </w:p>
        </w:tc>
        <w:tc>
          <w:tcPr>
            <w:tcW w:w="1189"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0.66</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3.0</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3.1</w:t>
            </w:r>
          </w:p>
        </w:tc>
      </w:tr>
      <w:tr w:rsidR="008A2B5D" w:rsidRPr="00A04232" w:rsidTr="003E6B6C">
        <w:trPr>
          <w:trHeight w:val="300"/>
          <w:jc w:val="center"/>
        </w:trPr>
        <w:tc>
          <w:tcPr>
            <w:tcW w:w="1899" w:type="dxa"/>
            <w:vMerge/>
            <w:tcBorders>
              <w:top w:val="nil"/>
              <w:left w:val="single" w:sz="4" w:space="0" w:color="auto"/>
              <w:bottom w:val="single" w:sz="4" w:space="0" w:color="auto"/>
              <w:right w:val="single" w:sz="4" w:space="0" w:color="auto"/>
            </w:tcBorders>
            <w:vAlign w:val="center"/>
            <w:hideMark/>
          </w:tcPr>
          <w:p w:rsidR="008A2B5D" w:rsidRPr="00B52715" w:rsidRDefault="008A2B5D" w:rsidP="0020759B">
            <w:pPr>
              <w:rPr>
                <w:color w:val="000000"/>
                <w:sz w:val="20"/>
                <w:szCs w:val="20"/>
              </w:rPr>
            </w:pPr>
          </w:p>
        </w:tc>
        <w:tc>
          <w:tcPr>
            <w:tcW w:w="2399" w:type="dxa"/>
            <w:tcBorders>
              <w:top w:val="nil"/>
              <w:left w:val="nil"/>
              <w:bottom w:val="single" w:sz="4" w:space="0" w:color="auto"/>
              <w:right w:val="single" w:sz="4" w:space="0" w:color="auto"/>
            </w:tcBorders>
            <w:shd w:val="clear" w:color="auto" w:fill="auto"/>
            <w:noWrap/>
            <w:vAlign w:val="center"/>
            <w:hideMark/>
          </w:tcPr>
          <w:p w:rsidR="008A2B5D" w:rsidRPr="00B52715" w:rsidRDefault="008A2B5D" w:rsidP="0020759B">
            <w:pPr>
              <w:jc w:val="center"/>
              <w:rPr>
                <w:color w:val="000000"/>
                <w:sz w:val="20"/>
                <w:szCs w:val="20"/>
              </w:rPr>
            </w:pPr>
            <w:r w:rsidRPr="00B52715">
              <w:rPr>
                <w:color w:val="000000"/>
                <w:sz w:val="20"/>
                <w:szCs w:val="20"/>
              </w:rPr>
              <w:t>June Monthly Peak</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0.63</w:t>
            </w:r>
          </w:p>
        </w:tc>
        <w:tc>
          <w:tcPr>
            <w:tcW w:w="1189"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0.63</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3.0</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3.0</w:t>
            </w:r>
          </w:p>
        </w:tc>
      </w:tr>
      <w:tr w:rsidR="008A2B5D" w:rsidRPr="00A04232" w:rsidTr="003E6B6C">
        <w:trPr>
          <w:trHeight w:val="300"/>
          <w:jc w:val="center"/>
        </w:trPr>
        <w:tc>
          <w:tcPr>
            <w:tcW w:w="1899" w:type="dxa"/>
            <w:vMerge/>
            <w:tcBorders>
              <w:top w:val="nil"/>
              <w:left w:val="single" w:sz="4" w:space="0" w:color="auto"/>
              <w:bottom w:val="single" w:sz="4" w:space="0" w:color="auto"/>
              <w:right w:val="single" w:sz="4" w:space="0" w:color="auto"/>
            </w:tcBorders>
            <w:vAlign w:val="center"/>
            <w:hideMark/>
          </w:tcPr>
          <w:p w:rsidR="008A2B5D" w:rsidRPr="00B52715" w:rsidRDefault="008A2B5D" w:rsidP="0020759B">
            <w:pPr>
              <w:rPr>
                <w:color w:val="000000"/>
                <w:sz w:val="20"/>
                <w:szCs w:val="20"/>
              </w:rPr>
            </w:pPr>
          </w:p>
        </w:tc>
        <w:tc>
          <w:tcPr>
            <w:tcW w:w="2399" w:type="dxa"/>
            <w:tcBorders>
              <w:top w:val="nil"/>
              <w:left w:val="nil"/>
              <w:bottom w:val="single" w:sz="4" w:space="0" w:color="auto"/>
              <w:right w:val="single" w:sz="4" w:space="0" w:color="auto"/>
            </w:tcBorders>
            <w:shd w:val="clear" w:color="auto" w:fill="auto"/>
            <w:noWrap/>
            <w:vAlign w:val="center"/>
            <w:hideMark/>
          </w:tcPr>
          <w:p w:rsidR="008A2B5D" w:rsidRPr="00B52715" w:rsidRDefault="008A2B5D" w:rsidP="0020759B">
            <w:pPr>
              <w:jc w:val="center"/>
              <w:rPr>
                <w:color w:val="000000"/>
                <w:sz w:val="20"/>
                <w:szCs w:val="20"/>
              </w:rPr>
            </w:pPr>
            <w:r w:rsidRPr="00B52715">
              <w:rPr>
                <w:color w:val="000000"/>
                <w:sz w:val="20"/>
                <w:szCs w:val="20"/>
              </w:rPr>
              <w:t>July Monthly Peak</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0.64</w:t>
            </w:r>
          </w:p>
        </w:tc>
        <w:tc>
          <w:tcPr>
            <w:tcW w:w="1189"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0.67</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3.0</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3.1</w:t>
            </w:r>
          </w:p>
        </w:tc>
      </w:tr>
      <w:tr w:rsidR="008A2B5D" w:rsidRPr="00A04232" w:rsidTr="003E6B6C">
        <w:trPr>
          <w:trHeight w:val="300"/>
          <w:jc w:val="center"/>
        </w:trPr>
        <w:tc>
          <w:tcPr>
            <w:tcW w:w="1899" w:type="dxa"/>
            <w:vMerge/>
            <w:tcBorders>
              <w:top w:val="nil"/>
              <w:left w:val="single" w:sz="4" w:space="0" w:color="auto"/>
              <w:bottom w:val="single" w:sz="4" w:space="0" w:color="auto"/>
              <w:right w:val="single" w:sz="4" w:space="0" w:color="auto"/>
            </w:tcBorders>
            <w:vAlign w:val="center"/>
            <w:hideMark/>
          </w:tcPr>
          <w:p w:rsidR="008A2B5D" w:rsidRPr="00B52715" w:rsidRDefault="008A2B5D" w:rsidP="0020759B">
            <w:pPr>
              <w:rPr>
                <w:color w:val="000000"/>
                <w:sz w:val="20"/>
                <w:szCs w:val="20"/>
              </w:rPr>
            </w:pPr>
          </w:p>
        </w:tc>
        <w:tc>
          <w:tcPr>
            <w:tcW w:w="2399" w:type="dxa"/>
            <w:tcBorders>
              <w:top w:val="nil"/>
              <w:left w:val="nil"/>
              <w:bottom w:val="single" w:sz="4" w:space="0" w:color="auto"/>
              <w:right w:val="single" w:sz="4" w:space="0" w:color="auto"/>
            </w:tcBorders>
            <w:shd w:val="clear" w:color="auto" w:fill="auto"/>
            <w:noWrap/>
            <w:vAlign w:val="center"/>
            <w:hideMark/>
          </w:tcPr>
          <w:p w:rsidR="008A2B5D" w:rsidRPr="00B52715" w:rsidRDefault="008A2B5D" w:rsidP="0020759B">
            <w:pPr>
              <w:jc w:val="center"/>
              <w:rPr>
                <w:color w:val="000000"/>
                <w:sz w:val="20"/>
                <w:szCs w:val="20"/>
              </w:rPr>
            </w:pPr>
            <w:r w:rsidRPr="00B52715">
              <w:rPr>
                <w:color w:val="000000"/>
                <w:sz w:val="20"/>
                <w:szCs w:val="20"/>
              </w:rPr>
              <w:t>August Monthly Peak</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0.66</w:t>
            </w:r>
          </w:p>
        </w:tc>
        <w:tc>
          <w:tcPr>
            <w:tcW w:w="1189"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0.68</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3.1</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3.2</w:t>
            </w:r>
          </w:p>
        </w:tc>
      </w:tr>
      <w:tr w:rsidR="008A2B5D" w:rsidRPr="00A04232" w:rsidTr="003E6B6C">
        <w:trPr>
          <w:trHeight w:val="300"/>
          <w:jc w:val="center"/>
        </w:trPr>
        <w:tc>
          <w:tcPr>
            <w:tcW w:w="1899" w:type="dxa"/>
            <w:vMerge/>
            <w:tcBorders>
              <w:top w:val="nil"/>
              <w:left w:val="single" w:sz="4" w:space="0" w:color="auto"/>
              <w:bottom w:val="single" w:sz="4" w:space="0" w:color="auto"/>
              <w:right w:val="single" w:sz="4" w:space="0" w:color="auto"/>
            </w:tcBorders>
            <w:vAlign w:val="center"/>
            <w:hideMark/>
          </w:tcPr>
          <w:p w:rsidR="008A2B5D" w:rsidRPr="00B52715" w:rsidRDefault="008A2B5D" w:rsidP="0020759B">
            <w:pPr>
              <w:rPr>
                <w:color w:val="000000"/>
                <w:sz w:val="20"/>
                <w:szCs w:val="20"/>
              </w:rPr>
            </w:pPr>
          </w:p>
        </w:tc>
        <w:tc>
          <w:tcPr>
            <w:tcW w:w="2399" w:type="dxa"/>
            <w:tcBorders>
              <w:top w:val="nil"/>
              <w:left w:val="nil"/>
              <w:bottom w:val="single" w:sz="4" w:space="0" w:color="auto"/>
              <w:right w:val="single" w:sz="4" w:space="0" w:color="auto"/>
            </w:tcBorders>
            <w:shd w:val="clear" w:color="auto" w:fill="auto"/>
            <w:noWrap/>
            <w:vAlign w:val="center"/>
            <w:hideMark/>
          </w:tcPr>
          <w:p w:rsidR="008A2B5D" w:rsidRPr="00B52715" w:rsidRDefault="008A2B5D" w:rsidP="0020759B">
            <w:pPr>
              <w:jc w:val="center"/>
              <w:rPr>
                <w:color w:val="000000"/>
                <w:sz w:val="20"/>
                <w:szCs w:val="20"/>
              </w:rPr>
            </w:pPr>
            <w:r w:rsidRPr="00B52715">
              <w:rPr>
                <w:color w:val="000000"/>
                <w:sz w:val="20"/>
                <w:szCs w:val="20"/>
              </w:rPr>
              <w:t>September Monthly Peak</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0.69</w:t>
            </w:r>
          </w:p>
        </w:tc>
        <w:tc>
          <w:tcPr>
            <w:tcW w:w="1189"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0.69</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3.2</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3.2</w:t>
            </w:r>
          </w:p>
        </w:tc>
      </w:tr>
      <w:tr w:rsidR="008A2B5D" w:rsidRPr="00A04232" w:rsidTr="003E6B6C">
        <w:trPr>
          <w:trHeight w:val="300"/>
          <w:jc w:val="center"/>
        </w:trPr>
        <w:tc>
          <w:tcPr>
            <w:tcW w:w="1899" w:type="dxa"/>
            <w:vMerge/>
            <w:tcBorders>
              <w:top w:val="nil"/>
              <w:left w:val="single" w:sz="4" w:space="0" w:color="auto"/>
              <w:bottom w:val="single" w:sz="4" w:space="0" w:color="auto"/>
              <w:right w:val="single" w:sz="4" w:space="0" w:color="auto"/>
            </w:tcBorders>
            <w:vAlign w:val="center"/>
            <w:hideMark/>
          </w:tcPr>
          <w:p w:rsidR="008A2B5D" w:rsidRPr="00B52715" w:rsidRDefault="008A2B5D" w:rsidP="0020759B">
            <w:pPr>
              <w:rPr>
                <w:color w:val="000000"/>
                <w:sz w:val="20"/>
                <w:szCs w:val="20"/>
              </w:rPr>
            </w:pPr>
          </w:p>
        </w:tc>
        <w:tc>
          <w:tcPr>
            <w:tcW w:w="2399" w:type="dxa"/>
            <w:tcBorders>
              <w:top w:val="nil"/>
              <w:left w:val="nil"/>
              <w:bottom w:val="single" w:sz="4" w:space="0" w:color="auto"/>
              <w:right w:val="single" w:sz="4" w:space="0" w:color="auto"/>
            </w:tcBorders>
            <w:shd w:val="clear" w:color="auto" w:fill="auto"/>
            <w:noWrap/>
            <w:vAlign w:val="center"/>
            <w:hideMark/>
          </w:tcPr>
          <w:p w:rsidR="008A2B5D" w:rsidRPr="00B52715" w:rsidRDefault="008A2B5D" w:rsidP="0020759B">
            <w:pPr>
              <w:jc w:val="center"/>
              <w:rPr>
                <w:color w:val="000000"/>
                <w:sz w:val="20"/>
                <w:szCs w:val="20"/>
              </w:rPr>
            </w:pPr>
            <w:r w:rsidRPr="00B52715">
              <w:rPr>
                <w:color w:val="000000"/>
                <w:sz w:val="20"/>
                <w:szCs w:val="20"/>
              </w:rPr>
              <w:t>October Monthly Peak</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0.65</w:t>
            </w:r>
          </w:p>
        </w:tc>
        <w:tc>
          <w:tcPr>
            <w:tcW w:w="1189"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0.66</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3.0</w:t>
            </w:r>
          </w:p>
        </w:tc>
        <w:tc>
          <w:tcPr>
            <w:tcW w:w="1152" w:type="dxa"/>
            <w:tcBorders>
              <w:top w:val="nil"/>
              <w:left w:val="nil"/>
              <w:bottom w:val="single" w:sz="4" w:space="0" w:color="auto"/>
              <w:right w:val="single" w:sz="4" w:space="0" w:color="auto"/>
            </w:tcBorders>
            <w:shd w:val="clear" w:color="auto" w:fill="auto"/>
            <w:noWrap/>
            <w:hideMark/>
          </w:tcPr>
          <w:p w:rsidR="008A2B5D" w:rsidRPr="008A2B5D" w:rsidRDefault="008A2B5D" w:rsidP="008A2B5D">
            <w:pPr>
              <w:jc w:val="center"/>
              <w:rPr>
                <w:sz w:val="20"/>
                <w:szCs w:val="20"/>
              </w:rPr>
            </w:pPr>
            <w:r w:rsidRPr="008A2B5D">
              <w:rPr>
                <w:sz w:val="20"/>
                <w:szCs w:val="20"/>
              </w:rPr>
              <w:t>3.1</w:t>
            </w:r>
          </w:p>
        </w:tc>
      </w:tr>
    </w:tbl>
    <w:p w:rsidR="00B52715" w:rsidRDefault="00B52715" w:rsidP="00B52715">
      <w:pPr>
        <w:pStyle w:val="TableFigureCaption"/>
        <w:rPr>
          <w:highlight w:val="yellow"/>
        </w:rPr>
      </w:pPr>
    </w:p>
    <w:p w:rsidR="00B41973" w:rsidRPr="00B52715" w:rsidRDefault="00B41973" w:rsidP="00B52715">
      <w:pPr>
        <w:pStyle w:val="Heading2"/>
        <w:rPr>
          <w:rFonts w:ascii="Times New Roman" w:hAnsi="Times New Roman" w:cs="Times New Roman"/>
        </w:rPr>
      </w:pPr>
      <w:bookmarkStart w:id="184" w:name="_Toc447179811"/>
      <w:r w:rsidRPr="00B52715">
        <w:rPr>
          <w:rFonts w:ascii="Times New Roman" w:hAnsi="Times New Roman" w:cs="Times New Roman"/>
        </w:rPr>
        <w:t>Comparison of Ex-</w:t>
      </w:r>
      <w:r w:rsidR="00566C45">
        <w:rPr>
          <w:rFonts w:ascii="Times New Roman" w:hAnsi="Times New Roman" w:cs="Times New Roman"/>
        </w:rPr>
        <w:t>Ante and Ex-Post results</w:t>
      </w:r>
      <w:bookmarkEnd w:id="184"/>
    </w:p>
    <w:p w:rsidR="00434C7B" w:rsidRDefault="00434C7B" w:rsidP="00434C7B">
      <w:pPr>
        <w:pStyle w:val="BodyParagraph"/>
        <w:spacing w:after="0" w:line="276" w:lineRule="auto"/>
        <w:rPr>
          <w:rFonts w:ascii="Times New Roman" w:hAnsi="Times New Roman"/>
          <w:color w:val="0000CC"/>
          <w:sz w:val="24"/>
          <w:szCs w:val="24"/>
        </w:rPr>
      </w:pPr>
      <w:bookmarkStart w:id="185" w:name="_Toc259624216"/>
      <w:bookmarkStart w:id="186" w:name="_Toc259628892"/>
      <w:bookmarkStart w:id="187" w:name="_Toc289248367"/>
      <w:bookmarkStart w:id="188" w:name="_Toc351990594"/>
      <w:bookmarkStart w:id="189" w:name="_Toc352084171"/>
    </w:p>
    <w:p w:rsidR="008A73E2" w:rsidRDefault="008A73E2" w:rsidP="00434C7B">
      <w:pPr>
        <w:pStyle w:val="BodyParagraph"/>
        <w:spacing w:after="0" w:line="276" w:lineRule="auto"/>
        <w:ind w:firstLine="90"/>
        <w:rPr>
          <w:rFonts w:ascii="Times New Roman" w:hAnsi="Times New Roman"/>
          <w:color w:val="000000" w:themeColor="text1"/>
          <w:sz w:val="24"/>
          <w:szCs w:val="24"/>
        </w:rPr>
      </w:pPr>
      <w:r w:rsidRPr="00D84FC4">
        <w:rPr>
          <w:rFonts w:ascii="Times New Roman" w:hAnsi="Times New Roman"/>
          <w:color w:val="000000" w:themeColor="text1"/>
          <w:sz w:val="24"/>
          <w:szCs w:val="24"/>
        </w:rPr>
        <w:t xml:space="preserve">Ex post and ex ante load impacts may differ for a variety of reasons, including differences in weather conditions, the timing and length of the event window, and other factors such as changes in expected enrollment. Table 5-8 below presents an overall comparison of 2015 ex post load impacts and the ex ante load impacts as estimated for years 2016 through 2026. </w:t>
      </w:r>
    </w:p>
    <w:p w:rsidR="008A73E2" w:rsidRPr="00D84FC4" w:rsidRDefault="008A73E2" w:rsidP="00D84FC4">
      <w:pPr>
        <w:pStyle w:val="BodyParagraph"/>
        <w:spacing w:after="0" w:line="276" w:lineRule="auto"/>
        <w:ind w:firstLine="360"/>
        <w:rPr>
          <w:rFonts w:ascii="Times New Roman" w:hAnsi="Times New Roman"/>
          <w:color w:val="000000" w:themeColor="text1"/>
          <w:sz w:val="24"/>
          <w:szCs w:val="24"/>
        </w:rPr>
      </w:pPr>
    </w:p>
    <w:p w:rsidR="008A73E2" w:rsidRPr="0024252A" w:rsidRDefault="008A73E2" w:rsidP="008A73E2">
      <w:pPr>
        <w:pStyle w:val="TableFigureCaption"/>
        <w:rPr>
          <w:rFonts w:ascii="Times New Roman" w:hAnsi="Times New Roman"/>
        </w:rPr>
      </w:pPr>
      <w:r w:rsidRPr="0024252A">
        <w:rPr>
          <w:rFonts w:ascii="Times New Roman" w:hAnsi="Times New Roman"/>
        </w:rPr>
        <w:t xml:space="preserve">Table </w:t>
      </w:r>
      <w:r w:rsidR="0024252A" w:rsidRPr="0024252A">
        <w:rPr>
          <w:rFonts w:ascii="Times New Roman" w:hAnsi="Times New Roman"/>
        </w:rPr>
        <w:t>6</w:t>
      </w:r>
      <w:r w:rsidRPr="0024252A">
        <w:rPr>
          <w:rFonts w:ascii="Times New Roman" w:hAnsi="Times New Roman"/>
        </w:rPr>
        <w:t>-</w:t>
      </w:r>
      <w:r w:rsidR="0024252A" w:rsidRPr="0024252A">
        <w:rPr>
          <w:rFonts w:ascii="Times New Roman" w:hAnsi="Times New Roman"/>
        </w:rPr>
        <w:t>6</w:t>
      </w:r>
      <w:r w:rsidRPr="0024252A">
        <w:rPr>
          <w:rFonts w:ascii="Times New Roman" w:hAnsi="Times New Roman"/>
        </w:rPr>
        <w:t>: Comparison of 2015 Ex Post Load Impacts to Ex Ante Load Impacts by Month</w:t>
      </w:r>
    </w:p>
    <w:tbl>
      <w:tblPr>
        <w:tblW w:w="4860" w:type="dxa"/>
        <w:jc w:val="center"/>
        <w:tblInd w:w="93" w:type="dxa"/>
        <w:tblLook w:val="04A0" w:firstRow="1" w:lastRow="0" w:firstColumn="1" w:lastColumn="0" w:noHBand="0" w:noVBand="1"/>
      </w:tblPr>
      <w:tblGrid>
        <w:gridCol w:w="1293"/>
        <w:gridCol w:w="1800"/>
        <w:gridCol w:w="1800"/>
      </w:tblGrid>
      <w:tr w:rsidR="008A73E2" w:rsidRPr="00C831D9" w:rsidTr="0024252A">
        <w:trPr>
          <w:trHeight w:val="1020"/>
          <w:jc w:val="center"/>
        </w:trPr>
        <w:tc>
          <w:tcPr>
            <w:tcW w:w="1260" w:type="dxa"/>
            <w:vMerge w:val="restart"/>
            <w:tcBorders>
              <w:top w:val="single" w:sz="4" w:space="0" w:color="auto"/>
              <w:left w:val="single" w:sz="4" w:space="0" w:color="auto"/>
              <w:bottom w:val="single" w:sz="4" w:space="0" w:color="auto"/>
              <w:right w:val="single" w:sz="4" w:space="0" w:color="FFFFFF"/>
            </w:tcBorders>
            <w:shd w:val="clear" w:color="000000" w:fill="002060"/>
            <w:noWrap/>
            <w:vAlign w:val="center"/>
            <w:hideMark/>
          </w:tcPr>
          <w:p w:rsidR="008A73E2" w:rsidRPr="00C831D9" w:rsidRDefault="008A73E2" w:rsidP="00F821D4">
            <w:pPr>
              <w:jc w:val="center"/>
              <w:rPr>
                <w:rFonts w:ascii="Calibri" w:hAnsi="Calibri"/>
                <w:b/>
                <w:bCs/>
                <w:color w:val="FFFFFF"/>
                <w:sz w:val="20"/>
                <w:szCs w:val="20"/>
              </w:rPr>
            </w:pPr>
            <w:r w:rsidRPr="00C831D9">
              <w:rPr>
                <w:rFonts w:ascii="Calibri" w:hAnsi="Calibri"/>
                <w:b/>
                <w:bCs/>
                <w:color w:val="FFFFFF"/>
                <w:sz w:val="20"/>
                <w:szCs w:val="20"/>
              </w:rPr>
              <w:t>Month</w:t>
            </w:r>
          </w:p>
        </w:tc>
        <w:tc>
          <w:tcPr>
            <w:tcW w:w="1800" w:type="dxa"/>
            <w:vMerge w:val="restart"/>
            <w:tcBorders>
              <w:top w:val="single" w:sz="4" w:space="0" w:color="auto"/>
              <w:left w:val="nil"/>
              <w:bottom w:val="single" w:sz="4" w:space="0" w:color="auto"/>
              <w:right w:val="nil"/>
            </w:tcBorders>
            <w:shd w:val="clear" w:color="000000" w:fill="002060"/>
            <w:vAlign w:val="center"/>
            <w:hideMark/>
          </w:tcPr>
          <w:p w:rsidR="008A73E2" w:rsidRPr="00C831D9" w:rsidRDefault="008A73E2" w:rsidP="00F821D4">
            <w:pPr>
              <w:jc w:val="center"/>
              <w:rPr>
                <w:rFonts w:ascii="Calibri" w:hAnsi="Calibri"/>
                <w:b/>
                <w:bCs/>
                <w:color w:val="FFFFFF"/>
                <w:sz w:val="20"/>
                <w:szCs w:val="20"/>
              </w:rPr>
            </w:pPr>
            <w:r w:rsidRPr="00C831D9">
              <w:rPr>
                <w:rFonts w:ascii="Calibri" w:hAnsi="Calibri"/>
                <w:b/>
                <w:bCs/>
                <w:color w:val="FFFFFF"/>
                <w:sz w:val="20"/>
                <w:szCs w:val="20"/>
              </w:rPr>
              <w:t>Ex Post Average Aggregate Impacts* (MW)</w:t>
            </w:r>
          </w:p>
        </w:tc>
        <w:tc>
          <w:tcPr>
            <w:tcW w:w="1800" w:type="dxa"/>
            <w:vMerge w:val="restart"/>
            <w:tcBorders>
              <w:top w:val="single" w:sz="4" w:space="0" w:color="auto"/>
              <w:left w:val="single" w:sz="4" w:space="0" w:color="FFFFFF"/>
              <w:bottom w:val="single" w:sz="4" w:space="0" w:color="auto"/>
              <w:right w:val="single" w:sz="4" w:space="0" w:color="auto"/>
            </w:tcBorders>
            <w:shd w:val="clear" w:color="000000" w:fill="002060"/>
            <w:vAlign w:val="center"/>
            <w:hideMark/>
          </w:tcPr>
          <w:p w:rsidR="008A73E2" w:rsidRPr="00C831D9" w:rsidRDefault="008A73E2" w:rsidP="00F821D4">
            <w:pPr>
              <w:jc w:val="center"/>
              <w:rPr>
                <w:rFonts w:ascii="Calibri" w:hAnsi="Calibri"/>
                <w:b/>
                <w:bCs/>
                <w:color w:val="FFFFFF"/>
                <w:sz w:val="20"/>
                <w:szCs w:val="20"/>
              </w:rPr>
            </w:pPr>
            <w:r w:rsidRPr="00C831D9">
              <w:rPr>
                <w:rFonts w:ascii="Calibri" w:hAnsi="Calibri"/>
                <w:b/>
                <w:bCs/>
                <w:color w:val="FFFFFF"/>
                <w:sz w:val="20"/>
                <w:szCs w:val="20"/>
              </w:rPr>
              <w:t xml:space="preserve">Ex Ante Impact** CAISO    </w:t>
            </w:r>
            <w:r w:rsidRPr="00C831D9">
              <w:rPr>
                <w:rFonts w:ascii="Calibri" w:hAnsi="Calibri"/>
                <w:b/>
                <w:bCs/>
                <w:color w:val="FFFFFF"/>
                <w:sz w:val="20"/>
                <w:szCs w:val="20"/>
              </w:rPr>
              <w:br/>
              <w:t>1-in-2 (MW)</w:t>
            </w:r>
          </w:p>
        </w:tc>
      </w:tr>
      <w:tr w:rsidR="008A73E2" w:rsidRPr="00C831D9" w:rsidTr="0024252A">
        <w:trPr>
          <w:trHeight w:val="300"/>
          <w:jc w:val="center"/>
        </w:trPr>
        <w:tc>
          <w:tcPr>
            <w:tcW w:w="1260" w:type="dxa"/>
            <w:vMerge/>
            <w:tcBorders>
              <w:top w:val="single" w:sz="4" w:space="0" w:color="FFFFFF"/>
              <w:left w:val="single" w:sz="4" w:space="0" w:color="auto"/>
              <w:bottom w:val="single" w:sz="4" w:space="0" w:color="auto"/>
              <w:right w:val="single" w:sz="4" w:space="0" w:color="FFFFFF"/>
            </w:tcBorders>
            <w:shd w:val="clear" w:color="000000" w:fill="002060"/>
            <w:vAlign w:val="center"/>
            <w:hideMark/>
          </w:tcPr>
          <w:p w:rsidR="008A73E2" w:rsidRPr="00C831D9" w:rsidRDefault="008A73E2" w:rsidP="00F821D4">
            <w:pPr>
              <w:rPr>
                <w:rFonts w:ascii="Calibri" w:hAnsi="Calibri"/>
                <w:b/>
                <w:bCs/>
                <w:color w:val="FFFFFF"/>
                <w:sz w:val="20"/>
                <w:szCs w:val="20"/>
              </w:rPr>
            </w:pPr>
          </w:p>
        </w:tc>
        <w:tc>
          <w:tcPr>
            <w:tcW w:w="1800" w:type="dxa"/>
            <w:vMerge/>
            <w:tcBorders>
              <w:top w:val="single" w:sz="4" w:space="0" w:color="FFFFFF"/>
              <w:left w:val="nil"/>
              <w:bottom w:val="single" w:sz="4" w:space="0" w:color="auto"/>
              <w:right w:val="nil"/>
            </w:tcBorders>
            <w:shd w:val="clear" w:color="000000" w:fill="002060"/>
            <w:vAlign w:val="center"/>
            <w:hideMark/>
          </w:tcPr>
          <w:p w:rsidR="008A73E2" w:rsidRPr="00C831D9" w:rsidRDefault="008A73E2" w:rsidP="00F821D4">
            <w:pPr>
              <w:rPr>
                <w:rFonts w:ascii="Calibri" w:hAnsi="Calibri"/>
                <w:b/>
                <w:bCs/>
                <w:color w:val="FFFFFF"/>
                <w:sz w:val="20"/>
                <w:szCs w:val="20"/>
              </w:rPr>
            </w:pPr>
          </w:p>
        </w:tc>
        <w:tc>
          <w:tcPr>
            <w:tcW w:w="1800" w:type="dxa"/>
            <w:vMerge/>
            <w:tcBorders>
              <w:top w:val="single" w:sz="4" w:space="0" w:color="FFFFFF"/>
              <w:left w:val="single" w:sz="4" w:space="0" w:color="FFFFFF"/>
              <w:bottom w:val="single" w:sz="4" w:space="0" w:color="auto"/>
              <w:right w:val="single" w:sz="4" w:space="0" w:color="auto"/>
            </w:tcBorders>
            <w:shd w:val="clear" w:color="000000" w:fill="002060"/>
            <w:vAlign w:val="center"/>
            <w:hideMark/>
          </w:tcPr>
          <w:p w:rsidR="008A73E2" w:rsidRPr="00C831D9" w:rsidRDefault="008A73E2" w:rsidP="00F821D4">
            <w:pPr>
              <w:rPr>
                <w:rFonts w:ascii="Calibri" w:hAnsi="Calibri"/>
                <w:b/>
                <w:bCs/>
                <w:color w:val="FFFFFF"/>
                <w:sz w:val="20"/>
                <w:szCs w:val="20"/>
              </w:rPr>
            </w:pPr>
          </w:p>
        </w:tc>
      </w:tr>
      <w:tr w:rsidR="008A73E2" w:rsidRPr="00C831D9" w:rsidTr="0024252A">
        <w:trPr>
          <w:trHeight w:val="300"/>
          <w:jc w:val="center"/>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73E2" w:rsidRPr="00C831D9" w:rsidRDefault="008A73E2" w:rsidP="00F821D4">
            <w:pPr>
              <w:rPr>
                <w:rFonts w:ascii="Calibri" w:hAnsi="Calibri"/>
                <w:color w:val="000000"/>
              </w:rPr>
            </w:pPr>
            <w:r w:rsidRPr="00C831D9">
              <w:rPr>
                <w:rFonts w:ascii="Calibri" w:hAnsi="Calibri"/>
                <w:color w:val="000000"/>
              </w:rPr>
              <w:t>August</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8A73E2" w:rsidRPr="00C831D9" w:rsidRDefault="008A73E2" w:rsidP="00F821D4">
            <w:pPr>
              <w:jc w:val="center"/>
              <w:rPr>
                <w:rFonts w:ascii="Calibri" w:hAnsi="Calibri"/>
                <w:color w:val="000000"/>
                <w:sz w:val="20"/>
                <w:szCs w:val="20"/>
              </w:rPr>
            </w:pPr>
            <w:r w:rsidRPr="00C831D9">
              <w:rPr>
                <w:rFonts w:ascii="Calibri" w:hAnsi="Calibri"/>
                <w:color w:val="000000"/>
                <w:sz w:val="20"/>
                <w:szCs w:val="20"/>
              </w:rPr>
              <w:t>13.9</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8A73E2" w:rsidRPr="00C831D9" w:rsidRDefault="008A73E2" w:rsidP="00F821D4">
            <w:pPr>
              <w:jc w:val="center"/>
              <w:rPr>
                <w:rFonts w:ascii="Calibri" w:hAnsi="Calibri"/>
                <w:color w:val="000000"/>
                <w:sz w:val="20"/>
                <w:szCs w:val="20"/>
              </w:rPr>
            </w:pPr>
            <w:r w:rsidRPr="00C831D9">
              <w:rPr>
                <w:rFonts w:ascii="Calibri" w:hAnsi="Calibri"/>
                <w:color w:val="000000"/>
                <w:sz w:val="20"/>
                <w:szCs w:val="20"/>
              </w:rPr>
              <w:t>14.5</w:t>
            </w:r>
          </w:p>
        </w:tc>
      </w:tr>
      <w:tr w:rsidR="008A73E2" w:rsidRPr="00C831D9" w:rsidTr="00F821D4">
        <w:trPr>
          <w:trHeight w:val="300"/>
          <w:jc w:val="cente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A73E2" w:rsidRPr="00C831D9" w:rsidRDefault="008A73E2" w:rsidP="00F821D4">
            <w:pPr>
              <w:rPr>
                <w:rFonts w:ascii="Calibri" w:hAnsi="Calibri"/>
                <w:color w:val="000000"/>
              </w:rPr>
            </w:pPr>
            <w:r w:rsidRPr="00C831D9">
              <w:rPr>
                <w:rFonts w:ascii="Calibri" w:hAnsi="Calibri"/>
                <w:color w:val="000000"/>
              </w:rPr>
              <w:t>September</w:t>
            </w:r>
          </w:p>
        </w:tc>
        <w:tc>
          <w:tcPr>
            <w:tcW w:w="1800" w:type="dxa"/>
            <w:tcBorders>
              <w:top w:val="nil"/>
              <w:left w:val="nil"/>
              <w:bottom w:val="single" w:sz="4" w:space="0" w:color="auto"/>
              <w:right w:val="single" w:sz="4" w:space="0" w:color="auto"/>
            </w:tcBorders>
            <w:shd w:val="clear" w:color="auto" w:fill="auto"/>
            <w:noWrap/>
            <w:vAlign w:val="bottom"/>
            <w:hideMark/>
          </w:tcPr>
          <w:p w:rsidR="008A73E2" w:rsidRPr="00C831D9" w:rsidRDefault="008A73E2" w:rsidP="00F821D4">
            <w:pPr>
              <w:jc w:val="center"/>
              <w:rPr>
                <w:rFonts w:ascii="Calibri" w:hAnsi="Calibri"/>
                <w:color w:val="000000"/>
                <w:sz w:val="20"/>
                <w:szCs w:val="20"/>
              </w:rPr>
            </w:pPr>
            <w:r w:rsidRPr="00C831D9">
              <w:rPr>
                <w:rFonts w:ascii="Calibri" w:hAnsi="Calibri"/>
                <w:color w:val="000000"/>
                <w:sz w:val="20"/>
                <w:szCs w:val="20"/>
              </w:rPr>
              <w:t>14.2</w:t>
            </w:r>
          </w:p>
        </w:tc>
        <w:tc>
          <w:tcPr>
            <w:tcW w:w="1800" w:type="dxa"/>
            <w:tcBorders>
              <w:top w:val="nil"/>
              <w:left w:val="nil"/>
              <w:bottom w:val="single" w:sz="4" w:space="0" w:color="auto"/>
              <w:right w:val="single" w:sz="4" w:space="0" w:color="auto"/>
            </w:tcBorders>
            <w:shd w:val="clear" w:color="auto" w:fill="auto"/>
            <w:noWrap/>
            <w:vAlign w:val="center"/>
            <w:hideMark/>
          </w:tcPr>
          <w:p w:rsidR="008A73E2" w:rsidRPr="00C831D9" w:rsidRDefault="008A73E2" w:rsidP="00F821D4">
            <w:pPr>
              <w:jc w:val="center"/>
              <w:rPr>
                <w:rFonts w:ascii="Calibri" w:hAnsi="Calibri"/>
                <w:color w:val="000000"/>
                <w:sz w:val="20"/>
                <w:szCs w:val="20"/>
              </w:rPr>
            </w:pPr>
            <w:r w:rsidRPr="00C831D9">
              <w:rPr>
                <w:rFonts w:ascii="Calibri" w:hAnsi="Calibri"/>
                <w:color w:val="000000"/>
                <w:sz w:val="20"/>
                <w:szCs w:val="20"/>
              </w:rPr>
              <w:t>15.0</w:t>
            </w:r>
          </w:p>
        </w:tc>
      </w:tr>
      <w:tr w:rsidR="008A73E2" w:rsidRPr="00C831D9" w:rsidTr="00F821D4">
        <w:trPr>
          <w:trHeight w:val="300"/>
          <w:jc w:val="cente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8A73E2" w:rsidRPr="00C831D9" w:rsidRDefault="008A73E2" w:rsidP="00F821D4">
            <w:pPr>
              <w:rPr>
                <w:rFonts w:ascii="Calibri" w:hAnsi="Calibri"/>
                <w:color w:val="000000"/>
              </w:rPr>
            </w:pPr>
            <w:r w:rsidRPr="00C831D9">
              <w:rPr>
                <w:rFonts w:ascii="Calibri" w:hAnsi="Calibri"/>
                <w:color w:val="000000"/>
              </w:rPr>
              <w:t>October</w:t>
            </w:r>
          </w:p>
        </w:tc>
        <w:tc>
          <w:tcPr>
            <w:tcW w:w="1800" w:type="dxa"/>
            <w:tcBorders>
              <w:top w:val="nil"/>
              <w:left w:val="nil"/>
              <w:bottom w:val="single" w:sz="4" w:space="0" w:color="auto"/>
              <w:right w:val="single" w:sz="4" w:space="0" w:color="auto"/>
            </w:tcBorders>
            <w:shd w:val="clear" w:color="auto" w:fill="auto"/>
            <w:noWrap/>
            <w:vAlign w:val="bottom"/>
            <w:hideMark/>
          </w:tcPr>
          <w:p w:rsidR="008A73E2" w:rsidRPr="00C831D9" w:rsidRDefault="008A73E2" w:rsidP="00F821D4">
            <w:pPr>
              <w:jc w:val="center"/>
              <w:rPr>
                <w:rFonts w:ascii="Calibri" w:hAnsi="Calibri"/>
                <w:color w:val="000000"/>
                <w:sz w:val="20"/>
                <w:szCs w:val="20"/>
              </w:rPr>
            </w:pPr>
            <w:r w:rsidRPr="00C831D9">
              <w:rPr>
                <w:rFonts w:ascii="Calibri" w:hAnsi="Calibri"/>
                <w:color w:val="000000"/>
                <w:sz w:val="20"/>
                <w:szCs w:val="20"/>
              </w:rPr>
              <w:t>11.4</w:t>
            </w:r>
          </w:p>
        </w:tc>
        <w:tc>
          <w:tcPr>
            <w:tcW w:w="1800" w:type="dxa"/>
            <w:tcBorders>
              <w:top w:val="nil"/>
              <w:left w:val="nil"/>
              <w:bottom w:val="single" w:sz="4" w:space="0" w:color="auto"/>
              <w:right w:val="single" w:sz="4" w:space="0" w:color="auto"/>
            </w:tcBorders>
            <w:shd w:val="clear" w:color="auto" w:fill="auto"/>
            <w:noWrap/>
            <w:vAlign w:val="center"/>
            <w:hideMark/>
          </w:tcPr>
          <w:p w:rsidR="008A73E2" w:rsidRPr="00C831D9" w:rsidRDefault="008A73E2" w:rsidP="00F821D4">
            <w:pPr>
              <w:jc w:val="center"/>
              <w:rPr>
                <w:rFonts w:ascii="Calibri" w:hAnsi="Calibri"/>
                <w:color w:val="000000"/>
                <w:sz w:val="20"/>
                <w:szCs w:val="20"/>
              </w:rPr>
            </w:pPr>
            <w:r w:rsidRPr="00C831D9">
              <w:rPr>
                <w:rFonts w:ascii="Calibri" w:hAnsi="Calibri"/>
                <w:color w:val="000000"/>
                <w:sz w:val="20"/>
                <w:szCs w:val="20"/>
              </w:rPr>
              <w:t>9.3</w:t>
            </w:r>
          </w:p>
        </w:tc>
      </w:tr>
      <w:tr w:rsidR="008A73E2" w:rsidRPr="00C831D9" w:rsidTr="00F821D4">
        <w:trPr>
          <w:trHeight w:val="315"/>
          <w:jc w:val="center"/>
        </w:trPr>
        <w:tc>
          <w:tcPr>
            <w:tcW w:w="4860" w:type="dxa"/>
            <w:gridSpan w:val="3"/>
            <w:tcBorders>
              <w:top w:val="single" w:sz="4" w:space="0" w:color="auto"/>
              <w:left w:val="nil"/>
              <w:bottom w:val="nil"/>
              <w:right w:val="nil"/>
            </w:tcBorders>
            <w:shd w:val="clear" w:color="auto" w:fill="auto"/>
            <w:noWrap/>
            <w:vAlign w:val="bottom"/>
            <w:hideMark/>
          </w:tcPr>
          <w:p w:rsidR="008A73E2" w:rsidRPr="00C831D9" w:rsidRDefault="008A73E2" w:rsidP="00F821D4">
            <w:pPr>
              <w:rPr>
                <w:rFonts w:ascii="Franklin Gothic Book" w:hAnsi="Franklin Gothic Book"/>
                <w:color w:val="000000"/>
              </w:rPr>
            </w:pPr>
            <w:r w:rsidRPr="00C831D9">
              <w:rPr>
                <w:rFonts w:ascii="Franklin Gothic Book" w:hAnsi="Franklin Gothic Book"/>
                <w:color w:val="000000"/>
              </w:rPr>
              <w:t>*</w:t>
            </w:r>
            <w:r w:rsidRPr="00C831D9">
              <w:rPr>
                <w:rFonts w:ascii="Franklin Gothic Book" w:hAnsi="Franklin Gothic Book"/>
                <w:color w:val="000000"/>
                <w:sz w:val="18"/>
                <w:szCs w:val="18"/>
              </w:rPr>
              <w:t>Average of 2015 events by month</w:t>
            </w:r>
          </w:p>
        </w:tc>
      </w:tr>
      <w:tr w:rsidR="008A73E2" w:rsidRPr="00C831D9" w:rsidTr="00F821D4">
        <w:trPr>
          <w:trHeight w:val="300"/>
          <w:jc w:val="center"/>
        </w:trPr>
        <w:tc>
          <w:tcPr>
            <w:tcW w:w="4860" w:type="dxa"/>
            <w:gridSpan w:val="3"/>
            <w:tcBorders>
              <w:top w:val="nil"/>
              <w:left w:val="nil"/>
              <w:bottom w:val="nil"/>
              <w:right w:val="nil"/>
            </w:tcBorders>
            <w:shd w:val="clear" w:color="auto" w:fill="auto"/>
            <w:noWrap/>
            <w:vAlign w:val="bottom"/>
            <w:hideMark/>
          </w:tcPr>
          <w:p w:rsidR="008A73E2" w:rsidRPr="00C831D9" w:rsidRDefault="008A73E2" w:rsidP="00F821D4">
            <w:pPr>
              <w:rPr>
                <w:rFonts w:ascii="Franklin Gothic Book" w:hAnsi="Franklin Gothic Book"/>
                <w:color w:val="000000"/>
                <w:sz w:val="18"/>
                <w:szCs w:val="18"/>
              </w:rPr>
            </w:pPr>
            <w:r w:rsidRPr="00C831D9">
              <w:rPr>
                <w:rFonts w:ascii="Franklin Gothic Book" w:hAnsi="Franklin Gothic Book"/>
                <w:color w:val="000000"/>
                <w:sz w:val="18"/>
                <w:szCs w:val="18"/>
              </w:rPr>
              <w:t>**For RA hours of 1-6 PM</w:t>
            </w:r>
          </w:p>
        </w:tc>
      </w:tr>
    </w:tbl>
    <w:p w:rsidR="008A73E2" w:rsidRDefault="008A73E2" w:rsidP="008A73E2">
      <w:pPr>
        <w:pStyle w:val="BodyParagraph"/>
        <w:rPr>
          <w:rFonts w:asciiTheme="minorHAnsi" w:hAnsiTheme="minorHAnsi"/>
        </w:rPr>
      </w:pPr>
    </w:p>
    <w:p w:rsidR="004C2D71" w:rsidRDefault="003A446A" w:rsidP="009E43A3">
      <w:pPr>
        <w:pStyle w:val="Heading1"/>
        <w:rPr>
          <w:rFonts w:ascii="Times New Roman" w:hAnsi="Times New Roman" w:cs="Times New Roman"/>
          <w:color w:val="000000" w:themeColor="text1"/>
        </w:rPr>
      </w:pPr>
      <w:bookmarkStart w:id="190" w:name="_Toc447179812"/>
      <w:r w:rsidRPr="00FB0844">
        <w:rPr>
          <w:rFonts w:ascii="Times New Roman" w:hAnsi="Times New Roman" w:cs="Times New Roman"/>
          <w:color w:val="000000" w:themeColor="text1"/>
        </w:rPr>
        <w:t xml:space="preserve">Opt-in </w:t>
      </w:r>
      <w:r w:rsidR="00ED7741" w:rsidRPr="00FB0844">
        <w:rPr>
          <w:rFonts w:ascii="Times New Roman" w:hAnsi="Times New Roman" w:cs="Times New Roman"/>
          <w:color w:val="000000" w:themeColor="text1"/>
        </w:rPr>
        <w:t xml:space="preserve">Peak Time Rebate </w:t>
      </w:r>
      <w:bookmarkEnd w:id="185"/>
      <w:bookmarkEnd w:id="186"/>
      <w:bookmarkEnd w:id="187"/>
      <w:r w:rsidR="00ED7741" w:rsidRPr="00FB0844">
        <w:rPr>
          <w:rFonts w:ascii="Times New Roman" w:hAnsi="Times New Roman" w:cs="Times New Roman"/>
          <w:color w:val="000000" w:themeColor="text1"/>
        </w:rPr>
        <w:t>P</w:t>
      </w:r>
      <w:bookmarkEnd w:id="188"/>
      <w:r w:rsidR="00674C32" w:rsidRPr="00FB0844">
        <w:rPr>
          <w:rFonts w:ascii="Times New Roman" w:hAnsi="Times New Roman" w:cs="Times New Roman"/>
          <w:color w:val="000000" w:themeColor="text1"/>
        </w:rPr>
        <w:t>rogram</w:t>
      </w:r>
      <w:bookmarkEnd w:id="189"/>
      <w:r w:rsidR="00687DC6">
        <w:rPr>
          <w:rFonts w:ascii="Times New Roman" w:hAnsi="Times New Roman" w:cs="Times New Roman"/>
          <w:color w:val="000000" w:themeColor="text1"/>
        </w:rPr>
        <w:t xml:space="preserve"> (PTR) and </w:t>
      </w:r>
      <w:r w:rsidR="006D03E7">
        <w:rPr>
          <w:rFonts w:ascii="Times New Roman" w:hAnsi="Times New Roman" w:cs="Times New Roman"/>
          <w:color w:val="000000" w:themeColor="text1"/>
        </w:rPr>
        <w:t xml:space="preserve">Residential </w:t>
      </w:r>
      <w:r w:rsidR="00687DC6" w:rsidRPr="00687DC6">
        <w:rPr>
          <w:rFonts w:ascii="Times New Roman" w:hAnsi="Times New Roman" w:cs="Times New Roman"/>
          <w:color w:val="000000" w:themeColor="text1"/>
        </w:rPr>
        <w:t>Small Customer Technology Deployment (SCTD) Program</w:t>
      </w:r>
      <w:bookmarkEnd w:id="190"/>
    </w:p>
    <w:p w:rsidR="00920140" w:rsidRPr="00387B14" w:rsidRDefault="00920140" w:rsidP="00865030">
      <w:pPr>
        <w:pStyle w:val="Heading2"/>
        <w:ind w:left="450" w:hanging="450"/>
        <w:rPr>
          <w:rFonts w:ascii="Times New Roman" w:hAnsi="Times New Roman" w:cs="Times New Roman"/>
          <w:bCs w:val="0"/>
          <w:iCs w:val="0"/>
          <w:color w:val="000000" w:themeColor="text1"/>
        </w:rPr>
      </w:pPr>
      <w:bookmarkStart w:id="191" w:name="_Toc447179813"/>
      <w:r>
        <w:rPr>
          <w:rFonts w:ascii="Times New Roman" w:hAnsi="Times New Roman" w:cs="Times New Roman"/>
          <w:bCs w:val="0"/>
          <w:iCs w:val="0"/>
          <w:color w:val="000000" w:themeColor="text1"/>
        </w:rPr>
        <w:t>Program Overview</w:t>
      </w:r>
      <w:bookmarkEnd w:id="191"/>
    </w:p>
    <w:p w:rsidR="00920140" w:rsidRPr="00865030" w:rsidRDefault="00920140" w:rsidP="00865030">
      <w:pPr>
        <w:pStyle w:val="Heading3"/>
        <w:ind w:left="720"/>
        <w:rPr>
          <w:rFonts w:ascii="Times New Roman" w:hAnsi="Times New Roman" w:cs="Times New Roman"/>
        </w:rPr>
      </w:pPr>
      <w:bookmarkStart w:id="192" w:name="_Toc447179814"/>
      <w:r w:rsidRPr="00865030">
        <w:rPr>
          <w:rFonts w:ascii="Times New Roman" w:hAnsi="Times New Roman" w:cs="Times New Roman"/>
        </w:rPr>
        <w:t>Opt-in PTR</w:t>
      </w:r>
      <w:r w:rsidRPr="00865030">
        <w:rPr>
          <w:rFonts w:ascii="Times New Roman" w:hAnsi="Times New Roman" w:cs="Times New Roman"/>
          <w:i/>
        </w:rPr>
        <w:t xml:space="preserve"> </w:t>
      </w:r>
      <w:r w:rsidRPr="00865030">
        <w:rPr>
          <w:rFonts w:ascii="Times New Roman" w:hAnsi="Times New Roman" w:cs="Times New Roman"/>
        </w:rPr>
        <w:t>Program Description</w:t>
      </w:r>
      <w:bookmarkEnd w:id="192"/>
    </w:p>
    <w:p w:rsidR="00ED7741" w:rsidRPr="00263F19" w:rsidRDefault="00ED7741" w:rsidP="00D14A70">
      <w:pPr>
        <w:keepNext/>
        <w:keepLines/>
        <w:spacing w:line="276" w:lineRule="auto"/>
        <w:rPr>
          <w:b/>
          <w:color w:val="FF0000"/>
        </w:rPr>
      </w:pPr>
    </w:p>
    <w:p w:rsidR="0091367A" w:rsidRPr="008227A8" w:rsidRDefault="00FB0844" w:rsidP="003562F8">
      <w:pPr>
        <w:pStyle w:val="BodyParagraph"/>
        <w:spacing w:after="0" w:line="276" w:lineRule="auto"/>
        <w:ind w:firstLine="360"/>
        <w:rPr>
          <w:rFonts w:ascii="Times New Roman" w:hAnsi="Times New Roman"/>
          <w:color w:val="000000" w:themeColor="text1"/>
          <w:sz w:val="24"/>
          <w:szCs w:val="24"/>
        </w:rPr>
      </w:pPr>
      <w:r w:rsidRPr="008227A8">
        <w:rPr>
          <w:rFonts w:ascii="Times New Roman" w:hAnsi="Times New Roman"/>
          <w:color w:val="000000" w:themeColor="text1"/>
          <w:sz w:val="24"/>
          <w:szCs w:val="24"/>
        </w:rPr>
        <w:t>The program provides customers with notification on a day-ahead basis that a PTR event will occur on the following day.  In emergency situations, a PTR event can be called on a day-of basis to help address an emergency, but day-of events are not the primary design or intended use of the program.  PTR is a two-level incentive program, providing a basic incentive level ($0.75/kWh) to customers that reduce energy use through manual means and a premium incentive ($1.25/kWh) to customers that reduce energy use through automated demand response (DR) enabling technologies.  The PTR bill credit is calculated based on their event day reduction in electric usage below their established customer-specific reference level (CRL).  The program is marketed under the name Reduce Your Use (RYU) and is an opt-in program for residential customers.  CPUC Decision D-13-07-003 directed SDG&amp;E to require residential customers to enroll in PTR to receive a bill credit beginning in 2014.  Prior to 2014, the PTR program was a default program for all SDG&amp;E residential customers with an opt-in component whereby customers could receive notification of events.</w:t>
      </w:r>
    </w:p>
    <w:p w:rsidR="00FB0844" w:rsidRPr="008227A8" w:rsidRDefault="00FB0844" w:rsidP="003562F8">
      <w:pPr>
        <w:pStyle w:val="BodyParagraph"/>
        <w:spacing w:after="0" w:line="276" w:lineRule="auto"/>
        <w:ind w:firstLine="360"/>
        <w:rPr>
          <w:rFonts w:ascii="Times New Roman" w:hAnsi="Times New Roman"/>
          <w:color w:val="000000" w:themeColor="text1"/>
          <w:sz w:val="24"/>
          <w:szCs w:val="24"/>
        </w:rPr>
      </w:pPr>
    </w:p>
    <w:p w:rsidR="00920140" w:rsidRPr="00865030" w:rsidRDefault="00920140" w:rsidP="00865030">
      <w:pPr>
        <w:pStyle w:val="Heading3"/>
        <w:ind w:left="720"/>
        <w:rPr>
          <w:rFonts w:ascii="Times New Roman" w:hAnsi="Times New Roman" w:cs="Times New Roman"/>
        </w:rPr>
      </w:pPr>
      <w:bookmarkStart w:id="193" w:name="_Toc447179815"/>
      <w:r w:rsidRPr="00865030">
        <w:rPr>
          <w:rFonts w:ascii="Times New Roman" w:hAnsi="Times New Roman" w:cs="Times New Roman"/>
        </w:rPr>
        <w:lastRenderedPageBreak/>
        <w:t>SCTD Program Description</w:t>
      </w:r>
      <w:bookmarkEnd w:id="193"/>
    </w:p>
    <w:p w:rsidR="002759D2" w:rsidRPr="008227A8" w:rsidRDefault="002759D2" w:rsidP="003562F8">
      <w:pPr>
        <w:spacing w:line="276" w:lineRule="auto"/>
        <w:ind w:firstLine="360"/>
        <w:rPr>
          <w:color w:val="000000" w:themeColor="text1"/>
        </w:rPr>
      </w:pPr>
    </w:p>
    <w:p w:rsidR="004F0F37" w:rsidRPr="008227A8" w:rsidRDefault="004F0F37" w:rsidP="003562F8">
      <w:pPr>
        <w:spacing w:line="276" w:lineRule="auto"/>
        <w:ind w:firstLine="360"/>
        <w:rPr>
          <w:color w:val="000000" w:themeColor="text1"/>
        </w:rPr>
      </w:pPr>
      <w:r w:rsidRPr="008227A8">
        <w:rPr>
          <w:color w:val="000000" w:themeColor="text1"/>
        </w:rPr>
        <w:t>The program provides demand response enabling technology to residential customers.  In 2014 the enabling technology was offered free of charge and customers received bill credits through the PTR program.  The enabling technology offered in 2014 was the Ecobee Smart Si thermostat These thermostats are signaled by SDG&amp;E through Wi-Fi.  Two cycling strategies were being tested.  The first strategy is a four degree thermostat setback and the other is a 50% AC cycling strategy.  Customer</w:t>
      </w:r>
      <w:r w:rsidR="003562F8" w:rsidRPr="008227A8">
        <w:rPr>
          <w:color w:val="000000" w:themeColor="text1"/>
        </w:rPr>
        <w:t>s</w:t>
      </w:r>
      <w:r w:rsidRPr="008227A8">
        <w:rPr>
          <w:color w:val="000000" w:themeColor="text1"/>
        </w:rPr>
        <w:t xml:space="preserve"> were randomly assigned to one of the two strategies.  Although PTR events are seven hours long SCTD participant’s thermostats were curtailed for 4 hours, typically from 2 p.m. – 6 p.m.  </w:t>
      </w:r>
    </w:p>
    <w:p w:rsidR="004F0F37" w:rsidRPr="008227A8" w:rsidRDefault="004F0F37" w:rsidP="003562F8">
      <w:pPr>
        <w:spacing w:line="276" w:lineRule="auto"/>
        <w:ind w:firstLine="360"/>
        <w:rPr>
          <w:color w:val="000000" w:themeColor="text1"/>
        </w:rPr>
      </w:pPr>
    </w:p>
    <w:p w:rsidR="004F0F37" w:rsidRPr="008227A8" w:rsidRDefault="004F0F37" w:rsidP="003562F8">
      <w:pPr>
        <w:spacing w:line="276" w:lineRule="auto"/>
        <w:ind w:firstLine="360"/>
        <w:rPr>
          <w:color w:val="000000" w:themeColor="text1"/>
        </w:rPr>
      </w:pPr>
      <w:r w:rsidRPr="008227A8">
        <w:rPr>
          <w:color w:val="000000" w:themeColor="text1"/>
        </w:rPr>
        <w:t xml:space="preserve">Since PTR is opt-in a customer must enroll to receive a bill credit.  Not all SCTD customers enrolled themselves in PTR.  If the customers did not enroll in PTR their thermostat was curtailed but they did not receive a bill credit.  </w:t>
      </w:r>
    </w:p>
    <w:p w:rsidR="004F0F37" w:rsidRPr="008227A8" w:rsidRDefault="004F0F37" w:rsidP="003562F8">
      <w:pPr>
        <w:spacing w:line="276" w:lineRule="auto"/>
        <w:ind w:firstLine="360"/>
        <w:rPr>
          <w:color w:val="000000" w:themeColor="text1"/>
        </w:rPr>
      </w:pPr>
    </w:p>
    <w:p w:rsidR="00920140" w:rsidRPr="008227A8" w:rsidRDefault="004F0F37" w:rsidP="003562F8">
      <w:pPr>
        <w:spacing w:line="276" w:lineRule="auto"/>
        <w:ind w:firstLine="360"/>
        <w:rPr>
          <w:color w:val="000000" w:themeColor="text1"/>
        </w:rPr>
      </w:pPr>
      <w:r w:rsidRPr="008227A8">
        <w:rPr>
          <w:color w:val="000000" w:themeColor="text1"/>
        </w:rPr>
        <w:t xml:space="preserve">SDG&amp;E also offers an air-conditioning cycling program called Summer Saver.  Residential customers are either enrolled on a 50% cycling option or a 100% cycling option.  Some of these customers are also enrolled in PTR and receive the higher bill credit of $1.25.  The Summer Saver program is run by a third party aggregator and the contract expires after summer of 2016. </w:t>
      </w:r>
    </w:p>
    <w:p w:rsidR="00920140" w:rsidRPr="00387B14" w:rsidRDefault="003562F8" w:rsidP="00920140">
      <w:pPr>
        <w:pStyle w:val="Heading2"/>
        <w:rPr>
          <w:rFonts w:ascii="Times New Roman" w:hAnsi="Times New Roman" w:cs="Times New Roman"/>
          <w:bCs w:val="0"/>
          <w:iCs w:val="0"/>
          <w:color w:val="000000" w:themeColor="text1"/>
        </w:rPr>
      </w:pPr>
      <w:bookmarkStart w:id="194" w:name="_Toc415749005"/>
      <w:bookmarkStart w:id="195" w:name="_Toc447179816"/>
      <w:r>
        <w:rPr>
          <w:rFonts w:ascii="Times New Roman" w:hAnsi="Times New Roman" w:cs="Times New Roman"/>
          <w:bCs w:val="0"/>
          <w:iCs w:val="0"/>
          <w:color w:val="000000" w:themeColor="text1"/>
        </w:rPr>
        <w:t xml:space="preserve">PTR and SCTD Residential </w:t>
      </w:r>
      <w:r w:rsidR="00920140" w:rsidRPr="00387B14">
        <w:rPr>
          <w:rFonts w:ascii="Times New Roman" w:hAnsi="Times New Roman" w:cs="Times New Roman"/>
          <w:bCs w:val="0"/>
          <w:iCs w:val="0"/>
          <w:color w:val="000000" w:themeColor="text1"/>
        </w:rPr>
        <w:t xml:space="preserve">Ex-Post </w:t>
      </w:r>
      <w:bookmarkEnd w:id="194"/>
      <w:r w:rsidR="001F1158">
        <w:rPr>
          <w:rFonts w:ascii="Times New Roman" w:hAnsi="Times New Roman" w:cs="Times New Roman"/>
          <w:bCs w:val="0"/>
          <w:iCs w:val="0"/>
          <w:color w:val="000000" w:themeColor="text1"/>
        </w:rPr>
        <w:t xml:space="preserve">Evaluation </w:t>
      </w:r>
      <w:r w:rsidR="00920140" w:rsidRPr="00387B14">
        <w:rPr>
          <w:rFonts w:ascii="Times New Roman" w:hAnsi="Times New Roman" w:cs="Times New Roman"/>
          <w:bCs w:val="0"/>
          <w:iCs w:val="0"/>
          <w:color w:val="000000" w:themeColor="text1"/>
        </w:rPr>
        <w:t>Method</w:t>
      </w:r>
      <w:r>
        <w:rPr>
          <w:rFonts w:ascii="Times New Roman" w:hAnsi="Times New Roman" w:cs="Times New Roman"/>
          <w:bCs w:val="0"/>
          <w:iCs w:val="0"/>
          <w:color w:val="000000" w:themeColor="text1"/>
        </w:rPr>
        <w:t>ology</w:t>
      </w:r>
      <w:r w:rsidR="00920140" w:rsidRPr="00387B14">
        <w:rPr>
          <w:rFonts w:ascii="Times New Roman" w:hAnsi="Times New Roman" w:cs="Times New Roman"/>
          <w:bCs w:val="0"/>
          <w:iCs w:val="0"/>
          <w:color w:val="000000" w:themeColor="text1"/>
        </w:rPr>
        <w:t xml:space="preserve"> and Validation</w:t>
      </w:r>
      <w:bookmarkEnd w:id="195"/>
    </w:p>
    <w:p w:rsidR="00920140" w:rsidRDefault="00920140" w:rsidP="00920140">
      <w:pPr>
        <w:pStyle w:val="BodyParagraph"/>
        <w:spacing w:after="0" w:line="276" w:lineRule="auto"/>
        <w:ind w:firstLine="360"/>
        <w:rPr>
          <w:rStyle w:val="Heading2Char"/>
          <w:rFonts w:ascii="Times New Roman" w:hAnsi="Times New Roman" w:cs="Times New Roman"/>
          <w:color w:val="FF0000"/>
        </w:rPr>
      </w:pPr>
    </w:p>
    <w:p w:rsidR="00920140" w:rsidRPr="00B777EF" w:rsidRDefault="00920140" w:rsidP="00920140">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To estimate ex post load impacts for the PTR opt-in and SCTD programs, regression-based models were developed using a difference in differences (DiD) format, comparing participant and reference aggregate hourly residential loads.  The reference loads for these models were calculated from matched control groups selected from SDG&amp;E’s population of non-program participants. The methods for the matching and ex post estimations are described in detail below.</w:t>
      </w:r>
    </w:p>
    <w:p w:rsidR="00920140" w:rsidRPr="00B777EF" w:rsidRDefault="00920140" w:rsidP="00920140">
      <w:pPr>
        <w:pStyle w:val="Heading3"/>
        <w:ind w:left="720"/>
        <w:rPr>
          <w:rFonts w:ascii="Times New Roman" w:hAnsi="Times New Roman" w:cs="Times New Roman"/>
          <w:color w:val="000000" w:themeColor="text1"/>
          <w:szCs w:val="24"/>
        </w:rPr>
      </w:pPr>
      <w:bookmarkStart w:id="196" w:name="_Toc415749006"/>
      <w:bookmarkStart w:id="197" w:name="_Toc447179817"/>
      <w:r w:rsidRPr="00B777EF">
        <w:rPr>
          <w:rFonts w:ascii="Times New Roman" w:hAnsi="Times New Roman" w:cs="Times New Roman"/>
          <w:color w:val="000000" w:themeColor="text1"/>
          <w:szCs w:val="24"/>
        </w:rPr>
        <w:t>Control Group Selection</w:t>
      </w:r>
      <w:bookmarkEnd w:id="196"/>
      <w:bookmarkEnd w:id="197"/>
    </w:p>
    <w:p w:rsidR="00920140" w:rsidRPr="00B777EF" w:rsidRDefault="00920140" w:rsidP="00920140">
      <w:pPr>
        <w:rPr>
          <w:color w:val="000000" w:themeColor="text1"/>
        </w:rPr>
      </w:pPr>
    </w:p>
    <w:p w:rsidR="00920140" w:rsidRPr="00B777EF" w:rsidRDefault="00920140" w:rsidP="00920140">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Control groups were used to measure impacts from the PTR and SCTD programs due to the following conditions: a) few events, with the potential of these events being the hottest days during the summer, b) some events occurring during non-cooling months and/or months where hot weather is not typical, and c) small average impacts relative to the overall size of the average participant load during the events.  To develop control groups for this evaluation, a Stratified Propensity Score Matching (SPSM) method was used.</w:t>
      </w:r>
    </w:p>
    <w:p w:rsidR="00920140" w:rsidRPr="00B777EF" w:rsidRDefault="00920140" w:rsidP="00920140">
      <w:pPr>
        <w:pStyle w:val="Heading3"/>
        <w:ind w:left="720"/>
        <w:rPr>
          <w:rFonts w:ascii="Times New Roman" w:hAnsi="Times New Roman" w:cs="Times New Roman"/>
          <w:color w:val="000000" w:themeColor="text1"/>
          <w:szCs w:val="24"/>
        </w:rPr>
      </w:pPr>
      <w:bookmarkStart w:id="198" w:name="_Toc415749007"/>
      <w:bookmarkStart w:id="199" w:name="_Toc447179818"/>
      <w:r w:rsidRPr="00B777EF">
        <w:rPr>
          <w:rFonts w:ascii="Times New Roman" w:hAnsi="Times New Roman" w:cs="Times New Roman"/>
          <w:color w:val="000000" w:themeColor="text1"/>
          <w:szCs w:val="24"/>
        </w:rPr>
        <w:t>Pre-Matching Stratification and Design</w:t>
      </w:r>
      <w:bookmarkEnd w:id="198"/>
      <w:bookmarkEnd w:id="199"/>
    </w:p>
    <w:p w:rsidR="00920140" w:rsidRPr="00B777EF" w:rsidRDefault="00920140" w:rsidP="00920140">
      <w:pPr>
        <w:rPr>
          <w:color w:val="000000" w:themeColor="text1"/>
        </w:rPr>
      </w:pPr>
    </w:p>
    <w:p w:rsidR="003E6B6C" w:rsidRDefault="003E6B6C" w:rsidP="003E6B6C">
      <w:pPr>
        <w:pStyle w:val="BodyParagraph"/>
        <w:spacing w:after="0" w:line="276" w:lineRule="auto"/>
        <w:ind w:firstLine="360"/>
        <w:rPr>
          <w:rFonts w:ascii="Times New Roman" w:hAnsi="Times New Roman"/>
          <w:color w:val="000000" w:themeColor="text1"/>
          <w:sz w:val="24"/>
          <w:szCs w:val="24"/>
        </w:rPr>
      </w:pPr>
      <w:r w:rsidRPr="00FB0844">
        <w:rPr>
          <w:rFonts w:ascii="Times New Roman" w:hAnsi="Times New Roman"/>
          <w:color w:val="000000" w:themeColor="text1"/>
          <w:sz w:val="24"/>
          <w:szCs w:val="24"/>
        </w:rPr>
        <w:t xml:space="preserve">Prior to generating propensity scores, the participant sites were stratified to control for variables that may observationally influence participation.  Strata were defined using a </w:t>
      </w:r>
      <w:r w:rsidRPr="00FB0844">
        <w:rPr>
          <w:rFonts w:ascii="Times New Roman" w:hAnsi="Times New Roman"/>
          <w:color w:val="000000" w:themeColor="text1"/>
          <w:sz w:val="24"/>
          <w:szCs w:val="24"/>
        </w:rPr>
        <w:lastRenderedPageBreak/>
        <w:t>combination of climate zone (coastal and inland) and annual usage group (small, medium,</w:t>
      </w:r>
      <w:r>
        <w:rPr>
          <w:rFonts w:ascii="Times New Roman" w:hAnsi="Times New Roman"/>
          <w:color w:val="000000" w:themeColor="text1"/>
          <w:sz w:val="24"/>
          <w:szCs w:val="24"/>
        </w:rPr>
        <w:t xml:space="preserve"> and</w:t>
      </w:r>
      <w:r w:rsidRPr="00FB0844">
        <w:rPr>
          <w:rFonts w:ascii="Times New Roman" w:hAnsi="Times New Roman"/>
          <w:color w:val="000000" w:themeColor="text1"/>
          <w:sz w:val="24"/>
          <w:szCs w:val="24"/>
        </w:rPr>
        <w:t xml:space="preserve"> large).  </w:t>
      </w:r>
      <w:r w:rsidRPr="00613384">
        <w:rPr>
          <w:rFonts w:ascii="Times New Roman" w:hAnsi="Times New Roman"/>
          <w:color w:val="000000" w:themeColor="text1"/>
          <w:sz w:val="24"/>
          <w:szCs w:val="24"/>
        </w:rPr>
        <w:t>Low income, Net Energy Metering (NEM), Summer Saver, and electric vehicle charging participants were each handled separately as they required non-participant populations that were equivalent for control group matching.</w:t>
      </w:r>
      <w:r>
        <w:rPr>
          <w:rFonts w:ascii="Times New Roman" w:hAnsi="Times New Roman"/>
          <w:color w:val="000000" w:themeColor="text1"/>
          <w:sz w:val="24"/>
          <w:szCs w:val="24"/>
        </w:rPr>
        <w:t xml:space="preserve">  </w:t>
      </w:r>
      <w:r w:rsidRPr="00FB0844">
        <w:rPr>
          <w:rFonts w:ascii="Times New Roman" w:hAnsi="Times New Roman"/>
          <w:color w:val="000000" w:themeColor="text1"/>
          <w:sz w:val="24"/>
          <w:szCs w:val="24"/>
        </w:rPr>
        <w:t xml:space="preserve">In total, this provided </w:t>
      </w:r>
      <w:r>
        <w:rPr>
          <w:rFonts w:ascii="Times New Roman" w:hAnsi="Times New Roman"/>
          <w:color w:val="000000" w:themeColor="text1"/>
          <w:sz w:val="24"/>
          <w:szCs w:val="24"/>
        </w:rPr>
        <w:t>25</w:t>
      </w:r>
      <w:r w:rsidRPr="00FB0844">
        <w:rPr>
          <w:rFonts w:ascii="Times New Roman" w:hAnsi="Times New Roman"/>
          <w:color w:val="000000" w:themeColor="text1"/>
          <w:sz w:val="24"/>
          <w:szCs w:val="24"/>
        </w:rPr>
        <w:t xml:space="preserve"> different strata from wh</w:t>
      </w:r>
      <w:r>
        <w:rPr>
          <w:rFonts w:ascii="Times New Roman" w:hAnsi="Times New Roman"/>
          <w:color w:val="000000" w:themeColor="text1"/>
          <w:sz w:val="24"/>
          <w:szCs w:val="24"/>
        </w:rPr>
        <w:t>ich to develop control groups:</w:t>
      </w:r>
    </w:p>
    <w:p w:rsidR="003E6B6C" w:rsidRPr="00130ACA" w:rsidRDefault="003E6B6C" w:rsidP="003E6B6C">
      <w:pPr>
        <w:autoSpaceDE w:val="0"/>
        <w:autoSpaceDN w:val="0"/>
        <w:adjustRightInd w:val="0"/>
        <w:spacing w:line="276" w:lineRule="auto"/>
        <w:rPr>
          <w:rFonts w:ascii="Wingdings" w:eastAsiaTheme="minorHAnsi" w:hAnsi="Wingdings" w:cs="Wingdings"/>
          <w:color w:val="000000"/>
        </w:rPr>
      </w:pPr>
    </w:p>
    <w:p w:rsidR="003E6B6C" w:rsidRPr="0011525D" w:rsidRDefault="003E6B6C" w:rsidP="003E6B6C">
      <w:pPr>
        <w:autoSpaceDE w:val="0"/>
        <w:autoSpaceDN w:val="0"/>
        <w:adjustRightInd w:val="0"/>
        <w:spacing w:line="276" w:lineRule="auto"/>
        <w:ind w:firstLine="360"/>
        <w:rPr>
          <w:rFonts w:eastAsiaTheme="minorHAnsi"/>
          <w:color w:val="000000"/>
        </w:rPr>
      </w:pPr>
      <w:r w:rsidRPr="0011525D">
        <w:rPr>
          <w:rFonts w:ascii="Wingdings" w:eastAsiaTheme="minorHAnsi" w:hAnsi="Wingdings" w:cs="Wingdings"/>
          <w:color w:val="000000"/>
        </w:rPr>
        <w:t></w:t>
      </w:r>
      <w:r w:rsidRPr="0011525D">
        <w:rPr>
          <w:rFonts w:ascii="Wingdings" w:eastAsiaTheme="minorHAnsi" w:hAnsi="Wingdings" w:cs="Wingdings"/>
          <w:color w:val="000000"/>
        </w:rPr>
        <w:t></w:t>
      </w:r>
      <w:r w:rsidRPr="0011525D">
        <w:rPr>
          <w:rFonts w:eastAsiaTheme="minorHAnsi"/>
          <w:color w:val="000000"/>
        </w:rPr>
        <w:t xml:space="preserve">PTR – Coastal (Small/Medium/Large) and Inland (Small/Medium/Large), </w:t>
      </w:r>
    </w:p>
    <w:p w:rsidR="003E6B6C" w:rsidRPr="0011525D" w:rsidRDefault="003E6B6C" w:rsidP="003E6B6C">
      <w:pPr>
        <w:autoSpaceDE w:val="0"/>
        <w:autoSpaceDN w:val="0"/>
        <w:adjustRightInd w:val="0"/>
        <w:spacing w:line="276" w:lineRule="auto"/>
        <w:ind w:firstLine="360"/>
        <w:rPr>
          <w:rFonts w:eastAsiaTheme="minorHAnsi"/>
          <w:color w:val="000000"/>
        </w:rPr>
      </w:pPr>
      <w:r w:rsidRPr="0011525D">
        <w:rPr>
          <w:rFonts w:ascii="Wingdings" w:eastAsiaTheme="minorHAnsi" w:hAnsi="Wingdings" w:cs="Wingdings"/>
          <w:color w:val="000000"/>
        </w:rPr>
        <w:t></w:t>
      </w:r>
      <w:r w:rsidRPr="0011525D">
        <w:rPr>
          <w:rFonts w:ascii="Wingdings" w:eastAsiaTheme="minorHAnsi" w:hAnsi="Wingdings" w:cs="Wingdings"/>
          <w:color w:val="000000"/>
        </w:rPr>
        <w:t></w:t>
      </w:r>
      <w:r w:rsidRPr="0011525D">
        <w:rPr>
          <w:rFonts w:eastAsiaTheme="minorHAnsi"/>
          <w:color w:val="000000"/>
        </w:rPr>
        <w:t xml:space="preserve">Low Income – Coastal (Small/Medium/Large) and Inland (Small/Medium/Large), </w:t>
      </w:r>
    </w:p>
    <w:p w:rsidR="003E6B6C" w:rsidRPr="0011525D" w:rsidRDefault="003E6B6C" w:rsidP="003E6B6C">
      <w:pPr>
        <w:autoSpaceDE w:val="0"/>
        <w:autoSpaceDN w:val="0"/>
        <w:adjustRightInd w:val="0"/>
        <w:spacing w:line="276" w:lineRule="auto"/>
        <w:ind w:firstLine="360"/>
        <w:rPr>
          <w:rFonts w:eastAsiaTheme="minorHAnsi"/>
          <w:color w:val="000000"/>
        </w:rPr>
      </w:pPr>
      <w:r w:rsidRPr="0011525D">
        <w:rPr>
          <w:rFonts w:ascii="Wingdings" w:eastAsiaTheme="minorHAnsi" w:hAnsi="Wingdings" w:cs="Wingdings"/>
          <w:color w:val="000000"/>
        </w:rPr>
        <w:t></w:t>
      </w:r>
      <w:r w:rsidRPr="0011525D">
        <w:rPr>
          <w:rFonts w:ascii="Wingdings" w:eastAsiaTheme="minorHAnsi" w:hAnsi="Wingdings" w:cs="Wingdings"/>
          <w:color w:val="000000"/>
        </w:rPr>
        <w:t></w:t>
      </w:r>
      <w:r w:rsidRPr="0011525D">
        <w:rPr>
          <w:rFonts w:eastAsiaTheme="minorHAnsi"/>
          <w:color w:val="000000"/>
        </w:rPr>
        <w:t xml:space="preserve">SCTD – Coastal (Small/Medium/Large) and Inland (Small/Medium/Large), </w:t>
      </w:r>
    </w:p>
    <w:p w:rsidR="003E6B6C" w:rsidRPr="0011525D" w:rsidRDefault="003E6B6C" w:rsidP="003E6B6C">
      <w:pPr>
        <w:autoSpaceDE w:val="0"/>
        <w:autoSpaceDN w:val="0"/>
        <w:adjustRightInd w:val="0"/>
        <w:spacing w:line="276" w:lineRule="auto"/>
        <w:ind w:firstLine="360"/>
        <w:rPr>
          <w:rFonts w:eastAsiaTheme="minorHAnsi"/>
          <w:color w:val="000000"/>
        </w:rPr>
      </w:pPr>
      <w:r w:rsidRPr="0011525D">
        <w:rPr>
          <w:rFonts w:ascii="Wingdings" w:eastAsiaTheme="minorHAnsi" w:hAnsi="Wingdings" w:cs="Wingdings"/>
          <w:color w:val="000000"/>
        </w:rPr>
        <w:t></w:t>
      </w:r>
      <w:r w:rsidRPr="0011525D">
        <w:rPr>
          <w:rFonts w:ascii="Wingdings" w:eastAsiaTheme="minorHAnsi" w:hAnsi="Wingdings" w:cs="Wingdings"/>
          <w:color w:val="000000"/>
        </w:rPr>
        <w:t></w:t>
      </w:r>
      <w:r w:rsidRPr="0011525D">
        <w:rPr>
          <w:rFonts w:eastAsiaTheme="minorHAnsi"/>
          <w:color w:val="000000"/>
        </w:rPr>
        <w:t xml:space="preserve">Electric Vehicles, and </w:t>
      </w:r>
    </w:p>
    <w:p w:rsidR="003E6B6C" w:rsidRPr="0011525D" w:rsidRDefault="003E6B6C" w:rsidP="003E6B6C">
      <w:pPr>
        <w:autoSpaceDE w:val="0"/>
        <w:autoSpaceDN w:val="0"/>
        <w:adjustRightInd w:val="0"/>
        <w:spacing w:line="276" w:lineRule="auto"/>
        <w:ind w:firstLine="360"/>
        <w:rPr>
          <w:rFonts w:eastAsiaTheme="minorHAnsi"/>
          <w:color w:val="000000"/>
        </w:rPr>
      </w:pPr>
      <w:r w:rsidRPr="0011525D">
        <w:rPr>
          <w:rFonts w:ascii="Wingdings" w:eastAsiaTheme="minorHAnsi" w:hAnsi="Wingdings" w:cs="Wingdings"/>
          <w:color w:val="000000"/>
        </w:rPr>
        <w:t></w:t>
      </w:r>
      <w:r w:rsidRPr="0011525D">
        <w:rPr>
          <w:rFonts w:ascii="Wingdings" w:eastAsiaTheme="minorHAnsi" w:hAnsi="Wingdings" w:cs="Wingdings"/>
          <w:color w:val="000000"/>
        </w:rPr>
        <w:t></w:t>
      </w:r>
      <w:r w:rsidRPr="0011525D">
        <w:rPr>
          <w:rFonts w:eastAsiaTheme="minorHAnsi"/>
          <w:color w:val="000000"/>
        </w:rPr>
        <w:t>NEM – Coastal (Small/Medium/Large) and Inland (Small/Medium/Large).</w:t>
      </w:r>
    </w:p>
    <w:p w:rsidR="003E6B6C" w:rsidRDefault="003E6B6C" w:rsidP="003E6B6C">
      <w:pPr>
        <w:pStyle w:val="BodyParagraph"/>
        <w:spacing w:after="0" w:line="276" w:lineRule="auto"/>
        <w:rPr>
          <w:rFonts w:ascii="Times New Roman" w:hAnsi="Times New Roman"/>
          <w:color w:val="000000" w:themeColor="text1"/>
          <w:sz w:val="24"/>
          <w:szCs w:val="24"/>
        </w:rPr>
      </w:pPr>
    </w:p>
    <w:p w:rsidR="003E6B6C" w:rsidRDefault="003E6B6C" w:rsidP="003E6B6C">
      <w:pPr>
        <w:pStyle w:val="BodyParagraph"/>
        <w:spacing w:after="0" w:line="276" w:lineRule="auto"/>
        <w:ind w:firstLine="360"/>
        <w:rPr>
          <w:rFonts w:ascii="Times New Roman" w:hAnsi="Times New Roman"/>
          <w:color w:val="000000" w:themeColor="text1"/>
          <w:sz w:val="24"/>
          <w:szCs w:val="24"/>
        </w:rPr>
      </w:pPr>
      <w:r w:rsidRPr="00FB0844">
        <w:rPr>
          <w:rFonts w:ascii="Times New Roman" w:hAnsi="Times New Roman"/>
          <w:color w:val="000000" w:themeColor="text1"/>
          <w:sz w:val="24"/>
          <w:szCs w:val="24"/>
        </w:rPr>
        <w:t>Using these</w:t>
      </w:r>
      <w:r>
        <w:rPr>
          <w:rFonts w:ascii="Times New Roman" w:hAnsi="Times New Roman"/>
          <w:color w:val="000000" w:themeColor="text1"/>
          <w:sz w:val="24"/>
          <w:szCs w:val="24"/>
        </w:rPr>
        <w:t xml:space="preserve"> customer segments and strata</w:t>
      </w:r>
      <w:r w:rsidRPr="00FB0844">
        <w:rPr>
          <w:rFonts w:ascii="Times New Roman" w:hAnsi="Times New Roman"/>
          <w:color w:val="000000" w:themeColor="text1"/>
          <w:sz w:val="24"/>
          <w:szCs w:val="24"/>
        </w:rPr>
        <w:t>, the SPSM methodology used a logistic regression (logit) model to estimate the probability of participation within each stratum.  The matching routine paired each participant with a non-participant that had the most similar estimated probability of participation.</w:t>
      </w:r>
    </w:p>
    <w:p w:rsidR="00920140" w:rsidRPr="00B777EF" w:rsidRDefault="00920140" w:rsidP="00920140">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w:t>
      </w:r>
    </w:p>
    <w:p w:rsidR="003E6B6C" w:rsidRDefault="003E6B6C" w:rsidP="003E6B6C">
      <w:pPr>
        <w:pStyle w:val="BodyParagraph"/>
        <w:spacing w:after="0" w:line="276" w:lineRule="auto"/>
        <w:ind w:firstLine="360"/>
        <w:rPr>
          <w:rFonts w:ascii="Times New Roman" w:hAnsi="Times New Roman"/>
          <w:color w:val="000000" w:themeColor="text1"/>
          <w:sz w:val="24"/>
          <w:szCs w:val="24"/>
        </w:rPr>
      </w:pPr>
      <w:bookmarkStart w:id="200" w:name="_Toc415749008"/>
      <w:r w:rsidRPr="00FB0844">
        <w:rPr>
          <w:rFonts w:ascii="Times New Roman" w:hAnsi="Times New Roman"/>
          <w:color w:val="000000" w:themeColor="text1"/>
          <w:sz w:val="24"/>
          <w:szCs w:val="24"/>
        </w:rPr>
        <w:t>The control group selection was based on a two-stage approach. In the first stage, PSM was used</w:t>
      </w:r>
      <w:r>
        <w:rPr>
          <w:rFonts w:ascii="Times New Roman" w:hAnsi="Times New Roman"/>
          <w:color w:val="000000" w:themeColor="text1"/>
          <w:sz w:val="24"/>
          <w:szCs w:val="24"/>
        </w:rPr>
        <w:t xml:space="preserve"> to identify an initial set of ten</w:t>
      </w:r>
      <w:r w:rsidRPr="00FB0844">
        <w:rPr>
          <w:rFonts w:ascii="Times New Roman" w:hAnsi="Times New Roman"/>
          <w:color w:val="000000" w:themeColor="text1"/>
          <w:sz w:val="24"/>
          <w:szCs w:val="24"/>
        </w:rPr>
        <w:t xml:space="preserve"> control group candidate premises for every participant based on variables calculated using 201</w:t>
      </w:r>
      <w:r>
        <w:rPr>
          <w:rFonts w:ascii="Times New Roman" w:hAnsi="Times New Roman"/>
          <w:color w:val="000000" w:themeColor="text1"/>
          <w:sz w:val="24"/>
          <w:szCs w:val="24"/>
        </w:rPr>
        <w:t>4</w:t>
      </w:r>
      <w:r w:rsidRPr="00FB0844">
        <w:rPr>
          <w:rFonts w:ascii="Times New Roman" w:hAnsi="Times New Roman"/>
          <w:color w:val="000000" w:themeColor="text1"/>
          <w:sz w:val="24"/>
          <w:szCs w:val="24"/>
        </w:rPr>
        <w:t xml:space="preserve"> monthly billing data.</w:t>
      </w:r>
      <w:r>
        <w:rPr>
          <w:rFonts w:ascii="Times New Roman" w:hAnsi="Times New Roman"/>
          <w:color w:val="000000" w:themeColor="text1"/>
          <w:sz w:val="24"/>
          <w:szCs w:val="24"/>
        </w:rPr>
        <w:t xml:space="preserve"> </w:t>
      </w:r>
      <w:r w:rsidRPr="00FB0844">
        <w:rPr>
          <w:rFonts w:ascii="Times New Roman" w:hAnsi="Times New Roman"/>
          <w:color w:val="000000" w:themeColor="text1"/>
          <w:sz w:val="24"/>
          <w:szCs w:val="24"/>
        </w:rPr>
        <w:t xml:space="preserve"> After requesting the hourly interval data for these candidate premises, a second stage of PSM selected the final control group using variables developed from interval data.  Second-stage matching was done separately for all PTR participants, as well as for the other various participant </w:t>
      </w:r>
      <w:r>
        <w:rPr>
          <w:rFonts w:ascii="Times New Roman" w:hAnsi="Times New Roman"/>
          <w:color w:val="000000" w:themeColor="text1"/>
          <w:sz w:val="24"/>
          <w:szCs w:val="24"/>
        </w:rPr>
        <w:t>sub</w:t>
      </w:r>
      <w:r w:rsidRPr="00FB0844">
        <w:rPr>
          <w:rFonts w:ascii="Times New Roman" w:hAnsi="Times New Roman"/>
          <w:color w:val="000000" w:themeColor="text1"/>
          <w:sz w:val="24"/>
          <w:szCs w:val="24"/>
        </w:rPr>
        <w:t xml:space="preserve">groups, namely, NEM, </w:t>
      </w:r>
      <w:r w:rsidRPr="00E00675">
        <w:rPr>
          <w:rFonts w:ascii="Times New Roman" w:hAnsi="Times New Roman"/>
          <w:color w:val="000000" w:themeColor="text1"/>
          <w:sz w:val="24"/>
          <w:szCs w:val="24"/>
        </w:rPr>
        <w:t>electric vehicle (EV), SCTD, Summer Saver, and Low Income.</w:t>
      </w:r>
    </w:p>
    <w:p w:rsidR="003E6B6C" w:rsidRDefault="003E6B6C" w:rsidP="003E6B6C">
      <w:pPr>
        <w:pStyle w:val="BodyParagraph"/>
        <w:spacing w:after="0" w:line="276" w:lineRule="auto"/>
        <w:ind w:firstLine="360"/>
        <w:rPr>
          <w:rFonts w:ascii="Times New Roman" w:hAnsi="Times New Roman"/>
          <w:color w:val="000000" w:themeColor="text1"/>
          <w:sz w:val="24"/>
          <w:szCs w:val="24"/>
        </w:rPr>
      </w:pPr>
    </w:p>
    <w:p w:rsidR="003E6B6C" w:rsidRDefault="003E6B6C" w:rsidP="003E6B6C">
      <w:pPr>
        <w:pStyle w:val="Default"/>
        <w:spacing w:line="276" w:lineRule="auto"/>
        <w:ind w:firstLine="360"/>
        <w:rPr>
          <w:rFonts w:eastAsia="Times New Roman"/>
          <w:color w:val="000000" w:themeColor="text1"/>
        </w:rPr>
      </w:pPr>
      <w:r w:rsidRPr="009F55D6">
        <w:rPr>
          <w:rFonts w:eastAsia="Times New Roman"/>
          <w:color w:val="000000" w:themeColor="text1"/>
        </w:rPr>
        <w:t xml:space="preserve">After experimenting with various combinations, the final set of variables chosen for the first stage’s logit model included: monthly kWh usage, average monthly kWh, correlation coefficients between monthly CDD65 and kWh usage for summer and winter months, coefficient of variation of kWh usage, ratio of average monthly usage between summer and winter months, ratio of summer kWh usage to total CDD65, and dummy variables for Low Income and Summer Saver customers. Also, accounts were compared to databases of 2013-2014 tracking data for energy efficiency programs and Energy Savings Assistance Programs (ESAP) to create an additional dummy variable for EE program participation for matching. </w:t>
      </w:r>
    </w:p>
    <w:p w:rsidR="003E6B6C" w:rsidRPr="009F55D6" w:rsidRDefault="003E6B6C" w:rsidP="003E6B6C">
      <w:pPr>
        <w:pStyle w:val="Default"/>
        <w:spacing w:line="276" w:lineRule="auto"/>
        <w:ind w:firstLine="360"/>
        <w:rPr>
          <w:rFonts w:eastAsia="Times New Roman"/>
          <w:color w:val="000000" w:themeColor="text1"/>
        </w:rPr>
      </w:pPr>
    </w:p>
    <w:p w:rsidR="003E6B6C" w:rsidRDefault="003E6B6C" w:rsidP="003E6B6C">
      <w:pPr>
        <w:pStyle w:val="BodyParagraph"/>
        <w:spacing w:after="0" w:line="276" w:lineRule="auto"/>
        <w:ind w:firstLine="360"/>
        <w:rPr>
          <w:rFonts w:ascii="Times New Roman" w:hAnsi="Times New Roman"/>
          <w:color w:val="000000" w:themeColor="text1"/>
          <w:sz w:val="24"/>
          <w:szCs w:val="24"/>
        </w:rPr>
      </w:pPr>
      <w:r w:rsidRPr="009F55D6">
        <w:rPr>
          <w:rFonts w:ascii="Times New Roman" w:hAnsi="Times New Roman"/>
          <w:color w:val="000000" w:themeColor="text1"/>
          <w:sz w:val="24"/>
          <w:szCs w:val="24"/>
        </w:rPr>
        <w:t>The second stage of matching saw the additional inclusion of hourly kWh usage during the event hours for summer hot days</w:t>
      </w:r>
      <w:r>
        <w:rPr>
          <w:rStyle w:val="FootnoteReference"/>
          <w:rFonts w:ascii="Times New Roman" w:hAnsi="Times New Roman"/>
          <w:color w:val="000000" w:themeColor="text1"/>
          <w:sz w:val="24"/>
          <w:szCs w:val="24"/>
        </w:rPr>
        <w:footnoteReference w:id="19"/>
      </w:r>
      <w:r w:rsidRPr="009F55D6">
        <w:rPr>
          <w:rFonts w:ascii="Times New Roman" w:hAnsi="Times New Roman"/>
          <w:color w:val="000000" w:themeColor="text1"/>
          <w:sz w:val="24"/>
          <w:szCs w:val="24"/>
        </w:rPr>
        <w:t xml:space="preserve">, correlation coefficient of usage and cooling degree hours </w:t>
      </w:r>
      <w:r w:rsidRPr="009F55D6">
        <w:rPr>
          <w:rFonts w:ascii="Times New Roman" w:hAnsi="Times New Roman"/>
          <w:color w:val="000000" w:themeColor="text1"/>
          <w:sz w:val="24"/>
          <w:szCs w:val="24"/>
        </w:rPr>
        <w:lastRenderedPageBreak/>
        <w:t>(CDH65) on hot days, coefficient of variation of kWh usage during event hours, as well as monthly event hour kWh usage.</w:t>
      </w:r>
    </w:p>
    <w:p w:rsidR="00830BC9" w:rsidRDefault="00830BC9" w:rsidP="003E6B6C">
      <w:pPr>
        <w:pStyle w:val="BodyParagraph"/>
        <w:spacing w:after="0" w:line="276" w:lineRule="auto"/>
        <w:ind w:firstLine="360"/>
        <w:rPr>
          <w:rFonts w:ascii="Times New Roman" w:hAnsi="Times New Roman"/>
          <w:color w:val="000000" w:themeColor="text1"/>
          <w:sz w:val="24"/>
          <w:szCs w:val="24"/>
        </w:rPr>
      </w:pPr>
    </w:p>
    <w:p w:rsidR="00920140" w:rsidRPr="001527F2" w:rsidRDefault="00920140" w:rsidP="00920140">
      <w:pPr>
        <w:pStyle w:val="Heading3"/>
        <w:ind w:left="720"/>
        <w:rPr>
          <w:rFonts w:ascii="Times New Roman" w:hAnsi="Times New Roman" w:cs="Times New Roman"/>
        </w:rPr>
      </w:pPr>
      <w:bookmarkStart w:id="201" w:name="_Toc447179819"/>
      <w:r w:rsidRPr="001527F2">
        <w:rPr>
          <w:rFonts w:ascii="Times New Roman" w:hAnsi="Times New Roman" w:cs="Times New Roman"/>
        </w:rPr>
        <w:t>Propensity Score Matching Results</w:t>
      </w:r>
      <w:bookmarkEnd w:id="200"/>
      <w:bookmarkEnd w:id="201"/>
    </w:p>
    <w:p w:rsidR="00920140" w:rsidRDefault="00920140" w:rsidP="00920140">
      <w:pPr>
        <w:pStyle w:val="BodyParagraph"/>
        <w:spacing w:after="0" w:line="276" w:lineRule="auto"/>
        <w:ind w:firstLine="360"/>
        <w:rPr>
          <w:rFonts w:ascii="Times New Roman" w:hAnsi="Times New Roman"/>
          <w:color w:val="000000" w:themeColor="text1"/>
          <w:sz w:val="24"/>
          <w:szCs w:val="24"/>
        </w:rPr>
      </w:pPr>
    </w:p>
    <w:p w:rsidR="00920140" w:rsidRPr="00B777EF" w:rsidRDefault="00920140" w:rsidP="00920140">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One of the key methods of assessing the effectiveness of the PSM is to conduct t-tests on the independent variables used in the logistic regression for the groups both before and after matching.  If the matching is successful, the participant and control groups should not be statistically significantly different for these variables.  The results of the t-tests for both stages of the PTR and SCTD participant PSM matching show that none of the PSM variables had a statistically significant difference after selecting the control premise candidates.  A final assessment of the efficacy of the PSM is a graphical comparison of the annual load profiles of the participant premises with the control premises before and after matching. </w:t>
      </w:r>
    </w:p>
    <w:p w:rsidR="00920140" w:rsidRPr="00B777EF" w:rsidRDefault="00920140" w:rsidP="00920140">
      <w:pPr>
        <w:pStyle w:val="BodyParagraph"/>
        <w:spacing w:after="0" w:line="276" w:lineRule="auto"/>
        <w:rPr>
          <w:rFonts w:ascii="Times New Roman" w:hAnsi="Times New Roman"/>
          <w:color w:val="000000" w:themeColor="text1"/>
          <w:sz w:val="24"/>
          <w:szCs w:val="24"/>
        </w:rPr>
      </w:pPr>
    </w:p>
    <w:p w:rsidR="00920140" w:rsidRPr="00B777EF" w:rsidRDefault="00920140" w:rsidP="00920140">
      <w:pPr>
        <w:pStyle w:val="Heading3"/>
        <w:ind w:left="720"/>
        <w:rPr>
          <w:rFonts w:ascii="Times New Roman" w:hAnsi="Times New Roman" w:cs="Times New Roman"/>
          <w:color w:val="000000" w:themeColor="text1"/>
        </w:rPr>
      </w:pPr>
      <w:bookmarkStart w:id="202" w:name="_Toc415749009"/>
      <w:bookmarkStart w:id="203" w:name="_Toc447179820"/>
      <w:r w:rsidRPr="00B777EF">
        <w:rPr>
          <w:rFonts w:ascii="Times New Roman" w:hAnsi="Times New Roman" w:cs="Times New Roman"/>
          <w:color w:val="000000" w:themeColor="text1"/>
        </w:rPr>
        <w:t>PTR Ex</w:t>
      </w:r>
      <w:r w:rsidR="003562F8" w:rsidRPr="00B777EF">
        <w:rPr>
          <w:rFonts w:ascii="Times New Roman" w:hAnsi="Times New Roman" w:cs="Times New Roman"/>
          <w:color w:val="000000" w:themeColor="text1"/>
        </w:rPr>
        <w:t>-</w:t>
      </w:r>
      <w:r w:rsidRPr="00B777EF">
        <w:rPr>
          <w:rFonts w:ascii="Times New Roman" w:hAnsi="Times New Roman" w:cs="Times New Roman"/>
          <w:color w:val="000000" w:themeColor="text1"/>
        </w:rPr>
        <w:t xml:space="preserve">Post </w:t>
      </w:r>
      <w:bookmarkEnd w:id="202"/>
      <w:r w:rsidR="003562F8" w:rsidRPr="00B777EF">
        <w:rPr>
          <w:rFonts w:ascii="Times New Roman" w:hAnsi="Times New Roman" w:cs="Times New Roman"/>
          <w:color w:val="000000" w:themeColor="text1"/>
        </w:rPr>
        <w:t>Methodology</w:t>
      </w:r>
      <w:bookmarkEnd w:id="203"/>
    </w:p>
    <w:p w:rsidR="00920140" w:rsidRPr="00B777EF" w:rsidRDefault="00920140" w:rsidP="00920140">
      <w:pPr>
        <w:pStyle w:val="BodyParagraph"/>
        <w:spacing w:after="0" w:line="276" w:lineRule="auto"/>
        <w:rPr>
          <w:rFonts w:ascii="Times New Roman" w:hAnsi="Times New Roman"/>
          <w:color w:val="000000" w:themeColor="text1"/>
          <w:sz w:val="24"/>
          <w:szCs w:val="24"/>
        </w:rPr>
      </w:pPr>
    </w:p>
    <w:p w:rsidR="00920140" w:rsidRPr="003562F8" w:rsidRDefault="00920140" w:rsidP="00920140">
      <w:pPr>
        <w:spacing w:line="276" w:lineRule="auto"/>
        <w:ind w:firstLine="360"/>
        <w:rPr>
          <w:color w:val="0000CC"/>
        </w:rPr>
      </w:pPr>
      <w:r w:rsidRPr="00B777EF">
        <w:rPr>
          <w:color w:val="000000" w:themeColor="text1"/>
        </w:rPr>
        <w:t xml:space="preserve">A number of different combinations of specifications were tested in developing the aggregate </w:t>
      </w:r>
      <w:r w:rsidRPr="00B777EF">
        <w:rPr>
          <w:i/>
          <w:color w:val="000000" w:themeColor="text1"/>
        </w:rPr>
        <w:t xml:space="preserve">ex post </w:t>
      </w:r>
      <w:r w:rsidRPr="00B777EF">
        <w:rPr>
          <w:color w:val="000000" w:themeColor="text1"/>
        </w:rPr>
        <w:t xml:space="preserve">model.  The final model specifications used for the analysis included variables for hour, day of the week, month, cooling degree hours (CDH65), </w:t>
      </w:r>
      <w:r w:rsidR="00E03CA2">
        <w:rPr>
          <w:rStyle w:val="FootnoteReference"/>
          <w:color w:val="000000" w:themeColor="text1"/>
        </w:rPr>
        <w:footnoteReference w:id="20"/>
      </w:r>
      <w:r w:rsidRPr="00B777EF">
        <w:rPr>
          <w:color w:val="000000" w:themeColor="text1"/>
        </w:rPr>
        <w:t xml:space="preserve">and event indicators.  Additionally, because enrollment increased during the summer, the model included a binary variable to indicate whether a participant was “active,” meaning that they had opted in to the program by the date in question.  This means that for periods prior to enrollment, some participants were effectively part of the control group. </w:t>
      </w:r>
    </w:p>
    <w:p w:rsidR="00920140" w:rsidRDefault="00920140" w:rsidP="00920140">
      <w:pPr>
        <w:spacing w:line="276" w:lineRule="auto"/>
        <w:ind w:firstLine="360"/>
      </w:pPr>
    </w:p>
    <w:p w:rsidR="00920140" w:rsidRDefault="00920140" w:rsidP="00920140">
      <w:pPr>
        <w:spacing w:line="276" w:lineRule="auto"/>
        <w:ind w:firstLine="360"/>
      </w:pPr>
      <w:r>
        <w:t xml:space="preserve">Expressed symbolically, the model is as follows: </w:t>
      </w:r>
    </w:p>
    <w:p w:rsidR="00920140" w:rsidRDefault="00920140" w:rsidP="00920140">
      <w:pPr>
        <w:rPr>
          <w:rFonts w:ascii="Calibri" w:hAnsi="Calibri"/>
          <w:color w:val="000000"/>
          <w:sz w:val="22"/>
          <w:szCs w:val="22"/>
        </w:rPr>
      </w:pPr>
    </w:p>
    <w:p w:rsidR="00920140" w:rsidRDefault="0024252A" w:rsidP="00920140">
      <w:pPr>
        <w:spacing w:line="276" w:lineRule="auto"/>
        <w:ind w:firstLine="360"/>
      </w:pPr>
      <m:oMathPara>
        <m:oMath>
          <m:sSub>
            <m:sSubPr>
              <m:ctrlPr>
                <w:rPr>
                  <w:rFonts w:ascii="Cambria Math" w:hAnsi="Cambria Math"/>
                  <w:i/>
                  <w:sz w:val="22"/>
                  <w:szCs w:val="22"/>
                </w:rPr>
              </m:ctrlPr>
            </m:sSubPr>
            <m:e>
              <m:r>
                <w:rPr>
                  <w:rFonts w:ascii="Cambria Math" w:hAnsi="Cambria Math"/>
                  <w:sz w:val="22"/>
                  <w:szCs w:val="22"/>
                </w:rPr>
                <m:t>kWh</m:t>
              </m:r>
            </m:e>
            <m:sub>
              <m:r>
                <w:rPr>
                  <w:rFonts w:ascii="Cambria Math" w:hAnsi="Cambria Math"/>
                  <w:sz w:val="22"/>
                  <w:szCs w:val="22"/>
                </w:rPr>
                <m:t>t</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0</m:t>
              </m:r>
            </m:sub>
          </m:sSub>
          <m:r>
            <w:rPr>
              <w:rFonts w:ascii="Cambria Math" w:hAnsi="Cambria Math"/>
              <w:sz w:val="22"/>
              <w:szCs w:val="22"/>
            </w:rPr>
            <m:t>+</m:t>
          </m:r>
          <m:nary>
            <m:naryPr>
              <m:chr m:val="∑"/>
              <m:limLoc m:val="subSup"/>
              <m:supHide m:val="1"/>
              <m:ctrlPr>
                <w:rPr>
                  <w:rFonts w:ascii="Cambria Math" w:hAnsi="Cambria Math"/>
                  <w:i/>
                  <w:sz w:val="22"/>
                  <w:szCs w:val="22"/>
                </w:rPr>
              </m:ctrlPr>
            </m:naryPr>
            <m:sub>
              <m:r>
                <w:rPr>
                  <w:rFonts w:ascii="Cambria Math" w:hAnsi="Cambria Math"/>
                  <w:sz w:val="22"/>
                  <w:szCs w:val="22"/>
                </w:rPr>
                <m:t>d</m:t>
              </m:r>
            </m:sub>
            <m:sup/>
            <m:e>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1</m:t>
                  </m:r>
                </m:sub>
                <m:sup>
                  <m:r>
                    <w:rPr>
                      <w:rFonts w:ascii="Cambria Math" w:hAnsi="Cambria Math"/>
                      <w:sz w:val="22"/>
                      <w:szCs w:val="22"/>
                    </w:rPr>
                    <m:t>d</m:t>
                  </m:r>
                </m:sup>
              </m:sSubSup>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DOW</m:t>
                  </m:r>
                </m:e>
                <m:sub>
                  <m:r>
                    <w:rPr>
                      <w:rFonts w:ascii="Cambria Math" w:hAnsi="Cambria Math"/>
                      <w:sz w:val="22"/>
                      <w:szCs w:val="22"/>
                    </w:rPr>
                    <m:t>d</m:t>
                  </m:r>
                </m:sub>
              </m:sSub>
            </m:e>
          </m:nary>
          <m:r>
            <w:rPr>
              <w:rFonts w:ascii="Cambria Math" w:hAnsi="Cambria Math"/>
              <w:sz w:val="22"/>
              <w:szCs w:val="22"/>
            </w:rPr>
            <m:t>+</m:t>
          </m:r>
          <m:nary>
            <m:naryPr>
              <m:chr m:val="∑"/>
              <m:limLoc m:val="subSup"/>
              <m:supHide m:val="1"/>
              <m:ctrlPr>
                <w:rPr>
                  <w:rFonts w:ascii="Cambria Math" w:hAnsi="Cambria Math"/>
                  <w:i/>
                  <w:sz w:val="22"/>
                  <w:szCs w:val="22"/>
                </w:rPr>
              </m:ctrlPr>
            </m:naryPr>
            <m:sub>
              <m:r>
                <w:rPr>
                  <w:rFonts w:ascii="Cambria Math" w:hAnsi="Cambria Math"/>
                  <w:sz w:val="22"/>
                  <w:szCs w:val="22"/>
                </w:rPr>
                <m:t>m</m:t>
              </m:r>
            </m:sub>
            <m:sup/>
            <m:e>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2</m:t>
                  </m:r>
                </m:sub>
                <m:sup>
                  <m:r>
                    <w:rPr>
                      <w:rFonts w:ascii="Cambria Math" w:hAnsi="Cambria Math"/>
                      <w:sz w:val="22"/>
                      <w:szCs w:val="22"/>
                    </w:rPr>
                    <m:t>m</m:t>
                  </m:r>
                </m:sup>
              </m:sSubSup>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Month</m:t>
                  </m:r>
                </m:e>
                <m:sub>
                  <m:r>
                    <w:rPr>
                      <w:rFonts w:ascii="Cambria Math" w:hAnsi="Cambria Math"/>
                      <w:sz w:val="22"/>
                      <w:szCs w:val="22"/>
                    </w:rPr>
                    <m:t>m</m:t>
                  </m:r>
                </m:sub>
              </m:sSub>
            </m:e>
          </m:nary>
          <m:r>
            <w:rPr>
              <w:rFonts w:ascii="Cambria Math" w:hAnsi="Cambria Math"/>
              <w:sz w:val="22"/>
              <w:szCs w:val="22"/>
            </w:rPr>
            <m:t>+</m:t>
          </m:r>
          <m:nary>
            <m:naryPr>
              <m:chr m:val="∑"/>
              <m:limLoc m:val="subSup"/>
              <m:supHide m:val="1"/>
              <m:ctrlPr>
                <w:rPr>
                  <w:rFonts w:ascii="Cambria Math" w:hAnsi="Cambria Math"/>
                  <w:i/>
                  <w:sz w:val="22"/>
                  <w:szCs w:val="22"/>
                </w:rPr>
              </m:ctrlPr>
            </m:naryPr>
            <m:sub>
              <m:r>
                <w:rPr>
                  <w:rFonts w:ascii="Cambria Math" w:hAnsi="Cambria Math"/>
                  <w:sz w:val="22"/>
                  <w:szCs w:val="22"/>
                </w:rPr>
                <m:t>h</m:t>
              </m:r>
            </m:sub>
            <m:sup/>
            <m:e>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3</m:t>
                  </m:r>
                </m:sub>
                <m:sup>
                  <m:r>
                    <w:rPr>
                      <w:rFonts w:ascii="Cambria Math" w:hAnsi="Cambria Math"/>
                      <w:sz w:val="22"/>
                      <w:szCs w:val="22"/>
                    </w:rPr>
                    <m:t>h</m:t>
                  </m:r>
                </m:sup>
              </m:sSubSup>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Hour</m:t>
                  </m:r>
                </m:e>
                <m:sub>
                  <m:r>
                    <w:rPr>
                      <w:rFonts w:ascii="Cambria Math" w:hAnsi="Cambria Math"/>
                      <w:sz w:val="22"/>
                      <w:szCs w:val="22"/>
                    </w:rPr>
                    <m:t>h</m:t>
                  </m:r>
                </m:sub>
              </m:sSub>
            </m:e>
          </m:nary>
          <m:r>
            <w:rPr>
              <w:rFonts w:ascii="Cambria Math" w:hAnsi="Cambria Math"/>
              <w:sz w:val="22"/>
              <w:szCs w:val="22"/>
            </w:rPr>
            <m:t>+</m:t>
          </m:r>
          <m:nary>
            <m:naryPr>
              <m:chr m:val="∑"/>
              <m:limLoc m:val="subSup"/>
              <m:supHide m:val="1"/>
              <m:ctrlPr>
                <w:rPr>
                  <w:rFonts w:ascii="Cambria Math" w:hAnsi="Cambria Math"/>
                  <w:i/>
                  <w:sz w:val="22"/>
                  <w:szCs w:val="22"/>
                </w:rPr>
              </m:ctrlPr>
            </m:naryPr>
            <m:sub>
              <m:r>
                <w:rPr>
                  <w:rFonts w:ascii="Cambria Math" w:hAnsi="Cambria Math"/>
                  <w:sz w:val="22"/>
                  <w:szCs w:val="22"/>
                </w:rPr>
                <m:t>d</m:t>
              </m:r>
            </m:sub>
            <m:sup/>
            <m:e>
              <m:nary>
                <m:naryPr>
                  <m:chr m:val="∑"/>
                  <m:limLoc m:val="subSup"/>
                  <m:supHide m:val="1"/>
                  <m:ctrlPr>
                    <w:rPr>
                      <w:rFonts w:ascii="Cambria Math" w:hAnsi="Cambria Math"/>
                      <w:i/>
                      <w:sz w:val="22"/>
                      <w:szCs w:val="22"/>
                    </w:rPr>
                  </m:ctrlPr>
                </m:naryPr>
                <m:sub>
                  <m:r>
                    <w:rPr>
                      <w:rFonts w:ascii="Cambria Math" w:hAnsi="Cambria Math"/>
                      <w:sz w:val="22"/>
                      <w:szCs w:val="22"/>
                    </w:rPr>
                    <m:t>h</m:t>
                  </m:r>
                </m:sub>
                <m:sup/>
                <m:e>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4</m:t>
                      </m:r>
                    </m:sub>
                    <m:sup>
                      <m:r>
                        <w:rPr>
                          <w:rFonts w:ascii="Cambria Math" w:hAnsi="Cambria Math"/>
                          <w:sz w:val="22"/>
                          <w:szCs w:val="22"/>
                        </w:rPr>
                        <m:t>h,d</m:t>
                      </m:r>
                    </m:sup>
                  </m:sSubSup>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Hour</m:t>
                      </m:r>
                    </m:e>
                    <m:sub>
                      <m:r>
                        <w:rPr>
                          <w:rFonts w:ascii="Cambria Math" w:hAnsi="Cambria Math"/>
                          <w:sz w:val="22"/>
                          <w:szCs w:val="22"/>
                        </w:rPr>
                        <m:t>h</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DOW</m:t>
                      </m:r>
                    </m:e>
                    <m:sub>
                      <m:r>
                        <w:rPr>
                          <w:rFonts w:ascii="Cambria Math" w:hAnsi="Cambria Math"/>
                          <w:sz w:val="22"/>
                          <w:szCs w:val="22"/>
                        </w:rPr>
                        <m:t>d</m:t>
                      </m:r>
                    </m:sub>
                  </m:sSub>
                </m:e>
              </m:nary>
            </m:e>
          </m:nary>
          <m:r>
            <w:rPr>
              <w:rFonts w:ascii="Cambria Math" w:hAnsi="Cambria Math"/>
              <w:sz w:val="22"/>
              <w:szCs w:val="22"/>
            </w:rPr>
            <m:t>+</m:t>
          </m:r>
          <m:nary>
            <m:naryPr>
              <m:chr m:val="∑"/>
              <m:limLoc m:val="subSup"/>
              <m:supHide m:val="1"/>
              <m:ctrlPr>
                <w:rPr>
                  <w:rFonts w:ascii="Cambria Math" w:hAnsi="Cambria Math"/>
                  <w:i/>
                  <w:sz w:val="22"/>
                  <w:szCs w:val="22"/>
                </w:rPr>
              </m:ctrlPr>
            </m:naryPr>
            <m:sub>
              <m:r>
                <w:rPr>
                  <w:rFonts w:ascii="Cambria Math" w:hAnsi="Cambria Math"/>
                  <w:sz w:val="22"/>
                  <w:szCs w:val="22"/>
                </w:rPr>
                <m:t>m</m:t>
              </m:r>
            </m:sub>
            <m:sup/>
            <m:e>
              <m:nary>
                <m:naryPr>
                  <m:chr m:val="∑"/>
                  <m:limLoc m:val="subSup"/>
                  <m:supHide m:val="1"/>
                  <m:ctrlPr>
                    <w:rPr>
                      <w:rFonts w:ascii="Cambria Math" w:hAnsi="Cambria Math"/>
                      <w:i/>
                      <w:sz w:val="22"/>
                      <w:szCs w:val="22"/>
                    </w:rPr>
                  </m:ctrlPr>
                </m:naryPr>
                <m:sub>
                  <m:r>
                    <w:rPr>
                      <w:rFonts w:ascii="Cambria Math" w:hAnsi="Cambria Math"/>
                      <w:sz w:val="22"/>
                      <w:szCs w:val="22"/>
                    </w:rPr>
                    <m:t>h</m:t>
                  </m:r>
                </m:sub>
                <m:sup/>
                <m:e>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5</m:t>
                      </m:r>
                    </m:sub>
                    <m:sup>
                      <m:r>
                        <w:rPr>
                          <w:rFonts w:ascii="Cambria Math" w:hAnsi="Cambria Math"/>
                          <w:sz w:val="22"/>
                          <w:szCs w:val="22"/>
                        </w:rPr>
                        <m:t>h,m</m:t>
                      </m:r>
                    </m:sup>
                  </m:sSubSup>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Hour</m:t>
                      </m:r>
                    </m:e>
                    <m:sub>
                      <m:r>
                        <w:rPr>
                          <w:rFonts w:ascii="Cambria Math" w:hAnsi="Cambria Math"/>
                          <w:sz w:val="22"/>
                          <w:szCs w:val="22"/>
                        </w:rPr>
                        <m:t>h</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Month</m:t>
                      </m:r>
                    </m:e>
                    <m:sub>
                      <m:r>
                        <w:rPr>
                          <w:rFonts w:ascii="Cambria Math" w:hAnsi="Cambria Math"/>
                          <w:sz w:val="22"/>
                          <w:szCs w:val="22"/>
                        </w:rPr>
                        <m:t>m</m:t>
                      </m:r>
                    </m:sub>
                  </m:sSub>
                </m:e>
              </m:nary>
            </m:e>
          </m:nary>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6</m:t>
              </m:r>
            </m:sub>
          </m:sSub>
          <m:r>
            <w:rPr>
              <w:rFonts w:ascii="Cambria Math" w:hAnsi="Cambria Math"/>
              <w:sz w:val="22"/>
              <w:szCs w:val="22"/>
            </w:rPr>
            <m:t>×CDH65+</m:t>
          </m:r>
          <m:nary>
            <m:naryPr>
              <m:chr m:val="∑"/>
              <m:limLoc m:val="subSup"/>
              <m:supHide m:val="1"/>
              <m:ctrlPr>
                <w:rPr>
                  <w:rFonts w:ascii="Cambria Math" w:hAnsi="Cambria Math"/>
                  <w:i/>
                  <w:sz w:val="22"/>
                  <w:szCs w:val="22"/>
                </w:rPr>
              </m:ctrlPr>
            </m:naryPr>
            <m:sub>
              <m:r>
                <w:rPr>
                  <w:rFonts w:ascii="Cambria Math" w:hAnsi="Cambria Math"/>
                  <w:sz w:val="22"/>
                  <w:szCs w:val="22"/>
                </w:rPr>
                <m:t>h</m:t>
              </m:r>
            </m:sub>
            <m:sup/>
            <m:e>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7</m:t>
                  </m:r>
                </m:sub>
                <m:sup>
                  <m:r>
                    <w:rPr>
                      <w:rFonts w:ascii="Cambria Math" w:hAnsi="Cambria Math"/>
                      <w:sz w:val="22"/>
                      <w:szCs w:val="22"/>
                    </w:rPr>
                    <m:t>h</m:t>
                  </m:r>
                </m:sup>
              </m:sSubSup>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Hour</m:t>
                  </m:r>
                </m:e>
                <m:sub>
                  <m:r>
                    <w:rPr>
                      <w:rFonts w:ascii="Cambria Math" w:hAnsi="Cambria Math"/>
                      <w:sz w:val="22"/>
                      <w:szCs w:val="22"/>
                    </w:rPr>
                    <m:t>h</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CDH65</m:t>
                  </m:r>
                </m:e>
                <m:sub>
                  <m:r>
                    <w:rPr>
                      <w:rFonts w:ascii="Cambria Math" w:hAnsi="Cambria Math"/>
                      <w:sz w:val="22"/>
                      <w:szCs w:val="22"/>
                    </w:rPr>
                    <m:t>h</m:t>
                  </m:r>
                </m:sub>
              </m:sSub>
            </m:e>
          </m:nary>
          <m:r>
            <w:rPr>
              <w:rFonts w:ascii="Cambria Math" w:hAnsi="Cambria Math"/>
              <w:sz w:val="22"/>
              <w:szCs w:val="22"/>
            </w:rPr>
            <m:t>+</m:t>
          </m:r>
          <m:nary>
            <m:naryPr>
              <m:chr m:val="∑"/>
              <m:limLoc m:val="subSup"/>
              <m:supHide m:val="1"/>
              <m:ctrlPr>
                <w:rPr>
                  <w:rFonts w:ascii="Cambria Math" w:hAnsi="Cambria Math"/>
                  <w:i/>
                  <w:sz w:val="22"/>
                  <w:szCs w:val="22"/>
                </w:rPr>
              </m:ctrlPr>
            </m:naryPr>
            <m:sub>
              <m:r>
                <w:rPr>
                  <w:rFonts w:ascii="Cambria Math" w:hAnsi="Cambria Math"/>
                  <w:sz w:val="22"/>
                  <w:szCs w:val="22"/>
                </w:rPr>
                <m:t>h</m:t>
              </m:r>
            </m:sub>
            <m:sup/>
            <m:e>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8</m:t>
                  </m:r>
                </m:sub>
                <m:sup>
                  <m:r>
                    <w:rPr>
                      <w:rFonts w:ascii="Cambria Math" w:hAnsi="Cambria Math"/>
                      <w:sz w:val="22"/>
                      <w:szCs w:val="22"/>
                    </w:rPr>
                    <m:t>h</m:t>
                  </m:r>
                </m:sup>
              </m:sSubSup>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Hour</m:t>
                  </m:r>
                </m:e>
                <m:sub>
                  <m:r>
                    <w:rPr>
                      <w:rFonts w:ascii="Cambria Math" w:hAnsi="Cambria Math"/>
                      <w:sz w:val="22"/>
                      <w:szCs w:val="22"/>
                    </w:rPr>
                    <m:t>h</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CDH65</m:t>
                  </m:r>
                </m:e>
                <m:sub>
                  <m:r>
                    <w:rPr>
                      <w:rFonts w:ascii="Cambria Math" w:hAnsi="Cambria Math"/>
                      <w:sz w:val="22"/>
                      <w:szCs w:val="22"/>
                    </w:rPr>
                    <m:t>h</m:t>
                  </m:r>
                </m:sub>
              </m:sSub>
              <m:r>
                <w:rPr>
                  <w:rFonts w:ascii="Cambria Math" w:hAnsi="Cambria Math"/>
                  <w:sz w:val="22"/>
                  <w:szCs w:val="22"/>
                </w:rPr>
                <m:t>×Event</m:t>
              </m:r>
            </m:e>
          </m:nary>
          <m:r>
            <w:rPr>
              <w:rFonts w:ascii="Cambria Math" w:hAnsi="Cambria Math"/>
              <w:sz w:val="22"/>
              <w:szCs w:val="22"/>
            </w:rPr>
            <m:t>+</m:t>
          </m:r>
          <m:nary>
            <m:naryPr>
              <m:chr m:val="∑"/>
              <m:limLoc m:val="subSup"/>
              <m:supHide m:val="1"/>
              <m:ctrlPr>
                <w:rPr>
                  <w:rFonts w:ascii="Cambria Math" w:hAnsi="Cambria Math"/>
                  <w:i/>
                  <w:sz w:val="22"/>
                  <w:szCs w:val="22"/>
                </w:rPr>
              </m:ctrlPr>
            </m:naryPr>
            <m:sub>
              <m:r>
                <w:rPr>
                  <w:rFonts w:ascii="Cambria Math" w:hAnsi="Cambria Math"/>
                  <w:sz w:val="22"/>
                  <w:szCs w:val="22"/>
                </w:rPr>
                <m:t>h</m:t>
              </m:r>
            </m:sub>
            <m:sup/>
            <m:e>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9</m:t>
                  </m:r>
                </m:sub>
                <m:sup>
                  <m:r>
                    <w:rPr>
                      <w:rFonts w:ascii="Cambria Math" w:hAnsi="Cambria Math"/>
                      <w:sz w:val="22"/>
                      <w:szCs w:val="22"/>
                    </w:rPr>
                    <m:t>h</m:t>
                  </m:r>
                </m:sup>
              </m:sSubSup>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Hour</m:t>
                  </m:r>
                </m:e>
                <m:sub>
                  <m:r>
                    <w:rPr>
                      <w:rFonts w:ascii="Cambria Math" w:hAnsi="Cambria Math"/>
                      <w:sz w:val="22"/>
                      <w:szCs w:val="22"/>
                    </w:rPr>
                    <m:t>h</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CDH65</m:t>
                  </m:r>
                </m:e>
                <m:sub>
                  <m:r>
                    <w:rPr>
                      <w:rFonts w:ascii="Cambria Math" w:hAnsi="Cambria Math"/>
                      <w:sz w:val="22"/>
                      <w:szCs w:val="22"/>
                    </w:rPr>
                    <m:t>h</m:t>
                  </m:r>
                </m:sub>
              </m:sSub>
              <m:r>
                <w:rPr>
                  <w:rFonts w:ascii="Cambria Math" w:hAnsi="Cambria Math"/>
                  <w:sz w:val="22"/>
                  <w:szCs w:val="22"/>
                </w:rPr>
                <m:t>×Event×InactivePart</m:t>
              </m:r>
            </m:e>
          </m:nary>
          <m:r>
            <m:rPr>
              <m:sty m:val="p"/>
            </m:rPr>
            <w:rPr>
              <w:rFonts w:ascii="Cambria Math" w:hAnsi="Cambria Math"/>
            </w:rPr>
            <m:t>+</m:t>
          </m:r>
          <m:nary>
            <m:naryPr>
              <m:chr m:val="∑"/>
              <m:limLoc m:val="subSup"/>
              <m:supHide m:val="1"/>
              <m:ctrlPr>
                <w:rPr>
                  <w:rFonts w:ascii="Cambria Math" w:hAnsi="Cambria Math"/>
                </w:rPr>
              </m:ctrlPr>
            </m:naryPr>
            <m:sub>
              <m:r>
                <m:rPr>
                  <m:sty m:val="p"/>
                </m:rPr>
                <w:rPr>
                  <w:rFonts w:ascii="Cambria Math" w:hAnsi="Cambria Math"/>
                </w:rPr>
                <m:t>h</m:t>
              </m:r>
            </m:sub>
            <m:sup/>
            <m:e>
              <m:sSubSup>
                <m:sSubSupPr>
                  <m:ctrlPr>
                    <w:rPr>
                      <w:rFonts w:ascii="Cambria Math" w:hAnsi="Cambria Math"/>
                    </w:rPr>
                  </m:ctrlPr>
                </m:sSubSupPr>
                <m:e>
                  <m:r>
                    <m:rPr>
                      <m:sty m:val="p"/>
                    </m:rPr>
                    <w:rPr>
                      <w:rFonts w:ascii="Cambria Math" w:hAnsi="Cambria Math"/>
                    </w:rPr>
                    <m:t>β</m:t>
                  </m:r>
                </m:e>
                <m:sub>
                  <m:r>
                    <m:rPr>
                      <m:sty m:val="p"/>
                    </m:rPr>
                    <w:rPr>
                      <w:rFonts w:ascii="Cambria Math" w:hAnsi="Cambria Math"/>
                    </w:rPr>
                    <m:t>10</m:t>
                  </m:r>
                </m:sub>
                <m:sup>
                  <m:r>
                    <m:rPr>
                      <m:sty m:val="p"/>
                    </m:rPr>
                    <w:rPr>
                      <w:rFonts w:ascii="Cambria Math" w:hAnsi="Cambria Math"/>
                    </w:rPr>
                    <m:t>h</m:t>
                  </m:r>
                </m:sup>
              </m:sSubSup>
              <m:r>
                <m:rPr>
                  <m:sty m:val="p"/>
                </m:rPr>
                <w:rPr>
                  <w:rFonts w:ascii="Cambria Math" w:hAnsi="Cambria Math"/>
                </w:rPr>
                <m:t>×</m:t>
              </m:r>
              <m:sSub>
                <m:sSubPr>
                  <m:ctrlPr>
                    <w:rPr>
                      <w:rFonts w:ascii="Cambria Math" w:hAnsi="Cambria Math"/>
                    </w:rPr>
                  </m:ctrlPr>
                </m:sSubPr>
                <m:e>
                  <m:r>
                    <m:rPr>
                      <m:sty m:val="p"/>
                    </m:rPr>
                    <w:rPr>
                      <w:rFonts w:ascii="Cambria Math" w:hAnsi="Cambria Math"/>
                    </w:rPr>
                    <m:t>Hour</m:t>
                  </m:r>
                </m:e>
                <m:sub>
                  <m:r>
                    <m:rPr>
                      <m:sty m:val="p"/>
                    </m:rPr>
                    <w:rPr>
                      <w:rFonts w:ascii="Cambria Math" w:hAnsi="Cambria Math"/>
                    </w:rPr>
                    <m:t>h</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CDH65</m:t>
                  </m:r>
                </m:e>
                <m:sub>
                  <m:r>
                    <m:rPr>
                      <m:sty m:val="p"/>
                    </m:rPr>
                    <w:rPr>
                      <w:rFonts w:ascii="Cambria Math" w:hAnsi="Cambria Math"/>
                    </w:rPr>
                    <m:t>h</m:t>
                  </m:r>
                </m:sub>
              </m:sSub>
              <m:r>
                <m:rPr>
                  <m:sty m:val="p"/>
                </m:rPr>
                <w:rPr>
                  <w:rFonts w:ascii="Cambria Math" w:hAnsi="Cambria Math"/>
                </w:rPr>
                <m:t>×Event×ActivePart</m:t>
              </m:r>
            </m:e>
          </m:nary>
          <m:r>
            <m:rPr>
              <m:sty m:val="p"/>
            </m:rPr>
            <w:rPr>
              <w:rFonts w:ascii="Cambria Math" w:hAnsi="Cambria Math"/>
            </w:rPr>
            <m:t>+</m:t>
          </m:r>
          <m:sSub>
            <m:sSubPr>
              <m:ctrlPr>
                <w:rPr>
                  <w:rFonts w:ascii="Cambria Math" w:hAnsi="Cambria Math"/>
                </w:rPr>
              </m:ctrlPr>
            </m:sSubPr>
            <m:e>
              <m:r>
                <m:rPr>
                  <m:sty m:val="p"/>
                </m:rPr>
                <w:rPr>
                  <w:rFonts w:ascii="Cambria Math" w:hAnsi="Cambria Math"/>
                </w:rPr>
                <m:t>ε</m:t>
              </m:r>
            </m:e>
            <m:sub>
              <m:r>
                <m:rPr>
                  <m:sty m:val="p"/>
                </m:rPr>
                <w:rPr>
                  <w:rFonts w:ascii="Cambria Math" w:hAnsi="Cambria Math"/>
                </w:rPr>
                <m:t>t</m:t>
              </m:r>
            </m:sub>
          </m:sSub>
        </m:oMath>
      </m:oMathPara>
    </w:p>
    <w:p w:rsidR="00920140" w:rsidRDefault="00920140" w:rsidP="00920140">
      <w:pPr>
        <w:spacing w:line="276" w:lineRule="auto"/>
        <w:ind w:firstLine="360"/>
      </w:pPr>
      <w:r>
        <w:t>Where</w:t>
      </w:r>
    </w:p>
    <w:p w:rsidR="0024252A" w:rsidRDefault="0024252A" w:rsidP="00920140">
      <w:pPr>
        <w:spacing w:line="276" w:lineRule="auto"/>
        <w:ind w:firstLine="360"/>
      </w:pPr>
    </w:p>
    <w:tbl>
      <w:tblPr>
        <w:tblStyle w:val="TableGrid"/>
        <w:tblW w:w="0" w:type="auto"/>
        <w:jc w:val="center"/>
        <w:tblLook w:val="04A0" w:firstRow="1" w:lastRow="0" w:firstColumn="1" w:lastColumn="0" w:noHBand="0" w:noVBand="1"/>
      </w:tblPr>
      <w:tblGrid>
        <w:gridCol w:w="753"/>
        <w:gridCol w:w="8175"/>
      </w:tblGrid>
      <w:tr w:rsidR="00920140" w:rsidTr="00920140">
        <w:trPr>
          <w:jc w:val="center"/>
        </w:trPr>
        <w:tc>
          <w:tcPr>
            <w:tcW w:w="753" w:type="dxa"/>
            <w:tcBorders>
              <w:top w:val="single" w:sz="4" w:space="0" w:color="auto"/>
              <w:left w:val="single" w:sz="4" w:space="0" w:color="auto"/>
              <w:bottom w:val="single" w:sz="4" w:space="0" w:color="auto"/>
              <w:right w:val="single" w:sz="4" w:space="0" w:color="auto"/>
            </w:tcBorders>
            <w:vAlign w:val="center"/>
            <w:hideMark/>
          </w:tcPr>
          <w:p w:rsidR="00920140" w:rsidRPr="00DC1F8C" w:rsidRDefault="0024252A" w:rsidP="00920140">
            <w:pPr>
              <w:spacing w:line="320" w:lineRule="atLeast"/>
              <w:rPr>
                <w:sz w:val="22"/>
                <w:szCs w:val="22"/>
                <w:vertAlign w:val="subscript"/>
              </w:rPr>
            </w:pPr>
            <m:oMathPara>
              <m:oMath>
                <m:sSub>
                  <m:sSubPr>
                    <m:ctrlPr>
                      <w:rPr>
                        <w:rFonts w:ascii="Cambria Math" w:hAnsi="Cambria Math"/>
                        <w:i/>
                        <w:sz w:val="22"/>
                        <w:szCs w:val="22"/>
                        <w:vertAlign w:val="subscript"/>
                      </w:rPr>
                    </m:ctrlPr>
                  </m:sSubPr>
                  <m:e>
                    <m:r>
                      <w:rPr>
                        <w:rFonts w:ascii="Cambria Math" w:hAnsi="Cambria Math"/>
                        <w:sz w:val="22"/>
                        <w:szCs w:val="22"/>
                        <w:vertAlign w:val="subscript"/>
                      </w:rPr>
                      <m:t>kWh</m:t>
                    </m:r>
                  </m:e>
                  <m:sub>
                    <m:r>
                      <w:rPr>
                        <w:rFonts w:ascii="Cambria Math" w:hAnsi="Cambria Math"/>
                        <w:sz w:val="22"/>
                        <w:szCs w:val="22"/>
                        <w:vertAlign w:val="subscript"/>
                      </w:rPr>
                      <m:t>t</m:t>
                    </m:r>
                  </m:sub>
                </m:sSub>
              </m:oMath>
            </m:oMathPara>
          </w:p>
        </w:tc>
        <w:tc>
          <w:tcPr>
            <w:tcW w:w="8175" w:type="dxa"/>
            <w:tcBorders>
              <w:top w:val="single" w:sz="4" w:space="0" w:color="auto"/>
              <w:left w:val="single" w:sz="4" w:space="0" w:color="auto"/>
              <w:bottom w:val="single" w:sz="4" w:space="0" w:color="auto"/>
              <w:right w:val="single" w:sz="4" w:space="0" w:color="auto"/>
            </w:tcBorders>
            <w:vAlign w:val="center"/>
            <w:hideMark/>
          </w:tcPr>
          <w:p w:rsidR="00920140" w:rsidRPr="00E52009" w:rsidRDefault="00920140" w:rsidP="00920140">
            <w:pPr>
              <w:spacing w:line="320" w:lineRule="atLeast"/>
              <w:rPr>
                <w:sz w:val="20"/>
                <w:szCs w:val="20"/>
              </w:rPr>
            </w:pPr>
            <w:r w:rsidRPr="00E52009">
              <w:rPr>
                <w:sz w:val="20"/>
                <w:szCs w:val="20"/>
              </w:rPr>
              <w:t>Is the kWh in hour t</w:t>
            </w:r>
          </w:p>
        </w:tc>
      </w:tr>
      <w:tr w:rsidR="00920140" w:rsidTr="00920140">
        <w:trPr>
          <w:trHeight w:val="64"/>
          <w:jc w:val="center"/>
        </w:trPr>
        <w:tc>
          <w:tcPr>
            <w:tcW w:w="753" w:type="dxa"/>
            <w:tcBorders>
              <w:top w:val="single" w:sz="4" w:space="0" w:color="auto"/>
              <w:left w:val="single" w:sz="4" w:space="0" w:color="auto"/>
              <w:bottom w:val="single" w:sz="4" w:space="0" w:color="auto"/>
              <w:right w:val="single" w:sz="4" w:space="0" w:color="auto"/>
            </w:tcBorders>
            <w:vAlign w:val="center"/>
            <w:hideMark/>
          </w:tcPr>
          <w:p w:rsidR="00920140" w:rsidRPr="00DC1F8C" w:rsidRDefault="0024252A" w:rsidP="00920140">
            <w:pPr>
              <w:spacing w:line="320" w:lineRule="atLeast"/>
              <w:rPr>
                <w:sz w:val="22"/>
                <w:szCs w:val="22"/>
              </w:rPr>
            </w:pPr>
            <m:oMathPara>
              <m:oMath>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0</m:t>
                    </m:r>
                  </m:sub>
                </m:sSub>
              </m:oMath>
            </m:oMathPara>
          </w:p>
        </w:tc>
        <w:tc>
          <w:tcPr>
            <w:tcW w:w="8175" w:type="dxa"/>
            <w:tcBorders>
              <w:top w:val="single" w:sz="4" w:space="0" w:color="auto"/>
              <w:left w:val="single" w:sz="4" w:space="0" w:color="auto"/>
              <w:bottom w:val="single" w:sz="4" w:space="0" w:color="auto"/>
              <w:right w:val="single" w:sz="4" w:space="0" w:color="auto"/>
            </w:tcBorders>
            <w:vAlign w:val="center"/>
            <w:hideMark/>
          </w:tcPr>
          <w:p w:rsidR="00920140" w:rsidRPr="00E52009" w:rsidRDefault="00920140" w:rsidP="00920140">
            <w:pPr>
              <w:spacing w:line="320" w:lineRule="atLeast"/>
              <w:rPr>
                <w:sz w:val="20"/>
                <w:szCs w:val="20"/>
              </w:rPr>
            </w:pPr>
            <w:r w:rsidRPr="00E52009">
              <w:rPr>
                <w:sz w:val="20"/>
                <w:szCs w:val="20"/>
              </w:rPr>
              <w:t>Is the intercept</w:t>
            </w:r>
          </w:p>
        </w:tc>
      </w:tr>
      <w:tr w:rsidR="00920140" w:rsidTr="00920140">
        <w:trPr>
          <w:jc w:val="center"/>
        </w:trPr>
        <w:tc>
          <w:tcPr>
            <w:tcW w:w="753" w:type="dxa"/>
            <w:tcBorders>
              <w:top w:val="single" w:sz="4" w:space="0" w:color="auto"/>
              <w:left w:val="single" w:sz="4" w:space="0" w:color="auto"/>
              <w:bottom w:val="single" w:sz="4" w:space="0" w:color="auto"/>
              <w:right w:val="single" w:sz="4" w:space="0" w:color="auto"/>
            </w:tcBorders>
            <w:vAlign w:val="center"/>
            <w:hideMark/>
          </w:tcPr>
          <w:p w:rsidR="00920140" w:rsidRPr="00DC1F8C" w:rsidRDefault="0024252A" w:rsidP="00920140">
            <w:pPr>
              <w:spacing w:line="320" w:lineRule="atLeast"/>
              <w:rPr>
                <w:sz w:val="22"/>
                <w:szCs w:val="22"/>
              </w:rPr>
            </w:pPr>
            <m:oMathPara>
              <m:oMath>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1</m:t>
                    </m:r>
                  </m:sub>
                  <m:sup>
                    <m:r>
                      <w:rPr>
                        <w:rFonts w:ascii="Cambria Math" w:hAnsi="Cambria Math"/>
                        <w:sz w:val="22"/>
                        <w:szCs w:val="22"/>
                      </w:rPr>
                      <m:t>d</m:t>
                    </m:r>
                  </m:sup>
                </m:sSubSup>
              </m:oMath>
            </m:oMathPara>
          </w:p>
        </w:tc>
        <w:tc>
          <w:tcPr>
            <w:tcW w:w="8175" w:type="dxa"/>
            <w:tcBorders>
              <w:top w:val="single" w:sz="4" w:space="0" w:color="auto"/>
              <w:left w:val="single" w:sz="4" w:space="0" w:color="auto"/>
              <w:bottom w:val="single" w:sz="4" w:space="0" w:color="auto"/>
              <w:right w:val="single" w:sz="4" w:space="0" w:color="auto"/>
            </w:tcBorders>
            <w:vAlign w:val="center"/>
            <w:hideMark/>
          </w:tcPr>
          <w:p w:rsidR="00920140" w:rsidRPr="00E52009" w:rsidRDefault="00920140" w:rsidP="00920140">
            <w:pPr>
              <w:spacing w:line="320" w:lineRule="atLeast"/>
              <w:rPr>
                <w:sz w:val="20"/>
                <w:szCs w:val="20"/>
              </w:rPr>
            </w:pPr>
            <w:r w:rsidRPr="00E52009">
              <w:rPr>
                <w:sz w:val="20"/>
                <w:szCs w:val="20"/>
              </w:rPr>
              <w:t>Is the set coefficient for day of week (DOW) d</w:t>
            </w:r>
          </w:p>
        </w:tc>
      </w:tr>
      <w:tr w:rsidR="00920140" w:rsidTr="00920140">
        <w:trPr>
          <w:jc w:val="center"/>
        </w:trPr>
        <w:tc>
          <w:tcPr>
            <w:tcW w:w="753" w:type="dxa"/>
            <w:tcBorders>
              <w:top w:val="single" w:sz="4" w:space="0" w:color="auto"/>
              <w:left w:val="single" w:sz="4" w:space="0" w:color="auto"/>
              <w:bottom w:val="single" w:sz="4" w:space="0" w:color="auto"/>
              <w:right w:val="single" w:sz="4" w:space="0" w:color="auto"/>
            </w:tcBorders>
            <w:vAlign w:val="center"/>
            <w:hideMark/>
          </w:tcPr>
          <w:p w:rsidR="00920140" w:rsidRPr="00DC1F8C" w:rsidRDefault="0024252A" w:rsidP="00920140">
            <w:pPr>
              <w:spacing w:line="320" w:lineRule="atLeast"/>
              <w:rPr>
                <w:sz w:val="22"/>
                <w:szCs w:val="22"/>
              </w:rPr>
            </w:pPr>
            <m:oMathPara>
              <m:oMath>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2</m:t>
                    </m:r>
                  </m:sub>
                  <m:sup>
                    <m:r>
                      <w:rPr>
                        <w:rFonts w:ascii="Cambria Math" w:hAnsi="Cambria Math"/>
                        <w:sz w:val="22"/>
                        <w:szCs w:val="22"/>
                      </w:rPr>
                      <m:t>m</m:t>
                    </m:r>
                  </m:sup>
                </m:sSubSup>
              </m:oMath>
            </m:oMathPara>
          </w:p>
        </w:tc>
        <w:tc>
          <w:tcPr>
            <w:tcW w:w="8175" w:type="dxa"/>
            <w:tcBorders>
              <w:top w:val="single" w:sz="4" w:space="0" w:color="auto"/>
              <w:left w:val="single" w:sz="4" w:space="0" w:color="auto"/>
              <w:bottom w:val="single" w:sz="4" w:space="0" w:color="auto"/>
              <w:right w:val="single" w:sz="4" w:space="0" w:color="auto"/>
            </w:tcBorders>
            <w:vAlign w:val="center"/>
            <w:hideMark/>
          </w:tcPr>
          <w:p w:rsidR="00920140" w:rsidRPr="00E52009" w:rsidRDefault="00920140" w:rsidP="00920140">
            <w:pPr>
              <w:spacing w:line="320" w:lineRule="atLeast"/>
              <w:rPr>
                <w:sz w:val="20"/>
                <w:szCs w:val="20"/>
              </w:rPr>
            </w:pPr>
            <w:r w:rsidRPr="00E52009">
              <w:rPr>
                <w:sz w:val="20"/>
                <w:szCs w:val="20"/>
              </w:rPr>
              <w:t>Is the set of coefficient for month m</w:t>
            </w:r>
          </w:p>
        </w:tc>
      </w:tr>
      <w:tr w:rsidR="00920140" w:rsidTr="00920140">
        <w:trPr>
          <w:jc w:val="center"/>
        </w:trPr>
        <w:tc>
          <w:tcPr>
            <w:tcW w:w="753" w:type="dxa"/>
            <w:tcBorders>
              <w:top w:val="single" w:sz="4" w:space="0" w:color="auto"/>
              <w:left w:val="single" w:sz="4" w:space="0" w:color="auto"/>
              <w:bottom w:val="single" w:sz="4" w:space="0" w:color="auto"/>
              <w:right w:val="single" w:sz="4" w:space="0" w:color="auto"/>
            </w:tcBorders>
            <w:vAlign w:val="center"/>
            <w:hideMark/>
          </w:tcPr>
          <w:p w:rsidR="00920140" w:rsidRPr="00DC1F8C" w:rsidRDefault="0024252A" w:rsidP="00920140">
            <w:pPr>
              <w:spacing w:line="320" w:lineRule="atLeast"/>
              <w:rPr>
                <w:sz w:val="22"/>
                <w:szCs w:val="22"/>
              </w:rPr>
            </w:pPr>
            <m:oMathPara>
              <m:oMath>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3</m:t>
                    </m:r>
                  </m:sub>
                  <m:sup>
                    <m:r>
                      <w:rPr>
                        <w:rFonts w:ascii="Cambria Math" w:hAnsi="Cambria Math"/>
                        <w:sz w:val="22"/>
                        <w:szCs w:val="22"/>
                      </w:rPr>
                      <m:t>h</m:t>
                    </m:r>
                  </m:sup>
                </m:sSubSup>
              </m:oMath>
            </m:oMathPara>
          </w:p>
        </w:tc>
        <w:tc>
          <w:tcPr>
            <w:tcW w:w="8175" w:type="dxa"/>
            <w:tcBorders>
              <w:top w:val="single" w:sz="4" w:space="0" w:color="auto"/>
              <w:left w:val="single" w:sz="4" w:space="0" w:color="auto"/>
              <w:bottom w:val="single" w:sz="4" w:space="0" w:color="auto"/>
              <w:right w:val="single" w:sz="4" w:space="0" w:color="auto"/>
            </w:tcBorders>
            <w:vAlign w:val="center"/>
            <w:hideMark/>
          </w:tcPr>
          <w:p w:rsidR="00920140" w:rsidRPr="00E52009" w:rsidRDefault="00920140" w:rsidP="00920140">
            <w:pPr>
              <w:spacing w:line="320" w:lineRule="atLeast"/>
              <w:rPr>
                <w:sz w:val="20"/>
                <w:szCs w:val="20"/>
              </w:rPr>
            </w:pPr>
            <w:r w:rsidRPr="00E52009">
              <w:rPr>
                <w:sz w:val="20"/>
                <w:szCs w:val="20"/>
              </w:rPr>
              <w:t>Is the set of coefficients for hour h</w:t>
            </w:r>
          </w:p>
        </w:tc>
      </w:tr>
      <w:tr w:rsidR="00920140" w:rsidTr="00920140">
        <w:trPr>
          <w:jc w:val="center"/>
        </w:trPr>
        <w:tc>
          <w:tcPr>
            <w:tcW w:w="753" w:type="dxa"/>
            <w:tcBorders>
              <w:top w:val="single" w:sz="4" w:space="0" w:color="auto"/>
              <w:left w:val="single" w:sz="4" w:space="0" w:color="auto"/>
              <w:bottom w:val="single" w:sz="4" w:space="0" w:color="auto"/>
              <w:right w:val="single" w:sz="4" w:space="0" w:color="auto"/>
            </w:tcBorders>
            <w:vAlign w:val="center"/>
            <w:hideMark/>
          </w:tcPr>
          <w:p w:rsidR="00920140" w:rsidRPr="00DC1F8C" w:rsidRDefault="0024252A" w:rsidP="00920140">
            <w:pPr>
              <w:spacing w:line="320" w:lineRule="atLeast"/>
              <w:rPr>
                <w:sz w:val="22"/>
                <w:szCs w:val="22"/>
              </w:rPr>
            </w:pPr>
            <m:oMathPara>
              <m:oMath>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4</m:t>
                    </m:r>
                  </m:sub>
                  <m:sup>
                    <m:r>
                      <w:rPr>
                        <w:rFonts w:ascii="Cambria Math" w:hAnsi="Cambria Math"/>
                        <w:sz w:val="22"/>
                        <w:szCs w:val="22"/>
                      </w:rPr>
                      <m:t>h,d</m:t>
                    </m:r>
                  </m:sup>
                </m:sSubSup>
              </m:oMath>
            </m:oMathPara>
          </w:p>
        </w:tc>
        <w:tc>
          <w:tcPr>
            <w:tcW w:w="8175" w:type="dxa"/>
            <w:tcBorders>
              <w:top w:val="single" w:sz="4" w:space="0" w:color="auto"/>
              <w:left w:val="single" w:sz="4" w:space="0" w:color="auto"/>
              <w:bottom w:val="single" w:sz="4" w:space="0" w:color="auto"/>
              <w:right w:val="single" w:sz="4" w:space="0" w:color="auto"/>
            </w:tcBorders>
            <w:vAlign w:val="center"/>
            <w:hideMark/>
          </w:tcPr>
          <w:p w:rsidR="00920140" w:rsidRPr="00E52009" w:rsidRDefault="00920140" w:rsidP="00920140">
            <w:pPr>
              <w:spacing w:line="320" w:lineRule="atLeast"/>
              <w:rPr>
                <w:sz w:val="20"/>
                <w:szCs w:val="20"/>
              </w:rPr>
            </w:pPr>
            <w:r w:rsidRPr="00E52009">
              <w:rPr>
                <w:sz w:val="20"/>
                <w:szCs w:val="20"/>
              </w:rPr>
              <w:t>Is the set of coefficients for the interaction of hour h and DOW d</w:t>
            </w:r>
          </w:p>
        </w:tc>
      </w:tr>
      <w:tr w:rsidR="00920140" w:rsidTr="00920140">
        <w:trPr>
          <w:jc w:val="center"/>
        </w:trPr>
        <w:tc>
          <w:tcPr>
            <w:tcW w:w="753" w:type="dxa"/>
            <w:tcBorders>
              <w:top w:val="single" w:sz="4" w:space="0" w:color="auto"/>
              <w:left w:val="single" w:sz="4" w:space="0" w:color="auto"/>
              <w:bottom w:val="single" w:sz="4" w:space="0" w:color="auto"/>
              <w:right w:val="single" w:sz="4" w:space="0" w:color="auto"/>
            </w:tcBorders>
            <w:vAlign w:val="center"/>
            <w:hideMark/>
          </w:tcPr>
          <w:p w:rsidR="00920140" w:rsidRPr="00DC1F8C" w:rsidRDefault="0024252A" w:rsidP="00920140">
            <w:pPr>
              <w:spacing w:line="320" w:lineRule="atLeast"/>
              <w:rPr>
                <w:sz w:val="22"/>
                <w:szCs w:val="22"/>
              </w:rPr>
            </w:pPr>
            <m:oMathPara>
              <m:oMath>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5</m:t>
                    </m:r>
                  </m:sub>
                  <m:sup>
                    <m:r>
                      <w:rPr>
                        <w:rFonts w:ascii="Cambria Math" w:hAnsi="Cambria Math"/>
                        <w:sz w:val="22"/>
                        <w:szCs w:val="22"/>
                      </w:rPr>
                      <m:t>h,m</m:t>
                    </m:r>
                  </m:sup>
                </m:sSubSup>
              </m:oMath>
            </m:oMathPara>
          </w:p>
        </w:tc>
        <w:tc>
          <w:tcPr>
            <w:tcW w:w="8175" w:type="dxa"/>
            <w:tcBorders>
              <w:top w:val="single" w:sz="4" w:space="0" w:color="auto"/>
              <w:left w:val="single" w:sz="4" w:space="0" w:color="auto"/>
              <w:bottom w:val="single" w:sz="4" w:space="0" w:color="auto"/>
              <w:right w:val="single" w:sz="4" w:space="0" w:color="auto"/>
            </w:tcBorders>
            <w:vAlign w:val="center"/>
            <w:hideMark/>
          </w:tcPr>
          <w:p w:rsidR="00920140" w:rsidRPr="00E52009" w:rsidRDefault="00920140" w:rsidP="00920140">
            <w:pPr>
              <w:spacing w:line="320" w:lineRule="atLeast"/>
              <w:rPr>
                <w:sz w:val="20"/>
                <w:szCs w:val="20"/>
              </w:rPr>
            </w:pPr>
            <w:r w:rsidRPr="00E52009">
              <w:rPr>
                <w:sz w:val="20"/>
                <w:szCs w:val="20"/>
              </w:rPr>
              <w:t>Is the set of coefficients for the interaction of hour h and month m</w:t>
            </w:r>
          </w:p>
        </w:tc>
      </w:tr>
      <w:tr w:rsidR="00920140" w:rsidTr="00920140">
        <w:trPr>
          <w:jc w:val="center"/>
        </w:trPr>
        <w:tc>
          <w:tcPr>
            <w:tcW w:w="753" w:type="dxa"/>
            <w:tcBorders>
              <w:top w:val="single" w:sz="4" w:space="0" w:color="auto"/>
              <w:left w:val="single" w:sz="4" w:space="0" w:color="auto"/>
              <w:bottom w:val="single" w:sz="4" w:space="0" w:color="auto"/>
              <w:right w:val="single" w:sz="4" w:space="0" w:color="auto"/>
            </w:tcBorders>
            <w:vAlign w:val="center"/>
            <w:hideMark/>
          </w:tcPr>
          <w:p w:rsidR="00920140" w:rsidRPr="00DC1F8C" w:rsidRDefault="0024252A" w:rsidP="00920140">
            <w:pPr>
              <w:spacing w:line="320" w:lineRule="atLeast"/>
              <w:rPr>
                <w:sz w:val="22"/>
                <w:szCs w:val="22"/>
              </w:rPr>
            </w:pPr>
            <m:oMathPara>
              <m:oMath>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6</m:t>
                    </m:r>
                  </m:sub>
                  <m:sup/>
                </m:sSubSup>
              </m:oMath>
            </m:oMathPara>
          </w:p>
        </w:tc>
        <w:tc>
          <w:tcPr>
            <w:tcW w:w="8175" w:type="dxa"/>
            <w:tcBorders>
              <w:top w:val="single" w:sz="4" w:space="0" w:color="auto"/>
              <w:left w:val="single" w:sz="4" w:space="0" w:color="auto"/>
              <w:bottom w:val="single" w:sz="4" w:space="0" w:color="auto"/>
              <w:right w:val="single" w:sz="4" w:space="0" w:color="auto"/>
            </w:tcBorders>
            <w:vAlign w:val="center"/>
            <w:hideMark/>
          </w:tcPr>
          <w:p w:rsidR="00920140" w:rsidRPr="00E52009" w:rsidRDefault="00920140" w:rsidP="00920140">
            <w:pPr>
              <w:spacing w:line="320" w:lineRule="atLeast"/>
              <w:rPr>
                <w:sz w:val="20"/>
                <w:szCs w:val="20"/>
              </w:rPr>
            </w:pPr>
            <w:r w:rsidRPr="00E52009">
              <w:rPr>
                <w:sz w:val="20"/>
                <w:szCs w:val="20"/>
              </w:rPr>
              <w:t>Is the coefficient for cooling degree hours (CDH)</w:t>
            </w:r>
          </w:p>
        </w:tc>
      </w:tr>
      <w:tr w:rsidR="00920140" w:rsidTr="00920140">
        <w:trPr>
          <w:jc w:val="center"/>
        </w:trPr>
        <w:tc>
          <w:tcPr>
            <w:tcW w:w="753" w:type="dxa"/>
            <w:tcBorders>
              <w:top w:val="single" w:sz="4" w:space="0" w:color="auto"/>
              <w:left w:val="single" w:sz="4" w:space="0" w:color="auto"/>
              <w:bottom w:val="single" w:sz="4" w:space="0" w:color="auto"/>
              <w:right w:val="single" w:sz="4" w:space="0" w:color="auto"/>
            </w:tcBorders>
            <w:vAlign w:val="center"/>
            <w:hideMark/>
          </w:tcPr>
          <w:p w:rsidR="00920140" w:rsidRPr="00DC1F8C" w:rsidRDefault="0024252A" w:rsidP="00920140">
            <w:pPr>
              <w:spacing w:line="320" w:lineRule="atLeast"/>
              <w:rPr>
                <w:sz w:val="22"/>
                <w:szCs w:val="22"/>
              </w:rPr>
            </w:pPr>
            <m:oMathPara>
              <m:oMath>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7</m:t>
                    </m:r>
                  </m:sub>
                  <m:sup>
                    <m:r>
                      <w:rPr>
                        <w:rFonts w:ascii="Cambria Math" w:hAnsi="Cambria Math"/>
                        <w:sz w:val="22"/>
                        <w:szCs w:val="22"/>
                      </w:rPr>
                      <m:t>h</m:t>
                    </m:r>
                  </m:sup>
                </m:sSubSup>
              </m:oMath>
            </m:oMathPara>
          </w:p>
        </w:tc>
        <w:tc>
          <w:tcPr>
            <w:tcW w:w="8175" w:type="dxa"/>
            <w:tcBorders>
              <w:top w:val="single" w:sz="4" w:space="0" w:color="auto"/>
              <w:left w:val="single" w:sz="4" w:space="0" w:color="auto"/>
              <w:bottom w:val="single" w:sz="4" w:space="0" w:color="auto"/>
              <w:right w:val="single" w:sz="4" w:space="0" w:color="auto"/>
            </w:tcBorders>
            <w:vAlign w:val="center"/>
            <w:hideMark/>
          </w:tcPr>
          <w:p w:rsidR="00920140" w:rsidRPr="00E52009" w:rsidRDefault="00920140" w:rsidP="00920140">
            <w:pPr>
              <w:spacing w:line="320" w:lineRule="atLeast"/>
              <w:rPr>
                <w:sz w:val="20"/>
                <w:szCs w:val="20"/>
              </w:rPr>
            </w:pPr>
            <w:r w:rsidRPr="00E52009">
              <w:rPr>
                <w:sz w:val="20"/>
                <w:szCs w:val="20"/>
              </w:rPr>
              <w:t>Is the set of coefficients for CDH interacted with hour h</w:t>
            </w:r>
          </w:p>
        </w:tc>
      </w:tr>
      <w:tr w:rsidR="00920140" w:rsidTr="00920140">
        <w:trPr>
          <w:jc w:val="center"/>
        </w:trPr>
        <w:tc>
          <w:tcPr>
            <w:tcW w:w="753" w:type="dxa"/>
            <w:tcBorders>
              <w:top w:val="single" w:sz="4" w:space="0" w:color="auto"/>
              <w:left w:val="single" w:sz="4" w:space="0" w:color="auto"/>
              <w:bottom w:val="single" w:sz="4" w:space="0" w:color="auto"/>
              <w:right w:val="single" w:sz="4" w:space="0" w:color="auto"/>
            </w:tcBorders>
            <w:vAlign w:val="center"/>
            <w:hideMark/>
          </w:tcPr>
          <w:p w:rsidR="00920140" w:rsidRPr="00DC1F8C" w:rsidRDefault="0024252A" w:rsidP="00920140">
            <w:pPr>
              <w:spacing w:line="320" w:lineRule="atLeast"/>
              <w:rPr>
                <w:sz w:val="22"/>
                <w:szCs w:val="22"/>
              </w:rPr>
            </w:pPr>
            <m:oMathPara>
              <m:oMath>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8</m:t>
                    </m:r>
                  </m:sub>
                  <m:sup>
                    <m:r>
                      <w:rPr>
                        <w:rFonts w:ascii="Cambria Math" w:hAnsi="Cambria Math"/>
                        <w:sz w:val="22"/>
                        <w:szCs w:val="22"/>
                      </w:rPr>
                      <m:t>h</m:t>
                    </m:r>
                  </m:sup>
                </m:sSubSup>
              </m:oMath>
            </m:oMathPara>
          </w:p>
        </w:tc>
        <w:tc>
          <w:tcPr>
            <w:tcW w:w="8175" w:type="dxa"/>
            <w:tcBorders>
              <w:top w:val="single" w:sz="4" w:space="0" w:color="auto"/>
              <w:left w:val="single" w:sz="4" w:space="0" w:color="auto"/>
              <w:bottom w:val="single" w:sz="4" w:space="0" w:color="auto"/>
              <w:right w:val="single" w:sz="4" w:space="0" w:color="auto"/>
            </w:tcBorders>
            <w:vAlign w:val="center"/>
            <w:hideMark/>
          </w:tcPr>
          <w:p w:rsidR="00920140" w:rsidRPr="00E52009" w:rsidRDefault="00920140" w:rsidP="00920140">
            <w:pPr>
              <w:spacing w:line="320" w:lineRule="atLeast"/>
              <w:rPr>
                <w:sz w:val="20"/>
                <w:szCs w:val="20"/>
              </w:rPr>
            </w:pPr>
            <w:r w:rsidRPr="00E52009">
              <w:rPr>
                <w:sz w:val="20"/>
                <w:szCs w:val="20"/>
              </w:rPr>
              <w:t>Is the set of coefficients for the interaction of CDH with event days</w:t>
            </w:r>
          </w:p>
        </w:tc>
      </w:tr>
      <w:tr w:rsidR="00920140" w:rsidTr="00920140">
        <w:trPr>
          <w:jc w:val="center"/>
        </w:trPr>
        <w:tc>
          <w:tcPr>
            <w:tcW w:w="753" w:type="dxa"/>
            <w:tcBorders>
              <w:top w:val="single" w:sz="4" w:space="0" w:color="auto"/>
              <w:left w:val="single" w:sz="4" w:space="0" w:color="auto"/>
              <w:bottom w:val="single" w:sz="4" w:space="0" w:color="auto"/>
              <w:right w:val="single" w:sz="4" w:space="0" w:color="auto"/>
            </w:tcBorders>
            <w:vAlign w:val="center"/>
            <w:hideMark/>
          </w:tcPr>
          <w:p w:rsidR="00920140" w:rsidRPr="00DC1F8C" w:rsidRDefault="0024252A" w:rsidP="00920140">
            <w:pPr>
              <w:spacing w:line="320" w:lineRule="atLeast"/>
              <w:rPr>
                <w:sz w:val="22"/>
                <w:szCs w:val="22"/>
              </w:rPr>
            </w:pPr>
            <m:oMathPara>
              <m:oMath>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9</m:t>
                    </m:r>
                  </m:sub>
                  <m:sup>
                    <m:r>
                      <w:rPr>
                        <w:rFonts w:ascii="Cambria Math" w:hAnsi="Cambria Math"/>
                        <w:sz w:val="22"/>
                        <w:szCs w:val="22"/>
                      </w:rPr>
                      <m:t>h</m:t>
                    </m:r>
                  </m:sup>
                </m:sSubSup>
              </m:oMath>
            </m:oMathPara>
          </w:p>
        </w:tc>
        <w:tc>
          <w:tcPr>
            <w:tcW w:w="8175" w:type="dxa"/>
            <w:tcBorders>
              <w:top w:val="single" w:sz="4" w:space="0" w:color="auto"/>
              <w:left w:val="single" w:sz="4" w:space="0" w:color="auto"/>
              <w:bottom w:val="single" w:sz="4" w:space="0" w:color="auto"/>
              <w:right w:val="single" w:sz="4" w:space="0" w:color="auto"/>
            </w:tcBorders>
            <w:vAlign w:val="center"/>
            <w:hideMark/>
          </w:tcPr>
          <w:p w:rsidR="00920140" w:rsidRPr="00E52009" w:rsidRDefault="00920140" w:rsidP="00920140">
            <w:pPr>
              <w:spacing w:line="320" w:lineRule="atLeast"/>
              <w:rPr>
                <w:sz w:val="20"/>
                <w:szCs w:val="20"/>
              </w:rPr>
            </w:pPr>
            <w:r w:rsidRPr="00E52009">
              <w:rPr>
                <w:sz w:val="20"/>
                <w:szCs w:val="20"/>
              </w:rPr>
              <w:t>Is the set of coefficients for interaction of CDH with hour h and event days for inactive participants</w:t>
            </w:r>
          </w:p>
        </w:tc>
      </w:tr>
      <w:tr w:rsidR="00920140" w:rsidTr="00920140">
        <w:trPr>
          <w:jc w:val="center"/>
        </w:trPr>
        <w:tc>
          <w:tcPr>
            <w:tcW w:w="753" w:type="dxa"/>
            <w:tcBorders>
              <w:top w:val="single" w:sz="4" w:space="0" w:color="auto"/>
              <w:left w:val="single" w:sz="4" w:space="0" w:color="auto"/>
              <w:bottom w:val="single" w:sz="4" w:space="0" w:color="auto"/>
              <w:right w:val="single" w:sz="4" w:space="0" w:color="auto"/>
            </w:tcBorders>
            <w:vAlign w:val="center"/>
            <w:hideMark/>
          </w:tcPr>
          <w:p w:rsidR="00920140" w:rsidRPr="00DC1F8C" w:rsidRDefault="0024252A" w:rsidP="00920140">
            <w:pPr>
              <w:spacing w:line="320" w:lineRule="atLeast"/>
              <w:rPr>
                <w:sz w:val="22"/>
                <w:szCs w:val="22"/>
              </w:rPr>
            </w:pPr>
            <m:oMathPara>
              <m:oMath>
                <m:sSubSup>
                  <m:sSubSupPr>
                    <m:ctrlPr>
                      <w:rPr>
                        <w:rFonts w:ascii="Cambria Math" w:hAnsi="Cambria Math"/>
                        <w:i/>
                        <w:sz w:val="22"/>
                        <w:szCs w:val="22"/>
                      </w:rPr>
                    </m:ctrlPr>
                  </m:sSubSupPr>
                  <m:e>
                    <m:r>
                      <w:rPr>
                        <w:rFonts w:ascii="Cambria Math" w:hAnsi="Cambria Math"/>
                        <w:sz w:val="22"/>
                        <w:szCs w:val="22"/>
                      </w:rPr>
                      <m:t>β</m:t>
                    </m:r>
                  </m:e>
                  <m:sub>
                    <m:r>
                      <w:rPr>
                        <w:rFonts w:ascii="Cambria Math" w:hAnsi="Cambria Math"/>
                        <w:sz w:val="22"/>
                        <w:szCs w:val="22"/>
                      </w:rPr>
                      <m:t>10</m:t>
                    </m:r>
                  </m:sub>
                  <m:sup>
                    <m:r>
                      <w:rPr>
                        <w:rFonts w:ascii="Cambria Math" w:hAnsi="Cambria Math"/>
                        <w:sz w:val="22"/>
                        <w:szCs w:val="22"/>
                      </w:rPr>
                      <m:t>h</m:t>
                    </m:r>
                  </m:sup>
                </m:sSubSup>
              </m:oMath>
            </m:oMathPara>
          </w:p>
        </w:tc>
        <w:tc>
          <w:tcPr>
            <w:tcW w:w="8175" w:type="dxa"/>
            <w:tcBorders>
              <w:top w:val="single" w:sz="4" w:space="0" w:color="auto"/>
              <w:left w:val="single" w:sz="4" w:space="0" w:color="auto"/>
              <w:bottom w:val="single" w:sz="4" w:space="0" w:color="auto"/>
              <w:right w:val="single" w:sz="4" w:space="0" w:color="auto"/>
            </w:tcBorders>
            <w:vAlign w:val="center"/>
            <w:hideMark/>
          </w:tcPr>
          <w:p w:rsidR="00920140" w:rsidRPr="00E52009" w:rsidRDefault="00920140" w:rsidP="00920140">
            <w:pPr>
              <w:spacing w:line="320" w:lineRule="atLeast"/>
              <w:rPr>
                <w:sz w:val="20"/>
                <w:szCs w:val="20"/>
              </w:rPr>
            </w:pPr>
            <w:r w:rsidRPr="00E52009">
              <w:rPr>
                <w:sz w:val="20"/>
                <w:szCs w:val="20"/>
              </w:rPr>
              <w:t>Is the set of coefficients for interaction of CDH with hour h and event days for active participants</w:t>
            </w:r>
          </w:p>
        </w:tc>
      </w:tr>
      <w:tr w:rsidR="00920140" w:rsidTr="00920140">
        <w:trPr>
          <w:jc w:val="center"/>
        </w:trPr>
        <w:tc>
          <w:tcPr>
            <w:tcW w:w="753" w:type="dxa"/>
            <w:tcBorders>
              <w:top w:val="single" w:sz="4" w:space="0" w:color="auto"/>
              <w:left w:val="single" w:sz="4" w:space="0" w:color="auto"/>
              <w:bottom w:val="single" w:sz="4" w:space="0" w:color="auto"/>
              <w:right w:val="single" w:sz="4" w:space="0" w:color="auto"/>
            </w:tcBorders>
            <w:vAlign w:val="center"/>
            <w:hideMark/>
          </w:tcPr>
          <w:p w:rsidR="00920140" w:rsidRPr="00DC1F8C" w:rsidRDefault="0024252A" w:rsidP="00920140">
            <w:pPr>
              <w:spacing w:line="320" w:lineRule="atLeast"/>
              <w:rPr>
                <w:sz w:val="22"/>
                <w:szCs w:val="22"/>
              </w:rPr>
            </w:pPr>
            <m:oMathPara>
              <m:oMath>
                <m:sSub>
                  <m:sSubPr>
                    <m:ctrlPr>
                      <w:rPr>
                        <w:rFonts w:ascii="Cambria Math" w:hAnsi="Cambria Math"/>
                        <w:i/>
                        <w:sz w:val="22"/>
                        <w:szCs w:val="22"/>
                      </w:rPr>
                    </m:ctrlPr>
                  </m:sSubPr>
                  <m:e>
                    <m:r>
                      <w:rPr>
                        <w:rFonts w:ascii="Cambria Math" w:hAnsi="Cambria Math"/>
                        <w:sz w:val="22"/>
                        <w:szCs w:val="22"/>
                      </w:rPr>
                      <m:t>ε</m:t>
                    </m:r>
                  </m:e>
                  <m:sub>
                    <m:r>
                      <w:rPr>
                        <w:rFonts w:ascii="Cambria Math" w:hAnsi="Cambria Math"/>
                        <w:sz w:val="22"/>
                        <w:szCs w:val="22"/>
                      </w:rPr>
                      <m:t>t</m:t>
                    </m:r>
                  </m:sub>
                </m:sSub>
              </m:oMath>
            </m:oMathPara>
          </w:p>
        </w:tc>
        <w:tc>
          <w:tcPr>
            <w:tcW w:w="8175" w:type="dxa"/>
            <w:tcBorders>
              <w:top w:val="single" w:sz="4" w:space="0" w:color="auto"/>
              <w:left w:val="single" w:sz="4" w:space="0" w:color="auto"/>
              <w:bottom w:val="single" w:sz="4" w:space="0" w:color="auto"/>
              <w:right w:val="single" w:sz="4" w:space="0" w:color="auto"/>
            </w:tcBorders>
            <w:vAlign w:val="center"/>
            <w:hideMark/>
          </w:tcPr>
          <w:p w:rsidR="00920140" w:rsidRPr="00E52009" w:rsidRDefault="00920140" w:rsidP="00920140">
            <w:pPr>
              <w:spacing w:line="320" w:lineRule="atLeast"/>
              <w:rPr>
                <w:sz w:val="20"/>
                <w:szCs w:val="20"/>
              </w:rPr>
            </w:pPr>
            <w:r w:rsidRPr="00E52009">
              <w:rPr>
                <w:sz w:val="20"/>
                <w:szCs w:val="20"/>
              </w:rPr>
              <w:t>Is the error</w:t>
            </w:r>
          </w:p>
        </w:tc>
      </w:tr>
    </w:tbl>
    <w:p w:rsidR="00920140" w:rsidRDefault="00920140" w:rsidP="00920140">
      <w:pPr>
        <w:pStyle w:val="Halfline"/>
        <w:spacing w:after="0" w:line="276" w:lineRule="auto"/>
        <w:ind w:firstLine="360"/>
      </w:pPr>
    </w:p>
    <w:p w:rsidR="00920140" w:rsidRPr="00B777EF" w:rsidRDefault="00920140" w:rsidP="00920140">
      <w:pPr>
        <w:spacing w:line="276" w:lineRule="auto"/>
        <w:ind w:firstLine="360"/>
        <w:rPr>
          <w:color w:val="000000" w:themeColor="text1"/>
        </w:rPr>
      </w:pPr>
      <w:r w:rsidRPr="00B777EF">
        <w:rPr>
          <w:color w:val="000000" w:themeColor="text1"/>
        </w:rPr>
        <w:t>The program impacts were based on the interaction of four variables: the event day flag, the active participant flag, the hour, and the cooling degree hours (CDH). The interaction with CDH served two purposes.  First, it allowed for the estimation of savings for individual events, since temperatures were obviously not the same.  Second, it allows for the use of the results to develop ex ante impacts.  The remainder of the variables allowed controlling for weather and other periodic factors that determine aggregate customer loads.</w:t>
      </w:r>
    </w:p>
    <w:p w:rsidR="00920140" w:rsidRPr="001527F2" w:rsidRDefault="00920140" w:rsidP="00920140">
      <w:pPr>
        <w:pStyle w:val="Heading3"/>
        <w:ind w:left="720"/>
        <w:rPr>
          <w:rFonts w:ascii="Times New Roman" w:hAnsi="Times New Roman" w:cs="Times New Roman"/>
        </w:rPr>
      </w:pPr>
      <w:bookmarkStart w:id="204" w:name="_Toc415749010"/>
      <w:bookmarkStart w:id="205" w:name="_Toc447179821"/>
      <w:r>
        <w:rPr>
          <w:rFonts w:ascii="Times New Roman" w:hAnsi="Times New Roman" w:cs="Times New Roman"/>
        </w:rPr>
        <w:t xml:space="preserve">SCTD </w:t>
      </w:r>
      <w:r w:rsidR="003562F8">
        <w:rPr>
          <w:rFonts w:ascii="Times New Roman" w:hAnsi="Times New Roman" w:cs="Times New Roman"/>
        </w:rPr>
        <w:t xml:space="preserve">Residential </w:t>
      </w:r>
      <w:r w:rsidRPr="00B03AB1">
        <w:rPr>
          <w:rFonts w:ascii="Times New Roman" w:hAnsi="Times New Roman" w:cs="Times New Roman"/>
        </w:rPr>
        <w:t>Ex</w:t>
      </w:r>
      <w:r w:rsidR="003562F8">
        <w:rPr>
          <w:rFonts w:ascii="Times New Roman" w:hAnsi="Times New Roman" w:cs="Times New Roman"/>
        </w:rPr>
        <w:t>-</w:t>
      </w:r>
      <w:r w:rsidRPr="00B03AB1">
        <w:rPr>
          <w:rFonts w:ascii="Times New Roman" w:hAnsi="Times New Roman" w:cs="Times New Roman"/>
        </w:rPr>
        <w:t xml:space="preserve">Post </w:t>
      </w:r>
      <w:bookmarkEnd w:id="204"/>
      <w:r w:rsidR="003562F8">
        <w:rPr>
          <w:rFonts w:ascii="Times New Roman" w:hAnsi="Times New Roman" w:cs="Times New Roman"/>
        </w:rPr>
        <w:t>Methodology</w:t>
      </w:r>
      <w:bookmarkEnd w:id="205"/>
      <w:r w:rsidRPr="00B03AB1">
        <w:rPr>
          <w:rFonts w:ascii="Times New Roman" w:hAnsi="Times New Roman" w:cs="Times New Roman"/>
        </w:rPr>
        <w:t xml:space="preserve"> </w:t>
      </w:r>
    </w:p>
    <w:p w:rsidR="00920140" w:rsidRDefault="00920140" w:rsidP="00920140">
      <w:pPr>
        <w:pStyle w:val="BodyParagraph"/>
        <w:spacing w:after="0" w:line="276" w:lineRule="auto"/>
        <w:rPr>
          <w:rFonts w:ascii="Times New Roman" w:hAnsi="Times New Roman"/>
          <w:color w:val="FF0000"/>
          <w:sz w:val="24"/>
          <w:szCs w:val="24"/>
        </w:rPr>
      </w:pPr>
    </w:p>
    <w:p w:rsidR="00920140" w:rsidRDefault="00920140" w:rsidP="003562F8">
      <w:pPr>
        <w:spacing w:line="276" w:lineRule="auto"/>
        <w:ind w:firstLine="360"/>
      </w:pPr>
      <w:r>
        <w:t xml:space="preserve">The model used to estimate savings for the SCTD participants was nearly identical to that applied to the PTR opt-in alert customers.  Using the population of SCTD participants and its associated matched control group, </w:t>
      </w:r>
      <w:r w:rsidRPr="00745024">
        <w:t xml:space="preserve">ex post </w:t>
      </w:r>
      <w:r>
        <w:t>impacts were estimated in an analogous fashion to the PTR groups.  Each set of estimated impacts were grouped by SCTD cycling strategy (4 degree setback or 50% cycling) as well as overall.</w:t>
      </w:r>
    </w:p>
    <w:p w:rsidR="003E6B6C" w:rsidRDefault="003E6B6C" w:rsidP="003562F8">
      <w:pPr>
        <w:spacing w:line="276" w:lineRule="auto"/>
        <w:ind w:firstLine="360"/>
      </w:pPr>
    </w:p>
    <w:p w:rsidR="003562F8" w:rsidRPr="006D67B3" w:rsidRDefault="003562F8" w:rsidP="003562F8">
      <w:pPr>
        <w:spacing w:line="276" w:lineRule="auto"/>
        <w:ind w:firstLine="360"/>
      </w:pPr>
    </w:p>
    <w:p w:rsidR="00920140" w:rsidRDefault="00920140" w:rsidP="003562F8">
      <w:pPr>
        <w:pStyle w:val="Heading2"/>
        <w:spacing w:before="0" w:after="0" w:line="276" w:lineRule="auto"/>
        <w:ind w:left="0" w:firstLine="0"/>
        <w:rPr>
          <w:rFonts w:ascii="Times New Roman" w:hAnsi="Times New Roman" w:cs="Times New Roman"/>
          <w:bCs w:val="0"/>
          <w:iCs w:val="0"/>
          <w:color w:val="000000" w:themeColor="text1"/>
        </w:rPr>
      </w:pPr>
      <w:bookmarkStart w:id="206" w:name="_Toc415749011"/>
      <w:bookmarkStart w:id="207" w:name="_Toc447179822"/>
      <w:r w:rsidRPr="00942C9F">
        <w:rPr>
          <w:rFonts w:ascii="Times New Roman" w:hAnsi="Times New Roman" w:cs="Times New Roman"/>
          <w:bCs w:val="0"/>
          <w:iCs w:val="0"/>
          <w:color w:val="000000" w:themeColor="text1"/>
        </w:rPr>
        <w:t xml:space="preserve">PTR and SCTD </w:t>
      </w:r>
      <w:r w:rsidR="003562F8">
        <w:rPr>
          <w:rFonts w:ascii="Times New Roman" w:hAnsi="Times New Roman" w:cs="Times New Roman"/>
        </w:rPr>
        <w:t>Residential</w:t>
      </w:r>
      <w:r w:rsidR="003562F8" w:rsidRPr="00942C9F">
        <w:rPr>
          <w:rFonts w:ascii="Times New Roman" w:hAnsi="Times New Roman" w:cs="Times New Roman"/>
          <w:bCs w:val="0"/>
          <w:iCs w:val="0"/>
          <w:color w:val="000000" w:themeColor="text1"/>
        </w:rPr>
        <w:t xml:space="preserve"> </w:t>
      </w:r>
      <w:r w:rsidRPr="00942C9F">
        <w:rPr>
          <w:rFonts w:ascii="Times New Roman" w:hAnsi="Times New Roman" w:cs="Times New Roman"/>
          <w:bCs w:val="0"/>
          <w:iCs w:val="0"/>
          <w:color w:val="000000" w:themeColor="text1"/>
        </w:rPr>
        <w:t xml:space="preserve">Ex-Post </w:t>
      </w:r>
      <w:bookmarkEnd w:id="206"/>
      <w:r w:rsidR="001F1158">
        <w:rPr>
          <w:rFonts w:ascii="Times New Roman" w:hAnsi="Times New Roman" w:cs="Times New Roman"/>
          <w:bCs w:val="0"/>
          <w:iCs w:val="0"/>
          <w:color w:val="000000" w:themeColor="text1"/>
        </w:rPr>
        <w:t>Load Impact</w:t>
      </w:r>
      <w:r w:rsidRPr="00942C9F">
        <w:rPr>
          <w:rFonts w:ascii="Times New Roman" w:hAnsi="Times New Roman" w:cs="Times New Roman"/>
          <w:bCs w:val="0"/>
          <w:iCs w:val="0"/>
          <w:color w:val="000000" w:themeColor="text1"/>
        </w:rPr>
        <w:t xml:space="preserve"> </w:t>
      </w:r>
      <w:r w:rsidR="003562F8">
        <w:rPr>
          <w:rFonts w:ascii="Times New Roman" w:hAnsi="Times New Roman" w:cs="Times New Roman"/>
          <w:bCs w:val="0"/>
          <w:iCs w:val="0"/>
          <w:color w:val="000000" w:themeColor="text1"/>
        </w:rPr>
        <w:t>Estimates</w:t>
      </w:r>
      <w:bookmarkEnd w:id="207"/>
    </w:p>
    <w:p w:rsidR="00830BC9" w:rsidRDefault="00830BC9" w:rsidP="00830BC9"/>
    <w:p w:rsidR="00830BC9" w:rsidRPr="00830BC9" w:rsidRDefault="00830BC9" w:rsidP="00830BC9">
      <w:pPr>
        <w:pStyle w:val="Heading2"/>
        <w:numPr>
          <w:ilvl w:val="1"/>
          <w:numId w:val="54"/>
        </w:numPr>
        <w:rPr>
          <w:rFonts w:ascii="Times New Roman" w:hAnsi="Times New Roman" w:cs="Times New Roman"/>
          <w:bCs w:val="0"/>
          <w:i w:val="0"/>
          <w:iCs w:val="0"/>
          <w:color w:val="000000" w:themeColor="text1"/>
        </w:rPr>
      </w:pPr>
      <w:bookmarkStart w:id="208" w:name="_Toc415749004"/>
      <w:bookmarkStart w:id="209" w:name="_Toc447179823"/>
      <w:r w:rsidRPr="00830BC9">
        <w:rPr>
          <w:rFonts w:ascii="Times New Roman" w:hAnsi="Times New Roman" w:cs="Times New Roman"/>
          <w:bCs w:val="0"/>
          <w:i w:val="0"/>
          <w:iCs w:val="0"/>
          <w:color w:val="000000" w:themeColor="text1"/>
        </w:rPr>
        <w:t>Summary of 2015 PTR and SCTD Events</w:t>
      </w:r>
      <w:bookmarkEnd w:id="208"/>
      <w:bookmarkEnd w:id="209"/>
    </w:p>
    <w:p w:rsidR="00830BC9" w:rsidRDefault="00830BC9" w:rsidP="00830BC9">
      <w:pPr>
        <w:spacing w:line="276" w:lineRule="auto"/>
        <w:ind w:firstLine="720"/>
      </w:pPr>
    </w:p>
    <w:p w:rsidR="00830BC9" w:rsidRDefault="00830BC9" w:rsidP="00830BC9">
      <w:pPr>
        <w:spacing w:line="276" w:lineRule="auto"/>
        <w:ind w:firstLine="360"/>
      </w:pPr>
      <w:r w:rsidRPr="00057690">
        <w:rPr>
          <w:sz w:val="22"/>
          <w:szCs w:val="22"/>
        </w:rPr>
        <w:t>Table 7-1</w:t>
      </w:r>
      <w:r w:rsidRPr="00865030">
        <w:t xml:space="preserve"> presents the ex post load impacts for PTR participants without any load control (SCTD or Summer Saver), including those that are Net Energy Metered. These results are presented by each of the four event days in 2015.  </w:t>
      </w:r>
      <w:r w:rsidRPr="00057690">
        <w:rPr>
          <w:sz w:val="22"/>
          <w:szCs w:val="22"/>
        </w:rPr>
        <w:t>Table 7-2</w:t>
      </w:r>
      <w:r w:rsidRPr="00865030">
        <w:t xml:space="preserve"> presents the ex post load impacts for all SCTD participants by event date.</w:t>
      </w:r>
    </w:p>
    <w:p w:rsidR="00830BC9" w:rsidRDefault="00830BC9" w:rsidP="00830BC9"/>
    <w:p w:rsidR="0024252A" w:rsidRDefault="0024252A" w:rsidP="00830BC9">
      <w:pPr>
        <w:pStyle w:val="Caption"/>
        <w:spacing w:after="120"/>
        <w:jc w:val="center"/>
        <w:rPr>
          <w:sz w:val="22"/>
          <w:szCs w:val="22"/>
        </w:rPr>
      </w:pPr>
    </w:p>
    <w:p w:rsidR="00830BC9" w:rsidRPr="00865030" w:rsidRDefault="00830BC9" w:rsidP="00830BC9">
      <w:pPr>
        <w:pStyle w:val="Caption"/>
        <w:spacing w:after="120"/>
        <w:jc w:val="center"/>
        <w:rPr>
          <w:sz w:val="22"/>
          <w:szCs w:val="22"/>
        </w:rPr>
      </w:pPr>
      <w:r w:rsidRPr="00865030">
        <w:rPr>
          <w:sz w:val="22"/>
          <w:szCs w:val="22"/>
        </w:rPr>
        <w:lastRenderedPageBreak/>
        <w:t>Table 7</w:t>
      </w:r>
      <w:r>
        <w:rPr>
          <w:sz w:val="22"/>
          <w:szCs w:val="22"/>
        </w:rPr>
        <w:t>-</w:t>
      </w:r>
      <w:r w:rsidRPr="00865030">
        <w:rPr>
          <w:sz w:val="22"/>
          <w:szCs w:val="22"/>
        </w:rPr>
        <w:t>1</w:t>
      </w:r>
      <w:r>
        <w:rPr>
          <w:sz w:val="22"/>
          <w:szCs w:val="22"/>
        </w:rPr>
        <w:t>:</w:t>
      </w:r>
      <w:r w:rsidRPr="00865030">
        <w:rPr>
          <w:sz w:val="22"/>
          <w:szCs w:val="22"/>
        </w:rPr>
        <w:t xml:space="preserve"> PTR with No Load Control (including NEM) Ex Post Load Impact Estimates – </w:t>
      </w:r>
    </w:p>
    <w:p w:rsidR="00830BC9" w:rsidRPr="00C0144C" w:rsidRDefault="00830BC9" w:rsidP="00830BC9">
      <w:pPr>
        <w:pStyle w:val="Caption"/>
        <w:spacing w:after="120"/>
        <w:jc w:val="center"/>
        <w:rPr>
          <w:sz w:val="22"/>
          <w:szCs w:val="22"/>
        </w:rPr>
      </w:pPr>
      <w:r w:rsidRPr="00865030">
        <w:rPr>
          <w:sz w:val="22"/>
          <w:szCs w:val="22"/>
        </w:rPr>
        <w:t>By Event Date (11 a.m. to 6 p.m.)</w:t>
      </w:r>
    </w:p>
    <w:tbl>
      <w:tblPr>
        <w:tblStyle w:val="ItronBasic"/>
        <w:tblW w:w="9720" w:type="dxa"/>
        <w:tblInd w:w="-425" w:type="dxa"/>
        <w:tblLayout w:type="fixed"/>
        <w:tblCellMar>
          <w:left w:w="115" w:type="dxa"/>
          <w:right w:w="115" w:type="dxa"/>
        </w:tblCellMar>
        <w:tblLook w:val="04A0" w:firstRow="1" w:lastRow="0" w:firstColumn="1" w:lastColumn="0" w:noHBand="0" w:noVBand="1"/>
      </w:tblPr>
      <w:tblGrid>
        <w:gridCol w:w="2070"/>
        <w:gridCol w:w="1350"/>
        <w:gridCol w:w="1170"/>
        <w:gridCol w:w="1080"/>
        <w:gridCol w:w="900"/>
        <w:gridCol w:w="1170"/>
        <w:gridCol w:w="1170"/>
        <w:gridCol w:w="810"/>
      </w:tblGrid>
      <w:tr w:rsidR="00830BC9" w:rsidRPr="001B7874" w:rsidTr="00F821D4">
        <w:trPr>
          <w:cnfStyle w:val="100000000000" w:firstRow="1" w:lastRow="0" w:firstColumn="0" w:lastColumn="0" w:oddVBand="0" w:evenVBand="0" w:oddHBand="0" w:evenHBand="0" w:firstRowFirstColumn="0" w:firstRowLastColumn="0" w:lastRowFirstColumn="0" w:lastRowLastColumn="0"/>
        </w:trPr>
        <w:tc>
          <w:tcPr>
            <w:tcW w:w="2070" w:type="dxa"/>
            <w:shd w:val="clear" w:color="auto" w:fill="1F497D" w:themeFill="text2"/>
            <w:vAlign w:val="bottom"/>
          </w:tcPr>
          <w:p w:rsidR="00830BC9" w:rsidRPr="00865030" w:rsidRDefault="00830BC9" w:rsidP="00F821D4">
            <w:pPr>
              <w:keepNext/>
              <w:keepLines/>
              <w:spacing w:before="40" w:after="40"/>
              <w:rPr>
                <w:rFonts w:ascii="Times New Roman" w:hAnsi="Times New Roman"/>
                <w:color w:val="FFFFFF" w:themeColor="background1"/>
                <w:sz w:val="20"/>
                <w:szCs w:val="20"/>
              </w:rPr>
            </w:pPr>
            <w:r w:rsidRPr="00865030">
              <w:rPr>
                <w:rFonts w:ascii="Times New Roman" w:hAnsi="Times New Roman"/>
                <w:color w:val="FFFFFF" w:themeColor="background1"/>
                <w:sz w:val="20"/>
                <w:szCs w:val="20"/>
              </w:rPr>
              <w:t>Event Date</w:t>
            </w:r>
          </w:p>
        </w:tc>
        <w:tc>
          <w:tcPr>
            <w:tcW w:w="1350" w:type="dxa"/>
            <w:shd w:val="clear" w:color="auto" w:fill="1F497D" w:themeFill="text2"/>
            <w:vAlign w:val="bottom"/>
          </w:tcPr>
          <w:p w:rsidR="00830BC9" w:rsidRPr="00865030" w:rsidRDefault="00830BC9" w:rsidP="00F821D4">
            <w:pPr>
              <w:keepNext/>
              <w:keepLines/>
              <w:adjustRightInd w:val="0"/>
              <w:spacing w:before="60" w:after="60"/>
              <w:jc w:val="center"/>
              <w:rPr>
                <w:rFonts w:ascii="Times New Roman" w:hAnsi="Times New Roman"/>
                <w:bCs/>
                <w:color w:val="FFFFFF" w:themeColor="background1"/>
                <w:sz w:val="20"/>
                <w:szCs w:val="20"/>
              </w:rPr>
            </w:pPr>
            <w:r w:rsidRPr="00865030">
              <w:rPr>
                <w:rFonts w:ascii="Times New Roman" w:hAnsi="Times New Roman"/>
                <w:bCs/>
                <w:color w:val="FFFFFF" w:themeColor="background1"/>
                <w:sz w:val="20"/>
                <w:szCs w:val="20"/>
              </w:rPr>
              <w:t>Active Participants</w:t>
            </w:r>
          </w:p>
        </w:tc>
        <w:tc>
          <w:tcPr>
            <w:tcW w:w="1170" w:type="dxa"/>
            <w:shd w:val="clear" w:color="auto" w:fill="1F497D" w:themeFill="text2"/>
            <w:vAlign w:val="bottom"/>
          </w:tcPr>
          <w:p w:rsidR="00830BC9" w:rsidRPr="00865030" w:rsidRDefault="00830BC9" w:rsidP="00F821D4">
            <w:pPr>
              <w:keepNext/>
              <w:keepLines/>
              <w:adjustRightInd w:val="0"/>
              <w:spacing w:before="60" w:after="60"/>
              <w:jc w:val="center"/>
              <w:rPr>
                <w:rFonts w:ascii="Times New Roman" w:hAnsi="Times New Roman"/>
                <w:bCs/>
                <w:color w:val="FFFFFF" w:themeColor="background1"/>
                <w:sz w:val="20"/>
                <w:szCs w:val="20"/>
              </w:rPr>
            </w:pPr>
            <w:r w:rsidRPr="00865030">
              <w:rPr>
                <w:rFonts w:ascii="Times New Roman" w:hAnsi="Times New Roman"/>
                <w:bCs/>
                <w:color w:val="FFFFFF" w:themeColor="background1"/>
                <w:sz w:val="20"/>
                <w:szCs w:val="20"/>
              </w:rPr>
              <w:t>Mean  Reference Load</w:t>
            </w:r>
            <w:r w:rsidRPr="00865030">
              <w:rPr>
                <w:rFonts w:ascii="Times New Roman" w:hAnsi="Times New Roman"/>
                <w:bCs/>
                <w:color w:val="FFFFFF" w:themeColor="background1"/>
                <w:sz w:val="20"/>
                <w:szCs w:val="20"/>
              </w:rPr>
              <w:br/>
              <w:t>(kW)</w:t>
            </w:r>
          </w:p>
        </w:tc>
        <w:tc>
          <w:tcPr>
            <w:tcW w:w="1080" w:type="dxa"/>
            <w:shd w:val="clear" w:color="auto" w:fill="1F497D" w:themeFill="text2"/>
            <w:vAlign w:val="bottom"/>
          </w:tcPr>
          <w:p w:rsidR="00830BC9" w:rsidRPr="00865030" w:rsidRDefault="00830BC9" w:rsidP="00F821D4">
            <w:pPr>
              <w:keepNext/>
              <w:keepLines/>
              <w:adjustRightInd w:val="0"/>
              <w:spacing w:before="60" w:after="60"/>
              <w:jc w:val="center"/>
              <w:rPr>
                <w:rFonts w:ascii="Times New Roman" w:hAnsi="Times New Roman"/>
                <w:bCs/>
                <w:color w:val="FFFFFF" w:themeColor="background1"/>
                <w:sz w:val="20"/>
                <w:szCs w:val="20"/>
              </w:rPr>
            </w:pPr>
            <w:r w:rsidRPr="00865030">
              <w:rPr>
                <w:rFonts w:ascii="Times New Roman" w:hAnsi="Times New Roman"/>
                <w:bCs/>
                <w:color w:val="FFFFFF" w:themeColor="background1"/>
                <w:sz w:val="20"/>
                <w:szCs w:val="20"/>
              </w:rPr>
              <w:t>Mean Observed Load</w:t>
            </w:r>
            <w:r w:rsidRPr="00865030">
              <w:rPr>
                <w:rFonts w:ascii="Times New Roman" w:hAnsi="Times New Roman"/>
                <w:bCs/>
                <w:color w:val="FFFFFF" w:themeColor="background1"/>
                <w:sz w:val="20"/>
                <w:szCs w:val="20"/>
              </w:rPr>
              <w:br/>
              <w:t>(kW)</w:t>
            </w:r>
          </w:p>
        </w:tc>
        <w:tc>
          <w:tcPr>
            <w:tcW w:w="900" w:type="dxa"/>
            <w:shd w:val="clear" w:color="auto" w:fill="1F497D" w:themeFill="text2"/>
            <w:vAlign w:val="bottom"/>
          </w:tcPr>
          <w:p w:rsidR="00830BC9" w:rsidRPr="00865030" w:rsidRDefault="00830BC9" w:rsidP="00F821D4">
            <w:pPr>
              <w:keepNext/>
              <w:keepLines/>
              <w:adjustRightInd w:val="0"/>
              <w:spacing w:before="60" w:after="60"/>
              <w:jc w:val="center"/>
              <w:rPr>
                <w:rFonts w:ascii="Times New Roman" w:hAnsi="Times New Roman"/>
                <w:bCs/>
                <w:color w:val="FFFFFF" w:themeColor="background1"/>
                <w:sz w:val="20"/>
                <w:szCs w:val="20"/>
              </w:rPr>
            </w:pPr>
            <w:r w:rsidRPr="00865030">
              <w:rPr>
                <w:rFonts w:ascii="Times New Roman" w:hAnsi="Times New Roman"/>
                <w:bCs/>
                <w:color w:val="FFFFFF" w:themeColor="background1"/>
                <w:sz w:val="20"/>
                <w:szCs w:val="20"/>
              </w:rPr>
              <w:t>Mean Impact</w:t>
            </w:r>
            <w:r w:rsidRPr="00865030">
              <w:rPr>
                <w:rFonts w:ascii="Times New Roman" w:hAnsi="Times New Roman"/>
                <w:bCs/>
                <w:color w:val="FFFFFF" w:themeColor="background1"/>
                <w:sz w:val="20"/>
                <w:szCs w:val="20"/>
              </w:rPr>
              <w:br/>
              <w:t>(kW)</w:t>
            </w:r>
          </w:p>
        </w:tc>
        <w:tc>
          <w:tcPr>
            <w:tcW w:w="1170" w:type="dxa"/>
            <w:shd w:val="clear" w:color="auto" w:fill="1F497D" w:themeFill="text2"/>
            <w:vAlign w:val="bottom"/>
          </w:tcPr>
          <w:p w:rsidR="00830BC9" w:rsidRPr="00865030" w:rsidRDefault="00830BC9" w:rsidP="00F821D4">
            <w:pPr>
              <w:keepNext/>
              <w:keepLines/>
              <w:spacing w:before="40" w:after="40"/>
              <w:jc w:val="center"/>
              <w:rPr>
                <w:rFonts w:ascii="Times New Roman" w:hAnsi="Times New Roman"/>
                <w:color w:val="FFFFFF" w:themeColor="background1"/>
                <w:sz w:val="20"/>
                <w:szCs w:val="20"/>
              </w:rPr>
            </w:pPr>
            <w:r w:rsidRPr="00865030">
              <w:rPr>
                <w:rFonts w:ascii="Times New Roman" w:hAnsi="Times New Roman"/>
                <w:color w:val="FFFFFF" w:themeColor="background1"/>
                <w:sz w:val="20"/>
                <w:szCs w:val="20"/>
              </w:rPr>
              <w:t>% Load Reduction</w:t>
            </w:r>
          </w:p>
        </w:tc>
        <w:tc>
          <w:tcPr>
            <w:tcW w:w="1170" w:type="dxa"/>
            <w:shd w:val="clear" w:color="auto" w:fill="1F497D" w:themeFill="text2"/>
            <w:vAlign w:val="bottom"/>
          </w:tcPr>
          <w:p w:rsidR="00830BC9" w:rsidRPr="00865030" w:rsidRDefault="00830BC9" w:rsidP="00F821D4">
            <w:pPr>
              <w:keepNext/>
              <w:keepLines/>
              <w:spacing w:before="40" w:after="40"/>
              <w:jc w:val="center"/>
              <w:rPr>
                <w:rFonts w:ascii="Times New Roman" w:hAnsi="Times New Roman"/>
                <w:color w:val="FFFFFF" w:themeColor="background1"/>
                <w:sz w:val="20"/>
                <w:szCs w:val="20"/>
              </w:rPr>
            </w:pPr>
            <w:r w:rsidRPr="00865030">
              <w:rPr>
                <w:rFonts w:ascii="Times New Roman" w:hAnsi="Times New Roman"/>
                <w:color w:val="FFFFFF" w:themeColor="background1"/>
                <w:sz w:val="20"/>
                <w:szCs w:val="20"/>
              </w:rPr>
              <w:t>Aggregate Load Reduction</w:t>
            </w:r>
            <w:r w:rsidRPr="00865030">
              <w:rPr>
                <w:rFonts w:ascii="Times New Roman" w:hAnsi="Times New Roman"/>
                <w:color w:val="FFFFFF" w:themeColor="background1"/>
                <w:sz w:val="20"/>
                <w:szCs w:val="20"/>
              </w:rPr>
              <w:br/>
              <w:t>(MW)</w:t>
            </w:r>
          </w:p>
        </w:tc>
        <w:tc>
          <w:tcPr>
            <w:tcW w:w="810" w:type="dxa"/>
            <w:shd w:val="clear" w:color="auto" w:fill="1F497D" w:themeFill="text2"/>
            <w:vAlign w:val="bottom"/>
          </w:tcPr>
          <w:p w:rsidR="00830BC9" w:rsidRPr="00865030" w:rsidRDefault="00830BC9" w:rsidP="00F821D4">
            <w:pPr>
              <w:keepNext/>
              <w:keepLines/>
              <w:adjustRightInd w:val="0"/>
              <w:spacing w:before="60" w:after="60"/>
              <w:jc w:val="center"/>
              <w:rPr>
                <w:rFonts w:ascii="Times New Roman" w:hAnsi="Times New Roman"/>
                <w:bCs/>
                <w:color w:val="FFFFFF" w:themeColor="background1"/>
                <w:sz w:val="20"/>
                <w:szCs w:val="20"/>
              </w:rPr>
            </w:pPr>
            <w:r w:rsidRPr="00865030">
              <w:rPr>
                <w:rFonts w:ascii="Times New Roman" w:hAnsi="Times New Roman"/>
                <w:bCs/>
                <w:color w:val="FFFFFF" w:themeColor="background1"/>
                <w:sz w:val="20"/>
                <w:szCs w:val="20"/>
              </w:rPr>
              <w:t>Mean</w:t>
            </w:r>
            <w:r w:rsidRPr="00865030">
              <w:rPr>
                <w:rFonts w:ascii="Times New Roman" w:hAnsi="Times New Roman"/>
                <w:bCs/>
                <w:color w:val="FFFFFF" w:themeColor="background1"/>
                <w:sz w:val="20"/>
                <w:szCs w:val="20"/>
              </w:rPr>
              <w:br/>
              <w:t>°F</w:t>
            </w:r>
          </w:p>
        </w:tc>
      </w:tr>
      <w:tr w:rsidR="00830BC9" w:rsidRPr="001B7874" w:rsidTr="00F821D4">
        <w:tc>
          <w:tcPr>
            <w:tcW w:w="2070" w:type="dxa"/>
            <w:tcBorders>
              <w:top w:val="single" w:sz="12" w:space="0" w:color="auto"/>
              <w:bottom w:val="single" w:sz="4" w:space="0" w:color="auto"/>
            </w:tcBorders>
          </w:tcPr>
          <w:p w:rsidR="00830BC9" w:rsidRPr="00865030" w:rsidRDefault="00830BC9" w:rsidP="00F821D4">
            <w:pPr>
              <w:keepNext/>
              <w:keepLines/>
              <w:spacing w:before="40" w:after="40"/>
              <w:rPr>
                <w:rFonts w:ascii="Times New Roman" w:hAnsi="Times New Roman"/>
                <w:sz w:val="20"/>
                <w:szCs w:val="20"/>
              </w:rPr>
            </w:pPr>
            <w:r w:rsidRPr="00865030">
              <w:rPr>
                <w:rFonts w:ascii="Times New Roman" w:hAnsi="Times New Roman"/>
                <w:sz w:val="20"/>
                <w:szCs w:val="20"/>
              </w:rPr>
              <w:t>August 28th, 2015</w:t>
            </w:r>
          </w:p>
        </w:tc>
        <w:tc>
          <w:tcPr>
            <w:tcW w:w="1350" w:type="dxa"/>
            <w:tcBorders>
              <w:top w:val="single" w:sz="12" w:space="0" w:color="auto"/>
              <w:bottom w:val="single" w:sz="4" w:space="0" w:color="auto"/>
            </w:tcBorders>
            <w:vAlign w:val="center"/>
          </w:tcPr>
          <w:p w:rsidR="00830BC9" w:rsidRPr="00865030" w:rsidRDefault="00830BC9" w:rsidP="00F821D4">
            <w:pPr>
              <w:keepNext/>
              <w:keepLines/>
              <w:tabs>
                <w:tab w:val="decimal" w:pos="500"/>
              </w:tab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71,497</w:t>
            </w:r>
          </w:p>
        </w:tc>
        <w:tc>
          <w:tcPr>
            <w:tcW w:w="1170" w:type="dxa"/>
            <w:tcBorders>
              <w:top w:val="single" w:sz="12"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1.40</w:t>
            </w:r>
          </w:p>
        </w:tc>
        <w:tc>
          <w:tcPr>
            <w:tcW w:w="1080" w:type="dxa"/>
            <w:tcBorders>
              <w:top w:val="single" w:sz="12"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1.32</w:t>
            </w:r>
          </w:p>
        </w:tc>
        <w:tc>
          <w:tcPr>
            <w:tcW w:w="900" w:type="dxa"/>
            <w:tcBorders>
              <w:top w:val="single" w:sz="12"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0.08</w:t>
            </w:r>
          </w:p>
        </w:tc>
        <w:tc>
          <w:tcPr>
            <w:tcW w:w="1170" w:type="dxa"/>
            <w:tcBorders>
              <w:top w:val="single" w:sz="12"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5.4%</w:t>
            </w:r>
          </w:p>
        </w:tc>
        <w:tc>
          <w:tcPr>
            <w:tcW w:w="1170" w:type="dxa"/>
            <w:tcBorders>
              <w:top w:val="single" w:sz="12"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5.37</w:t>
            </w:r>
          </w:p>
        </w:tc>
        <w:tc>
          <w:tcPr>
            <w:tcW w:w="810" w:type="dxa"/>
            <w:tcBorders>
              <w:top w:val="single" w:sz="12"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90.66</w:t>
            </w:r>
          </w:p>
        </w:tc>
      </w:tr>
      <w:tr w:rsidR="00830BC9" w:rsidRPr="001B7874" w:rsidTr="00F821D4">
        <w:tc>
          <w:tcPr>
            <w:tcW w:w="2070" w:type="dxa"/>
            <w:tcBorders>
              <w:top w:val="single" w:sz="4" w:space="0" w:color="auto"/>
              <w:bottom w:val="single" w:sz="4" w:space="0" w:color="auto"/>
            </w:tcBorders>
          </w:tcPr>
          <w:p w:rsidR="00830BC9" w:rsidRPr="00865030" w:rsidRDefault="00830BC9" w:rsidP="00F821D4">
            <w:pPr>
              <w:keepNext/>
              <w:keepLines/>
              <w:spacing w:before="40" w:after="40"/>
              <w:rPr>
                <w:rFonts w:ascii="Times New Roman" w:hAnsi="Times New Roman"/>
                <w:sz w:val="20"/>
                <w:szCs w:val="20"/>
              </w:rPr>
            </w:pPr>
            <w:r w:rsidRPr="00865030">
              <w:rPr>
                <w:rFonts w:ascii="Times New Roman" w:hAnsi="Times New Roman"/>
                <w:sz w:val="20"/>
                <w:szCs w:val="20"/>
              </w:rPr>
              <w:t>September 9th, 2015</w:t>
            </w:r>
          </w:p>
        </w:tc>
        <w:tc>
          <w:tcPr>
            <w:tcW w:w="1350" w:type="dxa"/>
            <w:tcBorders>
              <w:top w:val="single" w:sz="4" w:space="0" w:color="auto"/>
              <w:bottom w:val="single" w:sz="4" w:space="0" w:color="auto"/>
            </w:tcBorders>
            <w:vAlign w:val="center"/>
          </w:tcPr>
          <w:p w:rsidR="00830BC9" w:rsidRPr="00865030" w:rsidRDefault="00830BC9" w:rsidP="00F821D4">
            <w:pPr>
              <w:keepNext/>
              <w:keepLines/>
              <w:tabs>
                <w:tab w:val="decimal" w:pos="500"/>
              </w:tab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71,497</w:t>
            </w:r>
          </w:p>
        </w:tc>
        <w:tc>
          <w:tcPr>
            <w:tcW w:w="117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1.52</w:t>
            </w:r>
          </w:p>
        </w:tc>
        <w:tc>
          <w:tcPr>
            <w:tcW w:w="108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1.44</w:t>
            </w:r>
          </w:p>
        </w:tc>
        <w:tc>
          <w:tcPr>
            <w:tcW w:w="90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0.08</w:t>
            </w:r>
          </w:p>
        </w:tc>
        <w:tc>
          <w:tcPr>
            <w:tcW w:w="117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5.6%</w:t>
            </w:r>
          </w:p>
        </w:tc>
        <w:tc>
          <w:tcPr>
            <w:tcW w:w="117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6.08</w:t>
            </w:r>
          </w:p>
        </w:tc>
        <w:tc>
          <w:tcPr>
            <w:tcW w:w="81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94.10</w:t>
            </w:r>
          </w:p>
        </w:tc>
      </w:tr>
      <w:tr w:rsidR="00830BC9" w:rsidRPr="001B7874" w:rsidTr="00F821D4">
        <w:tc>
          <w:tcPr>
            <w:tcW w:w="2070" w:type="dxa"/>
            <w:tcBorders>
              <w:top w:val="single" w:sz="4" w:space="0" w:color="auto"/>
              <w:bottom w:val="single" w:sz="4" w:space="0" w:color="auto"/>
            </w:tcBorders>
          </w:tcPr>
          <w:p w:rsidR="00830BC9" w:rsidRPr="00865030" w:rsidRDefault="00830BC9" w:rsidP="00F821D4">
            <w:pPr>
              <w:keepNext/>
              <w:keepLines/>
              <w:spacing w:before="40" w:after="40"/>
              <w:rPr>
                <w:rFonts w:ascii="Times New Roman" w:hAnsi="Times New Roman"/>
                <w:sz w:val="20"/>
                <w:szCs w:val="20"/>
              </w:rPr>
            </w:pPr>
            <w:r w:rsidRPr="00865030">
              <w:rPr>
                <w:rFonts w:ascii="Times New Roman" w:hAnsi="Times New Roman"/>
                <w:sz w:val="20"/>
                <w:szCs w:val="20"/>
              </w:rPr>
              <w:t>September 10th, 2015</w:t>
            </w:r>
          </w:p>
        </w:tc>
        <w:tc>
          <w:tcPr>
            <w:tcW w:w="1350" w:type="dxa"/>
            <w:tcBorders>
              <w:top w:val="single" w:sz="4" w:space="0" w:color="auto"/>
              <w:bottom w:val="single" w:sz="4" w:space="0" w:color="auto"/>
            </w:tcBorders>
            <w:vAlign w:val="center"/>
          </w:tcPr>
          <w:p w:rsidR="00830BC9" w:rsidRPr="00865030" w:rsidRDefault="00830BC9" w:rsidP="00F821D4">
            <w:pPr>
              <w:keepNext/>
              <w:keepLines/>
              <w:tabs>
                <w:tab w:val="decimal" w:pos="500"/>
              </w:tab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71,497</w:t>
            </w:r>
          </w:p>
        </w:tc>
        <w:tc>
          <w:tcPr>
            <w:tcW w:w="117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1.46</w:t>
            </w:r>
          </w:p>
        </w:tc>
        <w:tc>
          <w:tcPr>
            <w:tcW w:w="108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1.38</w:t>
            </w:r>
          </w:p>
        </w:tc>
        <w:tc>
          <w:tcPr>
            <w:tcW w:w="90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0.08</w:t>
            </w:r>
          </w:p>
        </w:tc>
        <w:tc>
          <w:tcPr>
            <w:tcW w:w="117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5.5%</w:t>
            </w:r>
          </w:p>
        </w:tc>
        <w:tc>
          <w:tcPr>
            <w:tcW w:w="117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5.73</w:t>
            </w:r>
          </w:p>
        </w:tc>
        <w:tc>
          <w:tcPr>
            <w:tcW w:w="81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92.46</w:t>
            </w:r>
          </w:p>
        </w:tc>
      </w:tr>
      <w:tr w:rsidR="00830BC9" w:rsidRPr="001B7874" w:rsidTr="00F821D4">
        <w:tc>
          <w:tcPr>
            <w:tcW w:w="2070" w:type="dxa"/>
            <w:tcBorders>
              <w:top w:val="single" w:sz="4" w:space="0" w:color="auto"/>
              <w:bottom w:val="double" w:sz="4" w:space="0" w:color="auto"/>
            </w:tcBorders>
          </w:tcPr>
          <w:p w:rsidR="00830BC9" w:rsidRPr="00865030" w:rsidRDefault="00830BC9" w:rsidP="00F821D4">
            <w:pPr>
              <w:keepNext/>
              <w:keepLines/>
              <w:spacing w:before="40" w:after="40"/>
              <w:rPr>
                <w:rFonts w:ascii="Times New Roman" w:hAnsi="Times New Roman"/>
                <w:sz w:val="20"/>
                <w:szCs w:val="20"/>
              </w:rPr>
            </w:pPr>
            <w:r w:rsidRPr="00865030">
              <w:rPr>
                <w:rFonts w:ascii="Times New Roman" w:hAnsi="Times New Roman"/>
                <w:sz w:val="20"/>
                <w:szCs w:val="20"/>
              </w:rPr>
              <w:t>September 11th, 2015</w:t>
            </w:r>
          </w:p>
        </w:tc>
        <w:tc>
          <w:tcPr>
            <w:tcW w:w="1350" w:type="dxa"/>
            <w:tcBorders>
              <w:top w:val="single" w:sz="4" w:space="0" w:color="auto"/>
              <w:bottom w:val="double" w:sz="4" w:space="0" w:color="auto"/>
            </w:tcBorders>
            <w:vAlign w:val="center"/>
          </w:tcPr>
          <w:p w:rsidR="00830BC9" w:rsidRPr="00865030" w:rsidRDefault="00830BC9" w:rsidP="00F821D4">
            <w:pPr>
              <w:keepNext/>
              <w:keepLines/>
              <w:tabs>
                <w:tab w:val="decimal" w:pos="500"/>
              </w:tab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71,497</w:t>
            </w:r>
          </w:p>
        </w:tc>
        <w:tc>
          <w:tcPr>
            <w:tcW w:w="1170" w:type="dxa"/>
            <w:tcBorders>
              <w:top w:val="single" w:sz="4" w:space="0" w:color="auto"/>
              <w:bottom w:val="doub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1.40</w:t>
            </w:r>
          </w:p>
        </w:tc>
        <w:tc>
          <w:tcPr>
            <w:tcW w:w="1080" w:type="dxa"/>
            <w:tcBorders>
              <w:top w:val="single" w:sz="4" w:space="0" w:color="auto"/>
              <w:bottom w:val="doub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1.33</w:t>
            </w:r>
          </w:p>
        </w:tc>
        <w:tc>
          <w:tcPr>
            <w:tcW w:w="900" w:type="dxa"/>
            <w:tcBorders>
              <w:top w:val="single" w:sz="4" w:space="0" w:color="auto"/>
              <w:bottom w:val="doub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0.06</w:t>
            </w:r>
          </w:p>
        </w:tc>
        <w:tc>
          <w:tcPr>
            <w:tcW w:w="1170" w:type="dxa"/>
            <w:tcBorders>
              <w:top w:val="single" w:sz="4" w:space="0" w:color="auto"/>
              <w:bottom w:val="doub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4.6%</w:t>
            </w:r>
          </w:p>
        </w:tc>
        <w:tc>
          <w:tcPr>
            <w:tcW w:w="1170" w:type="dxa"/>
            <w:tcBorders>
              <w:top w:val="single" w:sz="4" w:space="0" w:color="auto"/>
              <w:bottom w:val="doub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4.59</w:t>
            </w:r>
          </w:p>
        </w:tc>
        <w:tc>
          <w:tcPr>
            <w:tcW w:w="810" w:type="dxa"/>
            <w:tcBorders>
              <w:top w:val="single" w:sz="4" w:space="0" w:color="auto"/>
              <w:bottom w:val="doub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86.86</w:t>
            </w:r>
          </w:p>
        </w:tc>
      </w:tr>
      <w:tr w:rsidR="00830BC9" w:rsidRPr="001B7874" w:rsidTr="00F821D4">
        <w:tc>
          <w:tcPr>
            <w:tcW w:w="2070" w:type="dxa"/>
            <w:tcBorders>
              <w:top w:val="double" w:sz="4" w:space="0" w:color="auto"/>
              <w:bottom w:val="single" w:sz="12" w:space="0" w:color="auto"/>
            </w:tcBorders>
          </w:tcPr>
          <w:p w:rsidR="00830BC9" w:rsidRPr="00865030" w:rsidRDefault="00830BC9" w:rsidP="00F821D4">
            <w:pPr>
              <w:keepNext/>
              <w:keepLines/>
              <w:spacing w:before="40" w:after="40"/>
              <w:rPr>
                <w:rFonts w:ascii="Times New Roman" w:hAnsi="Times New Roman"/>
                <w:sz w:val="20"/>
                <w:szCs w:val="20"/>
              </w:rPr>
            </w:pPr>
            <w:r w:rsidRPr="00865030">
              <w:rPr>
                <w:rFonts w:ascii="Times New Roman" w:hAnsi="Times New Roman"/>
                <w:sz w:val="20"/>
                <w:szCs w:val="20"/>
              </w:rPr>
              <w:t>Average 2015 Event</w:t>
            </w:r>
          </w:p>
        </w:tc>
        <w:tc>
          <w:tcPr>
            <w:tcW w:w="1350" w:type="dxa"/>
            <w:tcBorders>
              <w:top w:val="double" w:sz="4" w:space="0" w:color="auto"/>
              <w:bottom w:val="single" w:sz="12" w:space="0" w:color="auto"/>
            </w:tcBorders>
            <w:vAlign w:val="center"/>
          </w:tcPr>
          <w:p w:rsidR="00830BC9" w:rsidRPr="00865030" w:rsidRDefault="00830BC9" w:rsidP="00F821D4">
            <w:pPr>
              <w:keepNext/>
              <w:keepLines/>
              <w:tabs>
                <w:tab w:val="decimal" w:pos="500"/>
              </w:tab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71,497</w:t>
            </w:r>
          </w:p>
        </w:tc>
        <w:tc>
          <w:tcPr>
            <w:tcW w:w="1170" w:type="dxa"/>
            <w:tcBorders>
              <w:top w:val="double" w:sz="4" w:space="0" w:color="auto"/>
              <w:bottom w:val="single" w:sz="12"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1.44</w:t>
            </w:r>
          </w:p>
        </w:tc>
        <w:tc>
          <w:tcPr>
            <w:tcW w:w="1080" w:type="dxa"/>
            <w:tcBorders>
              <w:top w:val="double" w:sz="4" w:space="0" w:color="auto"/>
              <w:bottom w:val="single" w:sz="12"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1.37</w:t>
            </w:r>
          </w:p>
        </w:tc>
        <w:tc>
          <w:tcPr>
            <w:tcW w:w="900" w:type="dxa"/>
            <w:tcBorders>
              <w:top w:val="double" w:sz="4" w:space="0" w:color="auto"/>
              <w:bottom w:val="single" w:sz="12"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0.08</w:t>
            </w:r>
          </w:p>
        </w:tc>
        <w:tc>
          <w:tcPr>
            <w:tcW w:w="1170" w:type="dxa"/>
            <w:tcBorders>
              <w:top w:val="double" w:sz="4" w:space="0" w:color="auto"/>
              <w:bottom w:val="single" w:sz="12"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5.3%</w:t>
            </w:r>
          </w:p>
        </w:tc>
        <w:tc>
          <w:tcPr>
            <w:tcW w:w="1170" w:type="dxa"/>
            <w:tcBorders>
              <w:top w:val="double" w:sz="4" w:space="0" w:color="auto"/>
              <w:bottom w:val="single" w:sz="12"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5.44</w:t>
            </w:r>
          </w:p>
        </w:tc>
        <w:tc>
          <w:tcPr>
            <w:tcW w:w="810" w:type="dxa"/>
            <w:tcBorders>
              <w:top w:val="double" w:sz="4" w:space="0" w:color="auto"/>
              <w:bottom w:val="single" w:sz="12"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91.02</w:t>
            </w:r>
          </w:p>
        </w:tc>
      </w:tr>
    </w:tbl>
    <w:p w:rsidR="00830BC9" w:rsidRDefault="00830BC9" w:rsidP="00446CDA">
      <w:pPr>
        <w:pStyle w:val="Caption"/>
        <w:spacing w:after="120"/>
        <w:rPr>
          <w:sz w:val="22"/>
          <w:szCs w:val="22"/>
        </w:rPr>
      </w:pPr>
    </w:p>
    <w:p w:rsidR="00830BC9" w:rsidRDefault="00830BC9" w:rsidP="00830BC9">
      <w:pPr>
        <w:pStyle w:val="Caption"/>
        <w:spacing w:after="120"/>
        <w:jc w:val="center"/>
        <w:rPr>
          <w:sz w:val="22"/>
          <w:szCs w:val="22"/>
        </w:rPr>
      </w:pPr>
    </w:p>
    <w:p w:rsidR="00830BC9" w:rsidRPr="00124E64" w:rsidRDefault="00830BC9" w:rsidP="00830BC9">
      <w:pPr>
        <w:pStyle w:val="Caption"/>
        <w:spacing w:after="120"/>
        <w:jc w:val="center"/>
        <w:rPr>
          <w:sz w:val="22"/>
          <w:szCs w:val="22"/>
        </w:rPr>
      </w:pPr>
      <w:r w:rsidRPr="00124E64">
        <w:rPr>
          <w:sz w:val="22"/>
          <w:szCs w:val="22"/>
        </w:rPr>
        <w:t xml:space="preserve">Table </w:t>
      </w:r>
      <w:r w:rsidRPr="00124E64">
        <w:rPr>
          <w:sz w:val="22"/>
          <w:szCs w:val="22"/>
        </w:rPr>
        <w:fldChar w:fldCharType="begin"/>
      </w:r>
      <w:r w:rsidRPr="00124E64">
        <w:rPr>
          <w:sz w:val="22"/>
          <w:szCs w:val="22"/>
        </w:rPr>
        <w:instrText xml:space="preserve"> STYLEREF 1 \s </w:instrText>
      </w:r>
      <w:r w:rsidRPr="00124E64">
        <w:rPr>
          <w:sz w:val="22"/>
          <w:szCs w:val="22"/>
        </w:rPr>
        <w:fldChar w:fldCharType="separate"/>
      </w:r>
      <w:r>
        <w:rPr>
          <w:noProof/>
          <w:sz w:val="22"/>
          <w:szCs w:val="22"/>
        </w:rPr>
        <w:t>7</w:t>
      </w:r>
      <w:r w:rsidRPr="00124E64">
        <w:rPr>
          <w:sz w:val="22"/>
          <w:szCs w:val="22"/>
        </w:rPr>
        <w:fldChar w:fldCharType="end"/>
      </w:r>
      <w:r w:rsidRPr="00124E64">
        <w:rPr>
          <w:sz w:val="22"/>
          <w:szCs w:val="22"/>
        </w:rPr>
        <w:noBreakHyphen/>
      </w:r>
      <w:r w:rsidRPr="00124E64">
        <w:rPr>
          <w:sz w:val="22"/>
          <w:szCs w:val="22"/>
        </w:rPr>
        <w:fldChar w:fldCharType="begin"/>
      </w:r>
      <w:r w:rsidRPr="00124E64">
        <w:rPr>
          <w:sz w:val="22"/>
          <w:szCs w:val="22"/>
        </w:rPr>
        <w:instrText xml:space="preserve"> SEQ Table \* ARABIC \s 1 </w:instrText>
      </w:r>
      <w:r w:rsidRPr="00124E64">
        <w:rPr>
          <w:sz w:val="22"/>
          <w:szCs w:val="22"/>
        </w:rPr>
        <w:fldChar w:fldCharType="separate"/>
      </w:r>
      <w:r>
        <w:rPr>
          <w:noProof/>
          <w:sz w:val="22"/>
          <w:szCs w:val="22"/>
        </w:rPr>
        <w:t>2</w:t>
      </w:r>
      <w:r w:rsidRPr="00124E64">
        <w:rPr>
          <w:sz w:val="22"/>
          <w:szCs w:val="22"/>
        </w:rPr>
        <w:fldChar w:fldCharType="end"/>
      </w:r>
      <w:r>
        <w:rPr>
          <w:sz w:val="22"/>
          <w:szCs w:val="22"/>
        </w:rPr>
        <w:t>:</w:t>
      </w:r>
      <w:r w:rsidRPr="00124E64">
        <w:rPr>
          <w:sz w:val="22"/>
          <w:szCs w:val="22"/>
        </w:rPr>
        <w:t xml:space="preserve"> SCTD Overall Ex Post Load Impact Estimates –</w:t>
      </w:r>
    </w:p>
    <w:p w:rsidR="00830BC9" w:rsidRDefault="00830BC9" w:rsidP="00830BC9">
      <w:pPr>
        <w:spacing w:after="120"/>
        <w:jc w:val="center"/>
        <w:rPr>
          <w:b/>
          <w:bCs/>
          <w:sz w:val="22"/>
          <w:szCs w:val="22"/>
        </w:rPr>
      </w:pPr>
      <w:r w:rsidRPr="00124E64">
        <w:rPr>
          <w:b/>
          <w:bCs/>
          <w:sz w:val="22"/>
          <w:szCs w:val="22"/>
        </w:rPr>
        <w:t>By Event Date (2 p.m. to 6 p.m.)</w:t>
      </w:r>
    </w:p>
    <w:tbl>
      <w:tblPr>
        <w:tblStyle w:val="ItronBasic"/>
        <w:tblW w:w="9720" w:type="dxa"/>
        <w:tblInd w:w="-425" w:type="dxa"/>
        <w:tblLayout w:type="fixed"/>
        <w:tblCellMar>
          <w:left w:w="115" w:type="dxa"/>
          <w:right w:w="115" w:type="dxa"/>
        </w:tblCellMar>
        <w:tblLook w:val="04A0" w:firstRow="1" w:lastRow="0" w:firstColumn="1" w:lastColumn="0" w:noHBand="0" w:noVBand="1"/>
      </w:tblPr>
      <w:tblGrid>
        <w:gridCol w:w="2070"/>
        <w:gridCol w:w="1350"/>
        <w:gridCol w:w="1170"/>
        <w:gridCol w:w="1080"/>
        <w:gridCol w:w="900"/>
        <w:gridCol w:w="1170"/>
        <w:gridCol w:w="1170"/>
        <w:gridCol w:w="810"/>
      </w:tblGrid>
      <w:tr w:rsidR="00830BC9" w:rsidRPr="00124E64" w:rsidTr="00F821D4">
        <w:trPr>
          <w:cnfStyle w:val="100000000000" w:firstRow="1" w:lastRow="0" w:firstColumn="0" w:lastColumn="0" w:oddVBand="0" w:evenVBand="0" w:oddHBand="0" w:evenHBand="0" w:firstRowFirstColumn="0" w:firstRowLastColumn="0" w:lastRowFirstColumn="0" w:lastRowLastColumn="0"/>
        </w:trPr>
        <w:tc>
          <w:tcPr>
            <w:tcW w:w="2070" w:type="dxa"/>
            <w:shd w:val="clear" w:color="auto" w:fill="1F497D" w:themeFill="text2"/>
            <w:vAlign w:val="bottom"/>
          </w:tcPr>
          <w:p w:rsidR="00830BC9" w:rsidRPr="00865030" w:rsidRDefault="00830BC9" w:rsidP="00F821D4">
            <w:pPr>
              <w:keepNext/>
              <w:keepLines/>
              <w:spacing w:before="40" w:after="40"/>
              <w:rPr>
                <w:rFonts w:ascii="Times New Roman" w:hAnsi="Times New Roman"/>
                <w:color w:val="FFFFFF" w:themeColor="background1"/>
                <w:sz w:val="20"/>
                <w:szCs w:val="20"/>
              </w:rPr>
            </w:pPr>
            <w:r w:rsidRPr="00865030">
              <w:rPr>
                <w:rFonts w:ascii="Times New Roman" w:hAnsi="Times New Roman"/>
                <w:color w:val="FFFFFF" w:themeColor="background1"/>
                <w:sz w:val="20"/>
                <w:szCs w:val="20"/>
              </w:rPr>
              <w:t>Event Date</w:t>
            </w:r>
          </w:p>
        </w:tc>
        <w:tc>
          <w:tcPr>
            <w:tcW w:w="1350" w:type="dxa"/>
            <w:shd w:val="clear" w:color="auto" w:fill="1F497D" w:themeFill="text2"/>
            <w:vAlign w:val="bottom"/>
          </w:tcPr>
          <w:p w:rsidR="00830BC9" w:rsidRPr="00865030" w:rsidRDefault="00830BC9" w:rsidP="00F821D4">
            <w:pPr>
              <w:keepNext/>
              <w:keepLines/>
              <w:adjustRightInd w:val="0"/>
              <w:spacing w:before="60" w:after="60"/>
              <w:jc w:val="center"/>
              <w:rPr>
                <w:rFonts w:ascii="Times New Roman" w:hAnsi="Times New Roman"/>
                <w:color w:val="FFFFFF" w:themeColor="background1"/>
                <w:sz w:val="20"/>
                <w:szCs w:val="20"/>
              </w:rPr>
            </w:pPr>
            <w:r w:rsidRPr="00865030">
              <w:rPr>
                <w:rFonts w:ascii="Times New Roman" w:hAnsi="Times New Roman"/>
                <w:color w:val="FFFFFF" w:themeColor="background1"/>
                <w:sz w:val="20"/>
                <w:szCs w:val="20"/>
              </w:rPr>
              <w:t>Active Participants</w:t>
            </w:r>
          </w:p>
        </w:tc>
        <w:tc>
          <w:tcPr>
            <w:tcW w:w="1170" w:type="dxa"/>
            <w:shd w:val="clear" w:color="auto" w:fill="1F497D" w:themeFill="text2"/>
            <w:vAlign w:val="bottom"/>
          </w:tcPr>
          <w:p w:rsidR="00830BC9" w:rsidRPr="00865030" w:rsidRDefault="00830BC9" w:rsidP="00F821D4">
            <w:pPr>
              <w:keepNext/>
              <w:keepLines/>
              <w:adjustRightInd w:val="0"/>
              <w:spacing w:before="60" w:after="60"/>
              <w:jc w:val="center"/>
              <w:rPr>
                <w:rFonts w:ascii="Times New Roman" w:hAnsi="Times New Roman"/>
                <w:color w:val="FFFFFF" w:themeColor="background1"/>
                <w:sz w:val="20"/>
                <w:szCs w:val="20"/>
              </w:rPr>
            </w:pPr>
            <w:r w:rsidRPr="00865030">
              <w:rPr>
                <w:rFonts w:ascii="Times New Roman" w:hAnsi="Times New Roman"/>
                <w:color w:val="FFFFFF" w:themeColor="background1"/>
                <w:sz w:val="20"/>
                <w:szCs w:val="20"/>
              </w:rPr>
              <w:t>Mean  Reference Load</w:t>
            </w:r>
            <w:r w:rsidRPr="00865030">
              <w:rPr>
                <w:rFonts w:ascii="Times New Roman" w:hAnsi="Times New Roman"/>
                <w:color w:val="FFFFFF" w:themeColor="background1"/>
                <w:sz w:val="20"/>
                <w:szCs w:val="20"/>
              </w:rPr>
              <w:br/>
              <w:t>(kW)</w:t>
            </w:r>
          </w:p>
        </w:tc>
        <w:tc>
          <w:tcPr>
            <w:tcW w:w="1080" w:type="dxa"/>
            <w:shd w:val="clear" w:color="auto" w:fill="1F497D" w:themeFill="text2"/>
            <w:vAlign w:val="bottom"/>
          </w:tcPr>
          <w:p w:rsidR="00830BC9" w:rsidRPr="00865030" w:rsidRDefault="00830BC9" w:rsidP="00F821D4">
            <w:pPr>
              <w:keepNext/>
              <w:keepLines/>
              <w:adjustRightInd w:val="0"/>
              <w:spacing w:before="60" w:after="60"/>
              <w:jc w:val="center"/>
              <w:rPr>
                <w:rFonts w:ascii="Times New Roman" w:hAnsi="Times New Roman"/>
                <w:color w:val="FFFFFF" w:themeColor="background1"/>
                <w:sz w:val="20"/>
                <w:szCs w:val="20"/>
              </w:rPr>
            </w:pPr>
            <w:r w:rsidRPr="00865030">
              <w:rPr>
                <w:rFonts w:ascii="Times New Roman" w:hAnsi="Times New Roman"/>
                <w:color w:val="FFFFFF" w:themeColor="background1"/>
                <w:sz w:val="20"/>
                <w:szCs w:val="20"/>
              </w:rPr>
              <w:t>Mean Observed Load</w:t>
            </w:r>
            <w:r w:rsidRPr="00865030">
              <w:rPr>
                <w:rFonts w:ascii="Times New Roman" w:hAnsi="Times New Roman"/>
                <w:color w:val="FFFFFF" w:themeColor="background1"/>
                <w:sz w:val="20"/>
                <w:szCs w:val="20"/>
              </w:rPr>
              <w:br/>
              <w:t>(kW)</w:t>
            </w:r>
          </w:p>
        </w:tc>
        <w:tc>
          <w:tcPr>
            <w:tcW w:w="900" w:type="dxa"/>
            <w:shd w:val="clear" w:color="auto" w:fill="1F497D" w:themeFill="text2"/>
            <w:vAlign w:val="bottom"/>
          </w:tcPr>
          <w:p w:rsidR="00830BC9" w:rsidRPr="00865030" w:rsidRDefault="00830BC9" w:rsidP="00F821D4">
            <w:pPr>
              <w:keepNext/>
              <w:keepLines/>
              <w:adjustRightInd w:val="0"/>
              <w:spacing w:before="60" w:after="60"/>
              <w:jc w:val="center"/>
              <w:rPr>
                <w:rFonts w:ascii="Times New Roman" w:hAnsi="Times New Roman"/>
                <w:color w:val="FFFFFF" w:themeColor="background1"/>
                <w:sz w:val="20"/>
                <w:szCs w:val="20"/>
              </w:rPr>
            </w:pPr>
            <w:r w:rsidRPr="00865030">
              <w:rPr>
                <w:rFonts w:ascii="Times New Roman" w:hAnsi="Times New Roman"/>
                <w:color w:val="FFFFFF" w:themeColor="background1"/>
                <w:sz w:val="20"/>
                <w:szCs w:val="20"/>
              </w:rPr>
              <w:t>Mean Impact</w:t>
            </w:r>
            <w:r w:rsidRPr="00865030">
              <w:rPr>
                <w:rFonts w:ascii="Times New Roman" w:hAnsi="Times New Roman"/>
                <w:color w:val="FFFFFF" w:themeColor="background1"/>
                <w:sz w:val="20"/>
                <w:szCs w:val="20"/>
              </w:rPr>
              <w:br/>
              <w:t>(kW)</w:t>
            </w:r>
          </w:p>
        </w:tc>
        <w:tc>
          <w:tcPr>
            <w:tcW w:w="1170" w:type="dxa"/>
            <w:shd w:val="clear" w:color="auto" w:fill="1F497D" w:themeFill="text2"/>
            <w:vAlign w:val="bottom"/>
          </w:tcPr>
          <w:p w:rsidR="00830BC9" w:rsidRPr="00865030" w:rsidRDefault="00830BC9" w:rsidP="00F821D4">
            <w:pPr>
              <w:keepNext/>
              <w:keepLines/>
              <w:spacing w:before="40" w:after="40"/>
              <w:jc w:val="center"/>
              <w:rPr>
                <w:rFonts w:ascii="Times New Roman" w:hAnsi="Times New Roman"/>
                <w:color w:val="FFFFFF" w:themeColor="background1"/>
                <w:sz w:val="20"/>
                <w:szCs w:val="20"/>
              </w:rPr>
            </w:pPr>
            <w:r w:rsidRPr="00865030">
              <w:rPr>
                <w:rFonts w:ascii="Times New Roman" w:hAnsi="Times New Roman"/>
                <w:color w:val="FFFFFF" w:themeColor="background1"/>
                <w:sz w:val="20"/>
                <w:szCs w:val="20"/>
              </w:rPr>
              <w:t>% Load Reduction</w:t>
            </w:r>
          </w:p>
        </w:tc>
        <w:tc>
          <w:tcPr>
            <w:tcW w:w="1170" w:type="dxa"/>
            <w:shd w:val="clear" w:color="auto" w:fill="1F497D" w:themeFill="text2"/>
            <w:vAlign w:val="bottom"/>
          </w:tcPr>
          <w:p w:rsidR="00830BC9" w:rsidRPr="00865030" w:rsidRDefault="00830BC9" w:rsidP="00F821D4">
            <w:pPr>
              <w:keepNext/>
              <w:keepLines/>
              <w:spacing w:before="40" w:after="40"/>
              <w:jc w:val="center"/>
              <w:rPr>
                <w:rFonts w:ascii="Times New Roman" w:hAnsi="Times New Roman"/>
                <w:color w:val="FFFFFF" w:themeColor="background1"/>
                <w:sz w:val="20"/>
                <w:szCs w:val="20"/>
              </w:rPr>
            </w:pPr>
            <w:r w:rsidRPr="00865030">
              <w:rPr>
                <w:rFonts w:ascii="Times New Roman" w:hAnsi="Times New Roman"/>
                <w:color w:val="FFFFFF" w:themeColor="background1"/>
                <w:sz w:val="20"/>
                <w:szCs w:val="20"/>
              </w:rPr>
              <w:t>Aggregate Load Reduction</w:t>
            </w:r>
            <w:r w:rsidRPr="00865030">
              <w:rPr>
                <w:rFonts w:ascii="Times New Roman" w:hAnsi="Times New Roman"/>
                <w:color w:val="FFFFFF" w:themeColor="background1"/>
                <w:sz w:val="20"/>
                <w:szCs w:val="20"/>
              </w:rPr>
              <w:br/>
              <w:t>(MW)</w:t>
            </w:r>
          </w:p>
        </w:tc>
        <w:tc>
          <w:tcPr>
            <w:tcW w:w="810" w:type="dxa"/>
            <w:shd w:val="clear" w:color="auto" w:fill="1F497D" w:themeFill="text2"/>
            <w:vAlign w:val="bottom"/>
          </w:tcPr>
          <w:p w:rsidR="00830BC9" w:rsidRPr="00865030" w:rsidRDefault="00830BC9" w:rsidP="00F821D4">
            <w:pPr>
              <w:keepNext/>
              <w:keepLines/>
              <w:adjustRightInd w:val="0"/>
              <w:spacing w:before="60" w:after="60"/>
              <w:jc w:val="center"/>
              <w:rPr>
                <w:rFonts w:ascii="Times New Roman" w:hAnsi="Times New Roman"/>
                <w:color w:val="FFFFFF" w:themeColor="background1"/>
                <w:sz w:val="20"/>
                <w:szCs w:val="20"/>
              </w:rPr>
            </w:pPr>
            <w:r w:rsidRPr="00865030">
              <w:rPr>
                <w:rFonts w:ascii="Times New Roman" w:hAnsi="Times New Roman"/>
                <w:color w:val="FFFFFF" w:themeColor="background1"/>
                <w:sz w:val="20"/>
                <w:szCs w:val="20"/>
              </w:rPr>
              <w:t>Mean</w:t>
            </w:r>
            <w:r w:rsidRPr="00865030">
              <w:rPr>
                <w:rFonts w:ascii="Times New Roman" w:hAnsi="Times New Roman"/>
                <w:color w:val="FFFFFF" w:themeColor="background1"/>
                <w:sz w:val="20"/>
                <w:szCs w:val="20"/>
              </w:rPr>
              <w:br/>
              <w:t>°F</w:t>
            </w:r>
          </w:p>
        </w:tc>
      </w:tr>
      <w:tr w:rsidR="00830BC9" w:rsidRPr="00124E64" w:rsidTr="00F821D4">
        <w:tc>
          <w:tcPr>
            <w:tcW w:w="2070" w:type="dxa"/>
            <w:tcBorders>
              <w:top w:val="single" w:sz="12" w:space="0" w:color="auto"/>
              <w:bottom w:val="single" w:sz="4" w:space="0" w:color="auto"/>
            </w:tcBorders>
          </w:tcPr>
          <w:p w:rsidR="00830BC9" w:rsidRPr="00865030" w:rsidRDefault="00830BC9" w:rsidP="00F821D4">
            <w:pPr>
              <w:keepNext/>
              <w:keepLines/>
              <w:spacing w:before="40" w:after="40"/>
              <w:rPr>
                <w:rFonts w:ascii="Times New Roman" w:hAnsi="Times New Roman"/>
                <w:sz w:val="20"/>
                <w:szCs w:val="20"/>
              </w:rPr>
            </w:pPr>
            <w:r w:rsidRPr="00865030">
              <w:rPr>
                <w:rFonts w:ascii="Times New Roman" w:hAnsi="Times New Roman"/>
                <w:sz w:val="20"/>
                <w:szCs w:val="20"/>
              </w:rPr>
              <w:t>August 28th, 2015</w:t>
            </w:r>
          </w:p>
        </w:tc>
        <w:tc>
          <w:tcPr>
            <w:tcW w:w="1350" w:type="dxa"/>
            <w:tcBorders>
              <w:top w:val="single" w:sz="12" w:space="0" w:color="auto"/>
              <w:bottom w:val="single" w:sz="4" w:space="0" w:color="auto"/>
            </w:tcBorders>
            <w:vAlign w:val="center"/>
          </w:tcPr>
          <w:p w:rsidR="00830BC9" w:rsidRPr="00865030" w:rsidRDefault="00830BC9" w:rsidP="00F821D4">
            <w:pPr>
              <w:keepNext/>
              <w:keepLines/>
              <w:tabs>
                <w:tab w:val="decimal" w:pos="500"/>
              </w:tab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6,531</w:t>
            </w:r>
          </w:p>
        </w:tc>
        <w:tc>
          <w:tcPr>
            <w:tcW w:w="1170" w:type="dxa"/>
            <w:tcBorders>
              <w:top w:val="single" w:sz="12"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2.53</w:t>
            </w:r>
          </w:p>
        </w:tc>
        <w:tc>
          <w:tcPr>
            <w:tcW w:w="1080" w:type="dxa"/>
            <w:tcBorders>
              <w:top w:val="single" w:sz="12"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1.88</w:t>
            </w:r>
          </w:p>
        </w:tc>
        <w:tc>
          <w:tcPr>
            <w:tcW w:w="900" w:type="dxa"/>
            <w:tcBorders>
              <w:top w:val="single" w:sz="12"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0.65</w:t>
            </w:r>
          </w:p>
        </w:tc>
        <w:tc>
          <w:tcPr>
            <w:tcW w:w="1170" w:type="dxa"/>
            <w:tcBorders>
              <w:top w:val="single" w:sz="12"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26.0%</w:t>
            </w:r>
          </w:p>
        </w:tc>
        <w:tc>
          <w:tcPr>
            <w:tcW w:w="1170" w:type="dxa"/>
            <w:tcBorders>
              <w:top w:val="single" w:sz="12"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4.25</w:t>
            </w:r>
          </w:p>
        </w:tc>
        <w:tc>
          <w:tcPr>
            <w:tcW w:w="810" w:type="dxa"/>
            <w:tcBorders>
              <w:top w:val="single" w:sz="12"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92.2</w:t>
            </w:r>
          </w:p>
        </w:tc>
      </w:tr>
      <w:tr w:rsidR="00830BC9" w:rsidRPr="00124E64" w:rsidTr="00F821D4">
        <w:tc>
          <w:tcPr>
            <w:tcW w:w="2070" w:type="dxa"/>
            <w:tcBorders>
              <w:top w:val="single" w:sz="4" w:space="0" w:color="auto"/>
              <w:bottom w:val="single" w:sz="4" w:space="0" w:color="auto"/>
            </w:tcBorders>
          </w:tcPr>
          <w:p w:rsidR="00830BC9" w:rsidRPr="00865030" w:rsidRDefault="00830BC9" w:rsidP="00F821D4">
            <w:pPr>
              <w:keepNext/>
              <w:keepLines/>
              <w:spacing w:before="40" w:after="40"/>
              <w:rPr>
                <w:rFonts w:ascii="Times New Roman" w:hAnsi="Times New Roman"/>
                <w:sz w:val="20"/>
                <w:szCs w:val="20"/>
              </w:rPr>
            </w:pPr>
            <w:r w:rsidRPr="00865030">
              <w:rPr>
                <w:rFonts w:ascii="Times New Roman" w:hAnsi="Times New Roman"/>
                <w:sz w:val="20"/>
                <w:szCs w:val="20"/>
              </w:rPr>
              <w:t>September 9th, 2015</w:t>
            </w:r>
          </w:p>
        </w:tc>
        <w:tc>
          <w:tcPr>
            <w:tcW w:w="1350" w:type="dxa"/>
            <w:tcBorders>
              <w:top w:val="single" w:sz="4" w:space="0" w:color="auto"/>
              <w:bottom w:val="single" w:sz="4" w:space="0" w:color="auto"/>
            </w:tcBorders>
            <w:vAlign w:val="center"/>
          </w:tcPr>
          <w:p w:rsidR="00830BC9" w:rsidRPr="00865030" w:rsidRDefault="00830BC9" w:rsidP="00F821D4">
            <w:pPr>
              <w:keepNext/>
              <w:keepLines/>
              <w:tabs>
                <w:tab w:val="decimal" w:pos="500"/>
              </w:tab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6,616</w:t>
            </w:r>
          </w:p>
        </w:tc>
        <w:tc>
          <w:tcPr>
            <w:tcW w:w="117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2.57</w:t>
            </w:r>
          </w:p>
        </w:tc>
        <w:tc>
          <w:tcPr>
            <w:tcW w:w="108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1.97</w:t>
            </w:r>
          </w:p>
        </w:tc>
        <w:tc>
          <w:tcPr>
            <w:tcW w:w="90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0.60</w:t>
            </w:r>
          </w:p>
        </w:tc>
        <w:tc>
          <w:tcPr>
            <w:tcW w:w="117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23.5%</w:t>
            </w:r>
          </w:p>
        </w:tc>
        <w:tc>
          <w:tcPr>
            <w:tcW w:w="117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3.96</w:t>
            </w:r>
          </w:p>
        </w:tc>
        <w:tc>
          <w:tcPr>
            <w:tcW w:w="81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95.0</w:t>
            </w:r>
          </w:p>
        </w:tc>
      </w:tr>
      <w:tr w:rsidR="00830BC9" w:rsidRPr="00124E64" w:rsidTr="00F821D4">
        <w:tc>
          <w:tcPr>
            <w:tcW w:w="2070" w:type="dxa"/>
            <w:tcBorders>
              <w:top w:val="single" w:sz="4" w:space="0" w:color="auto"/>
              <w:bottom w:val="single" w:sz="4" w:space="0" w:color="auto"/>
            </w:tcBorders>
          </w:tcPr>
          <w:p w:rsidR="00830BC9" w:rsidRPr="00865030" w:rsidRDefault="00830BC9" w:rsidP="00F821D4">
            <w:pPr>
              <w:keepNext/>
              <w:keepLines/>
              <w:spacing w:before="40" w:after="40"/>
              <w:rPr>
                <w:rFonts w:ascii="Times New Roman" w:hAnsi="Times New Roman"/>
                <w:sz w:val="20"/>
                <w:szCs w:val="20"/>
              </w:rPr>
            </w:pPr>
            <w:r w:rsidRPr="00865030">
              <w:rPr>
                <w:rFonts w:ascii="Times New Roman" w:hAnsi="Times New Roman"/>
                <w:sz w:val="20"/>
                <w:szCs w:val="20"/>
              </w:rPr>
              <w:t>September 10th, 2015</w:t>
            </w:r>
          </w:p>
        </w:tc>
        <w:tc>
          <w:tcPr>
            <w:tcW w:w="1350" w:type="dxa"/>
            <w:tcBorders>
              <w:top w:val="single" w:sz="4" w:space="0" w:color="auto"/>
              <w:bottom w:val="single" w:sz="4" w:space="0" w:color="auto"/>
            </w:tcBorders>
            <w:vAlign w:val="center"/>
          </w:tcPr>
          <w:p w:rsidR="00830BC9" w:rsidRPr="00865030" w:rsidRDefault="00830BC9" w:rsidP="00F821D4">
            <w:pPr>
              <w:keepNext/>
              <w:keepLines/>
              <w:tabs>
                <w:tab w:val="decimal" w:pos="500"/>
              </w:tab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6,625</w:t>
            </w:r>
          </w:p>
        </w:tc>
        <w:tc>
          <w:tcPr>
            <w:tcW w:w="117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2.35</w:t>
            </w:r>
          </w:p>
        </w:tc>
        <w:tc>
          <w:tcPr>
            <w:tcW w:w="108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2.04</w:t>
            </w:r>
          </w:p>
        </w:tc>
        <w:tc>
          <w:tcPr>
            <w:tcW w:w="90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0.30</w:t>
            </w:r>
          </w:p>
        </w:tc>
        <w:tc>
          <w:tcPr>
            <w:tcW w:w="117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13.1%</w:t>
            </w:r>
          </w:p>
        </w:tc>
        <w:tc>
          <w:tcPr>
            <w:tcW w:w="117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2.02</w:t>
            </w:r>
          </w:p>
        </w:tc>
        <w:tc>
          <w:tcPr>
            <w:tcW w:w="810" w:type="dxa"/>
            <w:tcBorders>
              <w:top w:val="single" w:sz="4" w:space="0" w:color="auto"/>
              <w:bottom w:val="sing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93.3</w:t>
            </w:r>
          </w:p>
        </w:tc>
      </w:tr>
      <w:tr w:rsidR="00830BC9" w:rsidRPr="00124E64" w:rsidTr="00F821D4">
        <w:tc>
          <w:tcPr>
            <w:tcW w:w="2070" w:type="dxa"/>
            <w:tcBorders>
              <w:top w:val="single" w:sz="4" w:space="0" w:color="auto"/>
              <w:bottom w:val="double" w:sz="4" w:space="0" w:color="auto"/>
            </w:tcBorders>
          </w:tcPr>
          <w:p w:rsidR="00830BC9" w:rsidRPr="00865030" w:rsidRDefault="00830BC9" w:rsidP="00F821D4">
            <w:pPr>
              <w:keepNext/>
              <w:keepLines/>
              <w:spacing w:before="40" w:after="40"/>
              <w:rPr>
                <w:rFonts w:ascii="Times New Roman" w:hAnsi="Times New Roman"/>
                <w:sz w:val="20"/>
                <w:szCs w:val="20"/>
              </w:rPr>
            </w:pPr>
            <w:r w:rsidRPr="00865030">
              <w:rPr>
                <w:rFonts w:ascii="Times New Roman" w:hAnsi="Times New Roman"/>
                <w:sz w:val="20"/>
                <w:szCs w:val="20"/>
              </w:rPr>
              <w:t>September 11th, 2015</w:t>
            </w:r>
          </w:p>
        </w:tc>
        <w:tc>
          <w:tcPr>
            <w:tcW w:w="1350" w:type="dxa"/>
            <w:tcBorders>
              <w:top w:val="single" w:sz="4" w:space="0" w:color="auto"/>
              <w:bottom w:val="double" w:sz="4" w:space="0" w:color="auto"/>
            </w:tcBorders>
            <w:vAlign w:val="center"/>
          </w:tcPr>
          <w:p w:rsidR="00830BC9" w:rsidRPr="00865030" w:rsidRDefault="00830BC9" w:rsidP="00F821D4">
            <w:pPr>
              <w:keepNext/>
              <w:keepLines/>
              <w:tabs>
                <w:tab w:val="decimal" w:pos="500"/>
              </w:tab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6,635</w:t>
            </w:r>
          </w:p>
        </w:tc>
        <w:tc>
          <w:tcPr>
            <w:tcW w:w="1170" w:type="dxa"/>
            <w:tcBorders>
              <w:top w:val="single" w:sz="4" w:space="0" w:color="auto"/>
              <w:bottom w:val="doub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2.36</w:t>
            </w:r>
          </w:p>
        </w:tc>
        <w:tc>
          <w:tcPr>
            <w:tcW w:w="1080" w:type="dxa"/>
            <w:tcBorders>
              <w:top w:val="single" w:sz="4" w:space="0" w:color="auto"/>
              <w:bottom w:val="doub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1.83</w:t>
            </w:r>
          </w:p>
        </w:tc>
        <w:tc>
          <w:tcPr>
            <w:tcW w:w="900" w:type="dxa"/>
            <w:tcBorders>
              <w:top w:val="single" w:sz="4" w:space="0" w:color="auto"/>
              <w:bottom w:val="doub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0.53</w:t>
            </w:r>
          </w:p>
        </w:tc>
        <w:tc>
          <w:tcPr>
            <w:tcW w:w="1170" w:type="dxa"/>
            <w:tcBorders>
              <w:top w:val="single" w:sz="4" w:space="0" w:color="auto"/>
              <w:bottom w:val="doub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22.5%</w:t>
            </w:r>
          </w:p>
        </w:tc>
        <w:tc>
          <w:tcPr>
            <w:tcW w:w="1170" w:type="dxa"/>
            <w:tcBorders>
              <w:top w:val="single" w:sz="4" w:space="0" w:color="auto"/>
              <w:bottom w:val="doub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3.50</w:t>
            </w:r>
          </w:p>
        </w:tc>
        <w:tc>
          <w:tcPr>
            <w:tcW w:w="810" w:type="dxa"/>
            <w:tcBorders>
              <w:top w:val="single" w:sz="4" w:space="0" w:color="auto"/>
              <w:bottom w:val="double" w:sz="4"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87.8</w:t>
            </w:r>
          </w:p>
        </w:tc>
      </w:tr>
      <w:tr w:rsidR="00830BC9" w:rsidRPr="00124E64" w:rsidTr="00F821D4">
        <w:tc>
          <w:tcPr>
            <w:tcW w:w="2070" w:type="dxa"/>
            <w:tcBorders>
              <w:top w:val="double" w:sz="4" w:space="0" w:color="auto"/>
              <w:bottom w:val="single" w:sz="12" w:space="0" w:color="auto"/>
            </w:tcBorders>
          </w:tcPr>
          <w:p w:rsidR="00830BC9" w:rsidRPr="00865030" w:rsidRDefault="00830BC9" w:rsidP="00F821D4">
            <w:pPr>
              <w:keepNext/>
              <w:keepLines/>
              <w:spacing w:before="40" w:after="40"/>
              <w:rPr>
                <w:rFonts w:ascii="Times New Roman" w:hAnsi="Times New Roman"/>
                <w:sz w:val="20"/>
                <w:szCs w:val="20"/>
              </w:rPr>
            </w:pPr>
            <w:r w:rsidRPr="00865030">
              <w:rPr>
                <w:rFonts w:ascii="Times New Roman" w:hAnsi="Times New Roman"/>
                <w:sz w:val="20"/>
                <w:szCs w:val="20"/>
              </w:rPr>
              <w:t>Average 2015 Event</w:t>
            </w:r>
          </w:p>
        </w:tc>
        <w:tc>
          <w:tcPr>
            <w:tcW w:w="1350" w:type="dxa"/>
            <w:tcBorders>
              <w:top w:val="double" w:sz="4" w:space="0" w:color="auto"/>
              <w:bottom w:val="single" w:sz="12" w:space="0" w:color="auto"/>
            </w:tcBorders>
            <w:vAlign w:val="center"/>
          </w:tcPr>
          <w:p w:rsidR="00830BC9" w:rsidRPr="00865030" w:rsidRDefault="00830BC9" w:rsidP="00F821D4">
            <w:pPr>
              <w:keepNext/>
              <w:keepLines/>
              <w:tabs>
                <w:tab w:val="decimal" w:pos="500"/>
              </w:tab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6,602</w:t>
            </w:r>
          </w:p>
        </w:tc>
        <w:tc>
          <w:tcPr>
            <w:tcW w:w="1170" w:type="dxa"/>
            <w:tcBorders>
              <w:top w:val="double" w:sz="4" w:space="0" w:color="auto"/>
              <w:bottom w:val="single" w:sz="12"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2.45</w:t>
            </w:r>
          </w:p>
        </w:tc>
        <w:tc>
          <w:tcPr>
            <w:tcW w:w="1080" w:type="dxa"/>
            <w:tcBorders>
              <w:top w:val="double" w:sz="4" w:space="0" w:color="auto"/>
              <w:bottom w:val="single" w:sz="12"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1.93</w:t>
            </w:r>
          </w:p>
        </w:tc>
        <w:tc>
          <w:tcPr>
            <w:tcW w:w="900" w:type="dxa"/>
            <w:tcBorders>
              <w:top w:val="double" w:sz="4" w:space="0" w:color="auto"/>
              <w:bottom w:val="single" w:sz="12"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0.52</w:t>
            </w:r>
          </w:p>
        </w:tc>
        <w:tc>
          <w:tcPr>
            <w:tcW w:w="1170" w:type="dxa"/>
            <w:tcBorders>
              <w:top w:val="double" w:sz="4" w:space="0" w:color="auto"/>
              <w:bottom w:val="single" w:sz="12"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21.4%</w:t>
            </w:r>
          </w:p>
        </w:tc>
        <w:tc>
          <w:tcPr>
            <w:tcW w:w="1170" w:type="dxa"/>
            <w:tcBorders>
              <w:top w:val="double" w:sz="4" w:space="0" w:color="auto"/>
              <w:bottom w:val="single" w:sz="12"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3.44</w:t>
            </w:r>
          </w:p>
        </w:tc>
        <w:tc>
          <w:tcPr>
            <w:tcW w:w="810" w:type="dxa"/>
            <w:tcBorders>
              <w:top w:val="double" w:sz="4" w:space="0" w:color="auto"/>
              <w:bottom w:val="single" w:sz="12" w:space="0" w:color="auto"/>
            </w:tcBorders>
            <w:vAlign w:val="center"/>
          </w:tcPr>
          <w:p w:rsidR="00830BC9" w:rsidRPr="00865030" w:rsidRDefault="00830BC9" w:rsidP="00F821D4">
            <w:pPr>
              <w:keepNext/>
              <w:keepLines/>
              <w:autoSpaceDE w:val="0"/>
              <w:autoSpaceDN w:val="0"/>
              <w:adjustRightInd w:val="0"/>
              <w:jc w:val="center"/>
              <w:rPr>
                <w:rFonts w:ascii="Times New Roman" w:hAnsi="Times New Roman"/>
                <w:color w:val="000000"/>
                <w:sz w:val="20"/>
                <w:szCs w:val="20"/>
              </w:rPr>
            </w:pPr>
            <w:r w:rsidRPr="00865030">
              <w:rPr>
                <w:rFonts w:ascii="Times New Roman" w:hAnsi="Times New Roman"/>
                <w:color w:val="000000"/>
                <w:sz w:val="20"/>
                <w:szCs w:val="20"/>
              </w:rPr>
              <w:t>92.1</w:t>
            </w:r>
          </w:p>
        </w:tc>
      </w:tr>
    </w:tbl>
    <w:p w:rsidR="003E6B6C" w:rsidRDefault="003E6B6C" w:rsidP="00446CDA">
      <w:pPr>
        <w:pStyle w:val="Caption"/>
        <w:rPr>
          <w:sz w:val="22"/>
          <w:szCs w:val="22"/>
        </w:rPr>
      </w:pPr>
      <w:bookmarkStart w:id="210" w:name="_Ref446945703"/>
      <w:bookmarkStart w:id="211" w:name="_Ref414021791"/>
    </w:p>
    <w:p w:rsidR="003E6B6C" w:rsidRDefault="003E6B6C" w:rsidP="003E6B6C">
      <w:pPr>
        <w:pStyle w:val="Caption"/>
        <w:jc w:val="center"/>
        <w:rPr>
          <w:sz w:val="22"/>
          <w:szCs w:val="22"/>
        </w:rPr>
      </w:pPr>
    </w:p>
    <w:p w:rsidR="003E6B6C" w:rsidRPr="00EC4F7A" w:rsidRDefault="003E6B6C" w:rsidP="003E6B6C">
      <w:pPr>
        <w:pStyle w:val="Caption"/>
        <w:spacing w:after="120"/>
        <w:jc w:val="center"/>
        <w:rPr>
          <w:sz w:val="22"/>
          <w:szCs w:val="22"/>
        </w:rPr>
      </w:pPr>
      <w:r w:rsidRPr="00EC4F7A">
        <w:rPr>
          <w:sz w:val="22"/>
          <w:szCs w:val="22"/>
        </w:rPr>
        <w:t xml:space="preserve">Table </w:t>
      </w:r>
      <w:r>
        <w:rPr>
          <w:sz w:val="22"/>
          <w:szCs w:val="22"/>
        </w:rPr>
        <w:fldChar w:fldCharType="begin"/>
      </w:r>
      <w:r>
        <w:rPr>
          <w:sz w:val="22"/>
          <w:szCs w:val="22"/>
        </w:rPr>
        <w:instrText xml:space="preserve"> STYLEREF 1 \s </w:instrText>
      </w:r>
      <w:r>
        <w:rPr>
          <w:sz w:val="22"/>
          <w:szCs w:val="22"/>
        </w:rPr>
        <w:fldChar w:fldCharType="separate"/>
      </w:r>
      <w:r>
        <w:rPr>
          <w:noProof/>
          <w:sz w:val="22"/>
          <w:szCs w:val="22"/>
        </w:rPr>
        <w:t>7</w:t>
      </w:r>
      <w:r>
        <w:rPr>
          <w:sz w:val="22"/>
          <w:szCs w:val="22"/>
        </w:rPr>
        <w:fldChar w:fldCharType="end"/>
      </w:r>
      <w:r>
        <w:rPr>
          <w:sz w:val="22"/>
          <w:szCs w:val="22"/>
        </w:rPr>
        <w:noBreakHyphen/>
      </w:r>
      <w:bookmarkEnd w:id="210"/>
      <w:r w:rsidR="00446CDA">
        <w:rPr>
          <w:sz w:val="22"/>
          <w:szCs w:val="22"/>
        </w:rPr>
        <w:t>3</w:t>
      </w:r>
      <w:r w:rsidRPr="00EC4F7A">
        <w:rPr>
          <w:sz w:val="22"/>
          <w:szCs w:val="22"/>
        </w:rPr>
        <w:t xml:space="preserve"> PTR Dually Enrolled in Summer Saver Ex Post Load Impact Estimates –</w:t>
      </w:r>
    </w:p>
    <w:p w:rsidR="003E6B6C" w:rsidRPr="00043F80" w:rsidRDefault="003E6B6C" w:rsidP="003E6B6C">
      <w:pPr>
        <w:pStyle w:val="Caption"/>
        <w:spacing w:after="120"/>
        <w:jc w:val="center"/>
        <w:rPr>
          <w:b w:val="0"/>
          <w:bCs w:val="0"/>
          <w:sz w:val="22"/>
          <w:szCs w:val="22"/>
        </w:rPr>
      </w:pPr>
      <w:r w:rsidRPr="00043F80">
        <w:rPr>
          <w:sz w:val="22"/>
          <w:szCs w:val="22"/>
        </w:rPr>
        <w:t>Average 2015 Event (</w:t>
      </w:r>
      <w:r>
        <w:rPr>
          <w:sz w:val="22"/>
          <w:szCs w:val="22"/>
        </w:rPr>
        <w:t>3 p.m</w:t>
      </w:r>
      <w:r w:rsidRPr="00043F80">
        <w:rPr>
          <w:sz w:val="22"/>
          <w:szCs w:val="22"/>
        </w:rPr>
        <w:t>. to 6 p.m.)</w:t>
      </w:r>
    </w:p>
    <w:tbl>
      <w:tblPr>
        <w:tblStyle w:val="ItronBasic"/>
        <w:tblW w:w="9565" w:type="dxa"/>
        <w:tblInd w:w="0" w:type="dxa"/>
        <w:tblLayout w:type="fixed"/>
        <w:tblCellMar>
          <w:left w:w="115" w:type="dxa"/>
          <w:right w:w="115" w:type="dxa"/>
        </w:tblCellMar>
        <w:tblLook w:val="04A0" w:firstRow="1" w:lastRow="0" w:firstColumn="1" w:lastColumn="0" w:noHBand="0" w:noVBand="1"/>
      </w:tblPr>
      <w:tblGrid>
        <w:gridCol w:w="1915"/>
        <w:gridCol w:w="1350"/>
        <w:gridCol w:w="1170"/>
        <w:gridCol w:w="1080"/>
        <w:gridCol w:w="990"/>
        <w:gridCol w:w="1170"/>
        <w:gridCol w:w="1170"/>
        <w:gridCol w:w="720"/>
      </w:tblGrid>
      <w:tr w:rsidR="003E6B6C" w:rsidRPr="00E82BAD" w:rsidTr="003E6B6C">
        <w:trPr>
          <w:cnfStyle w:val="100000000000" w:firstRow="1" w:lastRow="0" w:firstColumn="0" w:lastColumn="0" w:oddVBand="0" w:evenVBand="0" w:oddHBand="0" w:evenHBand="0" w:firstRowFirstColumn="0" w:firstRowLastColumn="0" w:lastRowFirstColumn="0" w:lastRowLastColumn="0"/>
        </w:trPr>
        <w:tc>
          <w:tcPr>
            <w:tcW w:w="1915" w:type="dxa"/>
            <w:shd w:val="clear" w:color="auto" w:fill="1F497D" w:themeFill="text2"/>
            <w:vAlign w:val="bottom"/>
          </w:tcPr>
          <w:p w:rsidR="003E6B6C" w:rsidRPr="003E6B6C" w:rsidRDefault="003E6B6C" w:rsidP="003E6B6C">
            <w:pPr>
              <w:spacing w:before="40" w:after="40"/>
              <w:rPr>
                <w:rFonts w:ascii="Times New Roman" w:hAnsi="Times New Roman"/>
                <w:color w:val="FFFFFF" w:themeColor="background1"/>
                <w:sz w:val="20"/>
                <w:szCs w:val="20"/>
              </w:rPr>
            </w:pPr>
            <w:r w:rsidRPr="003E6B6C">
              <w:rPr>
                <w:rFonts w:ascii="Times New Roman" w:hAnsi="Times New Roman"/>
                <w:color w:val="FFFFFF" w:themeColor="background1"/>
                <w:sz w:val="20"/>
                <w:szCs w:val="20"/>
              </w:rPr>
              <w:t>Customer Category</w:t>
            </w:r>
          </w:p>
        </w:tc>
        <w:tc>
          <w:tcPr>
            <w:tcW w:w="1350" w:type="dxa"/>
            <w:shd w:val="clear" w:color="auto" w:fill="1F497D" w:themeFill="text2"/>
            <w:vAlign w:val="bottom"/>
          </w:tcPr>
          <w:p w:rsidR="003E6B6C" w:rsidRPr="003E6B6C" w:rsidRDefault="003E6B6C" w:rsidP="003E6B6C">
            <w:pPr>
              <w:adjustRightInd w:val="0"/>
              <w:spacing w:before="60" w:after="60"/>
              <w:jc w:val="center"/>
              <w:rPr>
                <w:rFonts w:ascii="Times New Roman" w:hAnsi="Times New Roman"/>
                <w:color w:val="FFFFFF" w:themeColor="background1"/>
                <w:sz w:val="20"/>
                <w:szCs w:val="20"/>
              </w:rPr>
            </w:pPr>
            <w:r w:rsidRPr="003E6B6C">
              <w:rPr>
                <w:rFonts w:ascii="Times New Roman" w:hAnsi="Times New Roman"/>
                <w:color w:val="FFFFFF" w:themeColor="background1"/>
                <w:sz w:val="20"/>
                <w:szCs w:val="20"/>
              </w:rPr>
              <w:t>Mean Active Participants</w:t>
            </w:r>
          </w:p>
        </w:tc>
        <w:tc>
          <w:tcPr>
            <w:tcW w:w="1170" w:type="dxa"/>
            <w:shd w:val="clear" w:color="auto" w:fill="1F497D" w:themeFill="text2"/>
            <w:vAlign w:val="bottom"/>
          </w:tcPr>
          <w:p w:rsidR="003E6B6C" w:rsidRPr="003E6B6C" w:rsidRDefault="003E6B6C" w:rsidP="003E6B6C">
            <w:pPr>
              <w:adjustRightInd w:val="0"/>
              <w:spacing w:before="60" w:after="60"/>
              <w:jc w:val="center"/>
              <w:rPr>
                <w:rFonts w:ascii="Times New Roman" w:hAnsi="Times New Roman"/>
                <w:color w:val="FFFFFF" w:themeColor="background1"/>
                <w:sz w:val="20"/>
                <w:szCs w:val="20"/>
              </w:rPr>
            </w:pPr>
            <w:r w:rsidRPr="003E6B6C">
              <w:rPr>
                <w:rFonts w:ascii="Times New Roman" w:hAnsi="Times New Roman"/>
                <w:color w:val="FFFFFF" w:themeColor="background1"/>
                <w:sz w:val="20"/>
                <w:szCs w:val="20"/>
              </w:rPr>
              <w:t>Mean  Reference Load</w:t>
            </w:r>
            <w:r w:rsidRPr="003E6B6C">
              <w:rPr>
                <w:rFonts w:ascii="Times New Roman" w:hAnsi="Times New Roman"/>
                <w:color w:val="FFFFFF" w:themeColor="background1"/>
                <w:sz w:val="20"/>
                <w:szCs w:val="20"/>
              </w:rPr>
              <w:br/>
              <w:t>(kW)</w:t>
            </w:r>
          </w:p>
        </w:tc>
        <w:tc>
          <w:tcPr>
            <w:tcW w:w="1080" w:type="dxa"/>
            <w:shd w:val="clear" w:color="auto" w:fill="1F497D" w:themeFill="text2"/>
            <w:vAlign w:val="bottom"/>
          </w:tcPr>
          <w:p w:rsidR="003E6B6C" w:rsidRPr="003E6B6C" w:rsidRDefault="003E6B6C" w:rsidP="003E6B6C">
            <w:pPr>
              <w:adjustRightInd w:val="0"/>
              <w:spacing w:before="60" w:after="60"/>
              <w:jc w:val="center"/>
              <w:rPr>
                <w:rFonts w:ascii="Times New Roman" w:hAnsi="Times New Roman"/>
                <w:color w:val="FFFFFF" w:themeColor="background1"/>
                <w:sz w:val="20"/>
                <w:szCs w:val="20"/>
              </w:rPr>
            </w:pPr>
            <w:r w:rsidRPr="003E6B6C">
              <w:rPr>
                <w:rFonts w:ascii="Times New Roman" w:hAnsi="Times New Roman"/>
                <w:color w:val="FFFFFF" w:themeColor="background1"/>
                <w:sz w:val="20"/>
                <w:szCs w:val="20"/>
              </w:rPr>
              <w:t>Mean Observed Load</w:t>
            </w:r>
            <w:r w:rsidRPr="003E6B6C">
              <w:rPr>
                <w:rFonts w:ascii="Times New Roman" w:hAnsi="Times New Roman"/>
                <w:color w:val="FFFFFF" w:themeColor="background1"/>
                <w:sz w:val="20"/>
                <w:szCs w:val="20"/>
              </w:rPr>
              <w:br/>
              <w:t>(kW)</w:t>
            </w:r>
          </w:p>
        </w:tc>
        <w:tc>
          <w:tcPr>
            <w:tcW w:w="990" w:type="dxa"/>
            <w:shd w:val="clear" w:color="auto" w:fill="1F497D" w:themeFill="text2"/>
            <w:vAlign w:val="bottom"/>
          </w:tcPr>
          <w:p w:rsidR="003E6B6C" w:rsidRPr="003E6B6C" w:rsidRDefault="003E6B6C" w:rsidP="003E6B6C">
            <w:pPr>
              <w:adjustRightInd w:val="0"/>
              <w:spacing w:before="60" w:after="60"/>
              <w:jc w:val="center"/>
              <w:rPr>
                <w:rFonts w:ascii="Times New Roman" w:hAnsi="Times New Roman"/>
                <w:color w:val="FFFFFF" w:themeColor="background1"/>
                <w:sz w:val="20"/>
                <w:szCs w:val="20"/>
              </w:rPr>
            </w:pPr>
            <w:r w:rsidRPr="003E6B6C">
              <w:rPr>
                <w:rFonts w:ascii="Times New Roman" w:hAnsi="Times New Roman"/>
                <w:color w:val="FFFFFF" w:themeColor="background1"/>
                <w:sz w:val="20"/>
                <w:szCs w:val="20"/>
              </w:rPr>
              <w:t>Mean Impact</w:t>
            </w:r>
            <w:r w:rsidRPr="003E6B6C">
              <w:rPr>
                <w:rFonts w:ascii="Times New Roman" w:hAnsi="Times New Roman"/>
                <w:color w:val="FFFFFF" w:themeColor="background1"/>
                <w:sz w:val="20"/>
                <w:szCs w:val="20"/>
              </w:rPr>
              <w:br/>
              <w:t>(kW)</w:t>
            </w:r>
          </w:p>
        </w:tc>
        <w:tc>
          <w:tcPr>
            <w:tcW w:w="1170" w:type="dxa"/>
            <w:shd w:val="clear" w:color="auto" w:fill="1F497D" w:themeFill="text2"/>
            <w:vAlign w:val="bottom"/>
          </w:tcPr>
          <w:p w:rsidR="003E6B6C" w:rsidRPr="003E6B6C" w:rsidRDefault="003E6B6C" w:rsidP="003E6B6C">
            <w:pPr>
              <w:spacing w:before="40" w:after="40"/>
              <w:jc w:val="center"/>
              <w:rPr>
                <w:rFonts w:ascii="Times New Roman" w:hAnsi="Times New Roman"/>
                <w:color w:val="FFFFFF" w:themeColor="background1"/>
                <w:sz w:val="20"/>
                <w:szCs w:val="20"/>
              </w:rPr>
            </w:pPr>
            <w:r w:rsidRPr="003E6B6C">
              <w:rPr>
                <w:rFonts w:ascii="Times New Roman" w:hAnsi="Times New Roman"/>
                <w:color w:val="FFFFFF" w:themeColor="background1"/>
                <w:sz w:val="20"/>
                <w:szCs w:val="20"/>
              </w:rPr>
              <w:t>% Load Reduction</w:t>
            </w:r>
          </w:p>
        </w:tc>
        <w:tc>
          <w:tcPr>
            <w:tcW w:w="1170" w:type="dxa"/>
            <w:shd w:val="clear" w:color="auto" w:fill="1F497D" w:themeFill="text2"/>
            <w:vAlign w:val="bottom"/>
          </w:tcPr>
          <w:p w:rsidR="003E6B6C" w:rsidRPr="003E6B6C" w:rsidRDefault="003E6B6C" w:rsidP="003E6B6C">
            <w:pPr>
              <w:spacing w:before="40" w:after="40"/>
              <w:jc w:val="center"/>
              <w:rPr>
                <w:rFonts w:ascii="Times New Roman" w:hAnsi="Times New Roman"/>
                <w:color w:val="FFFFFF" w:themeColor="background1"/>
                <w:sz w:val="20"/>
                <w:szCs w:val="20"/>
              </w:rPr>
            </w:pPr>
            <w:r w:rsidRPr="003E6B6C">
              <w:rPr>
                <w:rFonts w:ascii="Times New Roman" w:hAnsi="Times New Roman"/>
                <w:color w:val="FFFFFF" w:themeColor="background1"/>
                <w:sz w:val="20"/>
                <w:szCs w:val="20"/>
              </w:rPr>
              <w:t>Aggregate Load Reduction</w:t>
            </w:r>
            <w:r w:rsidRPr="003E6B6C">
              <w:rPr>
                <w:rFonts w:ascii="Times New Roman" w:hAnsi="Times New Roman"/>
                <w:color w:val="FFFFFF" w:themeColor="background1"/>
                <w:sz w:val="20"/>
                <w:szCs w:val="20"/>
              </w:rPr>
              <w:br/>
              <w:t>(MW)</w:t>
            </w:r>
          </w:p>
        </w:tc>
        <w:tc>
          <w:tcPr>
            <w:tcW w:w="720" w:type="dxa"/>
            <w:shd w:val="clear" w:color="auto" w:fill="1F497D" w:themeFill="text2"/>
            <w:vAlign w:val="bottom"/>
          </w:tcPr>
          <w:p w:rsidR="003E6B6C" w:rsidRPr="003E6B6C" w:rsidRDefault="003E6B6C" w:rsidP="003E6B6C">
            <w:pPr>
              <w:adjustRightInd w:val="0"/>
              <w:spacing w:before="60" w:after="60"/>
              <w:jc w:val="center"/>
              <w:rPr>
                <w:rFonts w:ascii="Times New Roman" w:hAnsi="Times New Roman"/>
                <w:color w:val="FFFFFF" w:themeColor="background1"/>
                <w:sz w:val="20"/>
                <w:szCs w:val="20"/>
              </w:rPr>
            </w:pPr>
            <w:r w:rsidRPr="003E6B6C">
              <w:rPr>
                <w:rFonts w:ascii="Times New Roman" w:hAnsi="Times New Roman"/>
                <w:color w:val="FFFFFF" w:themeColor="background1"/>
                <w:sz w:val="20"/>
                <w:szCs w:val="20"/>
              </w:rPr>
              <w:t>Mean</w:t>
            </w:r>
            <w:r w:rsidRPr="003E6B6C">
              <w:rPr>
                <w:rFonts w:ascii="Times New Roman" w:hAnsi="Times New Roman"/>
                <w:color w:val="FFFFFF" w:themeColor="background1"/>
                <w:sz w:val="20"/>
                <w:szCs w:val="20"/>
              </w:rPr>
              <w:br/>
              <w:t>°F</w:t>
            </w:r>
          </w:p>
        </w:tc>
      </w:tr>
      <w:tr w:rsidR="003E6B6C" w:rsidRPr="004C285E" w:rsidTr="003E6B6C">
        <w:tc>
          <w:tcPr>
            <w:tcW w:w="1915" w:type="dxa"/>
            <w:tcBorders>
              <w:top w:val="single" w:sz="12" w:space="0" w:color="auto"/>
            </w:tcBorders>
          </w:tcPr>
          <w:p w:rsidR="003E6B6C" w:rsidRPr="003E6B6C" w:rsidRDefault="003E6B6C" w:rsidP="003E6B6C">
            <w:pPr>
              <w:keepNext/>
              <w:keepLines/>
              <w:spacing w:before="40" w:after="40"/>
              <w:rPr>
                <w:rFonts w:ascii="Times New Roman" w:hAnsi="Times New Roman"/>
                <w:sz w:val="20"/>
                <w:szCs w:val="20"/>
              </w:rPr>
            </w:pPr>
            <w:r w:rsidRPr="003E6B6C">
              <w:rPr>
                <w:rFonts w:ascii="Times New Roman" w:hAnsi="Times New Roman"/>
                <w:sz w:val="20"/>
                <w:szCs w:val="20"/>
              </w:rPr>
              <w:t>All</w:t>
            </w:r>
          </w:p>
        </w:tc>
        <w:tc>
          <w:tcPr>
            <w:tcW w:w="1350" w:type="dxa"/>
            <w:tcBorders>
              <w:top w:val="single" w:sz="12" w:space="0" w:color="auto"/>
            </w:tcBorders>
            <w:vAlign w:val="center"/>
          </w:tcPr>
          <w:p w:rsidR="003E6B6C" w:rsidRPr="003E6B6C" w:rsidRDefault="003E6B6C" w:rsidP="003E6B6C">
            <w:pPr>
              <w:keepNext/>
              <w:keepLines/>
              <w:tabs>
                <w:tab w:val="decimal" w:pos="500"/>
              </w:tab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4,179</w:t>
            </w:r>
          </w:p>
        </w:tc>
        <w:tc>
          <w:tcPr>
            <w:tcW w:w="1170" w:type="dxa"/>
            <w:tcBorders>
              <w:top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1.84</w:t>
            </w:r>
          </w:p>
        </w:tc>
        <w:tc>
          <w:tcPr>
            <w:tcW w:w="1080" w:type="dxa"/>
            <w:tcBorders>
              <w:top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1.57</w:t>
            </w:r>
          </w:p>
        </w:tc>
        <w:tc>
          <w:tcPr>
            <w:tcW w:w="990" w:type="dxa"/>
            <w:tcBorders>
              <w:top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0.27</w:t>
            </w:r>
          </w:p>
        </w:tc>
        <w:tc>
          <w:tcPr>
            <w:tcW w:w="1170" w:type="dxa"/>
            <w:tcBorders>
              <w:top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14.7%</w:t>
            </w:r>
          </w:p>
        </w:tc>
        <w:tc>
          <w:tcPr>
            <w:tcW w:w="1170" w:type="dxa"/>
            <w:tcBorders>
              <w:top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1.13</w:t>
            </w:r>
          </w:p>
        </w:tc>
        <w:tc>
          <w:tcPr>
            <w:tcW w:w="720" w:type="dxa"/>
            <w:tcBorders>
              <w:top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92.5</w:t>
            </w:r>
          </w:p>
        </w:tc>
      </w:tr>
      <w:tr w:rsidR="003E6B6C" w:rsidRPr="004C285E" w:rsidTr="003E6B6C">
        <w:tc>
          <w:tcPr>
            <w:tcW w:w="1915" w:type="dxa"/>
            <w:tcBorders>
              <w:bottom w:val="single" w:sz="12" w:space="0" w:color="auto"/>
            </w:tcBorders>
          </w:tcPr>
          <w:p w:rsidR="003E6B6C" w:rsidRPr="003E6B6C" w:rsidRDefault="003E6B6C" w:rsidP="003E6B6C">
            <w:pPr>
              <w:keepNext/>
              <w:keepLines/>
              <w:spacing w:before="40" w:after="40"/>
              <w:rPr>
                <w:rFonts w:ascii="Times New Roman" w:hAnsi="Times New Roman"/>
                <w:sz w:val="20"/>
                <w:szCs w:val="20"/>
              </w:rPr>
            </w:pPr>
            <w:r w:rsidRPr="003E6B6C">
              <w:rPr>
                <w:rFonts w:ascii="Times New Roman" w:hAnsi="Times New Roman"/>
                <w:sz w:val="20"/>
                <w:szCs w:val="20"/>
              </w:rPr>
              <w:t>Summer Saver – 50% Cycling</w:t>
            </w:r>
          </w:p>
        </w:tc>
        <w:tc>
          <w:tcPr>
            <w:tcW w:w="1350" w:type="dxa"/>
            <w:tcBorders>
              <w:bottom w:val="single" w:sz="12" w:space="0" w:color="auto"/>
            </w:tcBorders>
            <w:vAlign w:val="center"/>
          </w:tcPr>
          <w:p w:rsidR="003E6B6C" w:rsidRPr="003E6B6C" w:rsidRDefault="003E6B6C" w:rsidP="003E6B6C">
            <w:pPr>
              <w:keepNext/>
              <w:keepLines/>
              <w:tabs>
                <w:tab w:val="decimal" w:pos="500"/>
              </w:tab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1,487</w:t>
            </w:r>
          </w:p>
        </w:tc>
        <w:tc>
          <w:tcPr>
            <w:tcW w:w="1170" w:type="dxa"/>
            <w:tcBorders>
              <w:bottom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2.09</w:t>
            </w:r>
          </w:p>
        </w:tc>
        <w:tc>
          <w:tcPr>
            <w:tcW w:w="1080" w:type="dxa"/>
            <w:tcBorders>
              <w:bottom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2.10</w:t>
            </w:r>
          </w:p>
        </w:tc>
        <w:tc>
          <w:tcPr>
            <w:tcW w:w="990" w:type="dxa"/>
            <w:tcBorders>
              <w:bottom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-0.01</w:t>
            </w:r>
          </w:p>
        </w:tc>
        <w:tc>
          <w:tcPr>
            <w:tcW w:w="1170" w:type="dxa"/>
            <w:tcBorders>
              <w:bottom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-0.4%</w:t>
            </w:r>
          </w:p>
        </w:tc>
        <w:tc>
          <w:tcPr>
            <w:tcW w:w="1170" w:type="dxa"/>
            <w:tcBorders>
              <w:bottom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-0.01</w:t>
            </w:r>
          </w:p>
        </w:tc>
        <w:tc>
          <w:tcPr>
            <w:tcW w:w="720" w:type="dxa"/>
            <w:tcBorders>
              <w:bottom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92.9</w:t>
            </w:r>
          </w:p>
        </w:tc>
      </w:tr>
      <w:tr w:rsidR="003E6B6C" w:rsidRPr="004C285E" w:rsidTr="003E6B6C">
        <w:tc>
          <w:tcPr>
            <w:tcW w:w="1915" w:type="dxa"/>
            <w:tcBorders>
              <w:bottom w:val="single" w:sz="12" w:space="0" w:color="auto"/>
            </w:tcBorders>
          </w:tcPr>
          <w:p w:rsidR="003E6B6C" w:rsidRPr="003E6B6C" w:rsidRDefault="003E6B6C" w:rsidP="003E6B6C">
            <w:pPr>
              <w:keepNext/>
              <w:keepLines/>
              <w:spacing w:before="40" w:after="40"/>
              <w:rPr>
                <w:rFonts w:ascii="Times New Roman" w:hAnsi="Times New Roman"/>
                <w:sz w:val="20"/>
                <w:szCs w:val="20"/>
              </w:rPr>
            </w:pPr>
            <w:r w:rsidRPr="003E6B6C">
              <w:rPr>
                <w:rFonts w:ascii="Times New Roman" w:hAnsi="Times New Roman"/>
                <w:sz w:val="20"/>
                <w:szCs w:val="20"/>
              </w:rPr>
              <w:t>Summer Saver – 100% Cycling</w:t>
            </w:r>
          </w:p>
        </w:tc>
        <w:tc>
          <w:tcPr>
            <w:tcW w:w="1350" w:type="dxa"/>
            <w:tcBorders>
              <w:bottom w:val="single" w:sz="12" w:space="0" w:color="auto"/>
            </w:tcBorders>
            <w:vAlign w:val="center"/>
          </w:tcPr>
          <w:p w:rsidR="003E6B6C" w:rsidRPr="003E6B6C" w:rsidRDefault="003E6B6C" w:rsidP="003E6B6C">
            <w:pPr>
              <w:keepNext/>
              <w:keepLines/>
              <w:tabs>
                <w:tab w:val="decimal" w:pos="500"/>
              </w:tab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2,690</w:t>
            </w:r>
          </w:p>
        </w:tc>
        <w:tc>
          <w:tcPr>
            <w:tcW w:w="1170" w:type="dxa"/>
            <w:tcBorders>
              <w:bottom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1.69</w:t>
            </w:r>
          </w:p>
        </w:tc>
        <w:tc>
          <w:tcPr>
            <w:tcW w:w="1080" w:type="dxa"/>
            <w:tcBorders>
              <w:bottom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1.27</w:t>
            </w:r>
          </w:p>
        </w:tc>
        <w:tc>
          <w:tcPr>
            <w:tcW w:w="990" w:type="dxa"/>
            <w:tcBorders>
              <w:bottom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0.42</w:t>
            </w:r>
          </w:p>
        </w:tc>
        <w:tc>
          <w:tcPr>
            <w:tcW w:w="1170" w:type="dxa"/>
            <w:tcBorders>
              <w:bottom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24.8%</w:t>
            </w:r>
          </w:p>
        </w:tc>
        <w:tc>
          <w:tcPr>
            <w:tcW w:w="1170" w:type="dxa"/>
            <w:tcBorders>
              <w:bottom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1.12</w:t>
            </w:r>
          </w:p>
        </w:tc>
        <w:tc>
          <w:tcPr>
            <w:tcW w:w="720" w:type="dxa"/>
            <w:tcBorders>
              <w:bottom w:val="single" w:sz="12" w:space="0" w:color="auto"/>
            </w:tcBorders>
            <w:vAlign w:val="center"/>
          </w:tcPr>
          <w:p w:rsidR="003E6B6C" w:rsidRPr="003E6B6C" w:rsidRDefault="003E6B6C" w:rsidP="003E6B6C">
            <w:pPr>
              <w:keepNext/>
              <w:keepLines/>
              <w:autoSpaceDE w:val="0"/>
              <w:autoSpaceDN w:val="0"/>
              <w:adjustRightInd w:val="0"/>
              <w:jc w:val="center"/>
              <w:rPr>
                <w:rFonts w:ascii="Times New Roman" w:hAnsi="Times New Roman"/>
                <w:color w:val="000000"/>
                <w:sz w:val="20"/>
                <w:szCs w:val="20"/>
              </w:rPr>
            </w:pPr>
            <w:r w:rsidRPr="003E6B6C">
              <w:rPr>
                <w:rFonts w:ascii="Times New Roman" w:hAnsi="Times New Roman"/>
                <w:color w:val="000000"/>
                <w:sz w:val="20"/>
                <w:szCs w:val="20"/>
              </w:rPr>
              <w:t>92.3</w:t>
            </w:r>
          </w:p>
        </w:tc>
      </w:tr>
    </w:tbl>
    <w:p w:rsidR="003E6B6C" w:rsidRDefault="003E6B6C" w:rsidP="003E6B6C">
      <w:pPr>
        <w:rPr>
          <w:b/>
          <w:bCs/>
          <w:sz w:val="22"/>
          <w:szCs w:val="22"/>
        </w:rPr>
      </w:pPr>
      <w:bookmarkStart w:id="212" w:name="_Ref445986792"/>
      <w:bookmarkEnd w:id="211"/>
    </w:p>
    <w:p w:rsidR="003E6B6C" w:rsidRDefault="003E6B6C" w:rsidP="003E6B6C">
      <w:pPr>
        <w:rPr>
          <w:b/>
          <w:bCs/>
          <w:sz w:val="22"/>
          <w:szCs w:val="22"/>
        </w:rPr>
      </w:pPr>
    </w:p>
    <w:bookmarkEnd w:id="212"/>
    <w:p w:rsidR="00920140" w:rsidRDefault="00920140" w:rsidP="00920140">
      <w:pPr>
        <w:pStyle w:val="BodyParagraph"/>
        <w:spacing w:after="0" w:line="276" w:lineRule="auto"/>
        <w:ind w:firstLine="360"/>
        <w:rPr>
          <w:rFonts w:ascii="Times New Roman" w:hAnsi="Times New Roman"/>
          <w:color w:val="FF0000"/>
          <w:sz w:val="24"/>
          <w:szCs w:val="24"/>
        </w:rPr>
      </w:pPr>
    </w:p>
    <w:p w:rsidR="00920140" w:rsidRPr="00980FF7" w:rsidRDefault="00C45F33" w:rsidP="00920140">
      <w:pPr>
        <w:pStyle w:val="Heading2"/>
        <w:rPr>
          <w:rFonts w:ascii="Times New Roman" w:hAnsi="Times New Roman" w:cs="Times New Roman"/>
          <w:bCs w:val="0"/>
          <w:iCs w:val="0"/>
          <w:color w:val="000000" w:themeColor="text1"/>
        </w:rPr>
      </w:pPr>
      <w:bookmarkStart w:id="213" w:name="_Toc415749014"/>
      <w:bookmarkStart w:id="214" w:name="_Toc447179824"/>
      <w:r>
        <w:rPr>
          <w:rFonts w:ascii="Times New Roman" w:hAnsi="Times New Roman" w:cs="Times New Roman"/>
          <w:bCs w:val="0"/>
          <w:iCs w:val="0"/>
          <w:color w:val="000000" w:themeColor="text1"/>
        </w:rPr>
        <w:lastRenderedPageBreak/>
        <w:t xml:space="preserve">PTR </w:t>
      </w:r>
      <w:r w:rsidR="00920140" w:rsidRPr="006D67B3">
        <w:rPr>
          <w:rFonts w:ascii="Times New Roman" w:hAnsi="Times New Roman" w:cs="Times New Roman"/>
          <w:bCs w:val="0"/>
          <w:iCs w:val="0"/>
          <w:color w:val="000000" w:themeColor="text1"/>
        </w:rPr>
        <w:t xml:space="preserve">Ex-Ante </w:t>
      </w:r>
      <w:r w:rsidR="001F1158">
        <w:rPr>
          <w:rFonts w:ascii="Times New Roman" w:hAnsi="Times New Roman" w:cs="Times New Roman"/>
          <w:bCs w:val="0"/>
          <w:iCs w:val="0"/>
          <w:color w:val="000000" w:themeColor="text1"/>
        </w:rPr>
        <w:t>Evaluation</w:t>
      </w:r>
      <w:r>
        <w:rPr>
          <w:rFonts w:ascii="Times New Roman" w:hAnsi="Times New Roman" w:cs="Times New Roman"/>
          <w:bCs w:val="0"/>
          <w:iCs w:val="0"/>
          <w:color w:val="000000" w:themeColor="text1"/>
        </w:rPr>
        <w:t xml:space="preserve"> </w:t>
      </w:r>
      <w:r w:rsidR="00920140" w:rsidRPr="006D67B3">
        <w:rPr>
          <w:rFonts w:ascii="Times New Roman" w:hAnsi="Times New Roman" w:cs="Times New Roman"/>
          <w:bCs w:val="0"/>
          <w:iCs w:val="0"/>
          <w:color w:val="000000" w:themeColor="text1"/>
        </w:rPr>
        <w:t>Method</w:t>
      </w:r>
      <w:r>
        <w:rPr>
          <w:rFonts w:ascii="Times New Roman" w:hAnsi="Times New Roman" w:cs="Times New Roman"/>
          <w:bCs w:val="0"/>
          <w:iCs w:val="0"/>
          <w:color w:val="000000" w:themeColor="text1"/>
        </w:rPr>
        <w:t>ology</w:t>
      </w:r>
      <w:bookmarkEnd w:id="214"/>
    </w:p>
    <w:p w:rsidR="00920140" w:rsidRPr="0066146D" w:rsidRDefault="00920140" w:rsidP="00920140">
      <w:pPr>
        <w:spacing w:line="276" w:lineRule="auto"/>
        <w:ind w:firstLine="360"/>
      </w:pPr>
    </w:p>
    <w:p w:rsidR="00920140" w:rsidRDefault="00920140" w:rsidP="00920140">
      <w:pPr>
        <w:spacing w:line="276" w:lineRule="auto"/>
        <w:ind w:firstLine="360"/>
      </w:pPr>
      <w:r w:rsidRPr="00DF2580">
        <w:t>Ex ante</w:t>
      </w:r>
      <w:r>
        <w:t xml:space="preserve"> impacts for the PTR program for four participant segments (Opt-In PTR-Only, PTR Dually Enrolled in Summer Saver, PTR Dually Enrolled in SCTD, and SCTD-Only) were estimated by combining the regression model results from the ex post impacts with two other sources of data.  The first data source was a </w:t>
      </w:r>
      <w:r w:rsidR="002A4145">
        <w:t>1</w:t>
      </w:r>
      <w:r>
        <w:t xml:space="preserve">0-year forecast of enrollment for four separate participant segments.  </w:t>
      </w:r>
      <w:r w:rsidRPr="00536764">
        <w:t xml:space="preserve">The second data source was two separate versions of weather scenarios containing hourly weather for different types of weather years and day types for each month of the year, one from SDG&amp;E and the second from CAISO. </w:t>
      </w:r>
      <w:r>
        <w:t xml:space="preserve"> </w:t>
      </w:r>
      <w:r w:rsidRPr="00536764">
        <w:t>The results presented in this section use the weather conditions based on SDG&amp;E estimates.</w:t>
      </w:r>
    </w:p>
    <w:p w:rsidR="00920140" w:rsidRDefault="00920140" w:rsidP="00920140">
      <w:pPr>
        <w:spacing w:line="276" w:lineRule="auto"/>
        <w:ind w:firstLine="360"/>
      </w:pPr>
    </w:p>
    <w:p w:rsidR="00920140" w:rsidRDefault="00920140" w:rsidP="00920140">
      <w:pPr>
        <w:spacing w:line="276" w:lineRule="auto"/>
        <w:ind w:firstLine="360"/>
      </w:pPr>
      <w:r w:rsidRPr="007E179A">
        <w:t xml:space="preserve">The ex ante estimation process was relatively straightforward, involving two main steps. </w:t>
      </w:r>
      <w:r>
        <w:t xml:space="preserve"> </w:t>
      </w:r>
      <w:r w:rsidRPr="007E179A">
        <w:t>The first step required taking the model parameters from the ex post regression model and combining them with the weather scenarios to calculate per participant average reference loads, observed loads, and load impacts.</w:t>
      </w:r>
      <w:r>
        <w:t xml:space="preserve"> </w:t>
      </w:r>
      <w:r w:rsidRPr="007E179A">
        <w:t xml:space="preserve"> Because the impacts were based on variables that were interacted with temperature variables, they can be applied to the weather data from the various year and day types to generated estimated savings for those scenarios. </w:t>
      </w:r>
      <w:r>
        <w:t xml:space="preserve"> </w:t>
      </w:r>
      <w:r w:rsidRPr="007E179A">
        <w:t xml:space="preserve">The standard errors from the impact variable parameters from the ex post model were used to calculate the uncertainty estimates. </w:t>
      </w:r>
      <w:r>
        <w:t xml:space="preserve"> </w:t>
      </w:r>
      <w:r w:rsidRPr="007E179A">
        <w:t xml:space="preserve">The second step was to combine estimated per-participant impacts for the different weather scenarios and multiply them by the forecast of enrolled participants to generate the total program impacts. </w:t>
      </w:r>
      <w:r>
        <w:t xml:space="preserve"> </w:t>
      </w:r>
      <w:r w:rsidRPr="007E179A">
        <w:t>SDG&amp;E forecasts that the PTR, Summer Saver, and SCTD programs will continue to grow.</w:t>
      </w:r>
      <w:r>
        <w:t xml:space="preserve"> </w:t>
      </w:r>
      <w:r w:rsidRPr="007E179A">
        <w:t xml:space="preserve"> By the end of 2017, the PTR program is expected to grow to over 83,000 participants (including dual enrollments in the other programs), while the SCTD program is expected to grow to over 15,000 participants.</w:t>
      </w:r>
      <w:r>
        <w:t xml:space="preserve"> </w:t>
      </w:r>
      <w:r w:rsidRPr="007E179A">
        <w:t xml:space="preserve"> These projections are then expected to remain constant throughout the remainder of the ex ante forecast period.</w:t>
      </w:r>
    </w:p>
    <w:p w:rsidR="00920140" w:rsidRDefault="00920140" w:rsidP="00920140">
      <w:pPr>
        <w:spacing w:line="276" w:lineRule="auto"/>
        <w:ind w:firstLine="360"/>
      </w:pPr>
    </w:p>
    <w:p w:rsidR="00920140" w:rsidRDefault="00920140" w:rsidP="00920140">
      <w:pPr>
        <w:spacing w:line="276" w:lineRule="auto"/>
        <w:ind w:firstLine="360"/>
      </w:pPr>
      <w:r>
        <w:t xml:space="preserve">While this process was straightforward, there were some nuances to the data that call for additional discussion.  First, the enrollment forecasts were based on total participants by participant segment, whereas the weather scenarios and estimated impacts have more detailed information.  Consequently, the alignment of these data sources called for making certain assumptions about the allocation of program participants.  Total participants from the forecast were allocated to climate zones and, for the SCTD and Summer Saver groups, to the cycling strategies based on the relative shares as of the last event day from 2015.  Additionally, since the weather scenarios were provided by climate zone, an average weather scenario was created using an average where the same participant shares were used as weights.  Note that this weighting was program segment specific.  For example, the overall weather for the SCTD 100% cycling participants was based on the shares by climate zone for that particular group.  The shares used for the allocation of the enrollment forecast are presented in </w:t>
      </w:r>
      <w:r w:rsidR="003E6B6C" w:rsidRPr="00057690">
        <w:rPr>
          <w:sz w:val="22"/>
          <w:szCs w:val="22"/>
        </w:rPr>
        <w:t>Table7-</w:t>
      </w:r>
      <w:r w:rsidR="0024252A">
        <w:rPr>
          <w:sz w:val="22"/>
          <w:szCs w:val="22"/>
        </w:rPr>
        <w:t>4</w:t>
      </w:r>
      <w:r>
        <w:fldChar w:fldCharType="begin"/>
      </w:r>
      <w:r>
        <w:instrText xml:space="preserve"> REF _Ref445986380 \h </w:instrText>
      </w:r>
      <w:r>
        <w:fldChar w:fldCharType="end"/>
      </w:r>
      <w:r>
        <w:t>.</w:t>
      </w:r>
    </w:p>
    <w:p w:rsidR="00920140" w:rsidRDefault="00920140" w:rsidP="00920140">
      <w:pPr>
        <w:pStyle w:val="BodyParagraph"/>
        <w:spacing w:after="0" w:line="276" w:lineRule="auto"/>
        <w:ind w:firstLine="720"/>
        <w:rPr>
          <w:rFonts w:ascii="Times New Roman" w:hAnsi="Times New Roman"/>
          <w:color w:val="FF0000"/>
          <w:sz w:val="24"/>
          <w:szCs w:val="24"/>
        </w:rPr>
      </w:pPr>
    </w:p>
    <w:p w:rsidR="003E6B6C" w:rsidRDefault="003E6B6C">
      <w:pPr>
        <w:rPr>
          <w:b/>
          <w:bCs/>
          <w:sz w:val="22"/>
          <w:szCs w:val="22"/>
        </w:rPr>
      </w:pPr>
      <w:r>
        <w:rPr>
          <w:sz w:val="22"/>
          <w:szCs w:val="22"/>
        </w:rPr>
        <w:br w:type="page"/>
      </w:r>
    </w:p>
    <w:p w:rsidR="00920140" w:rsidRPr="0031709E" w:rsidRDefault="00920140" w:rsidP="00920140">
      <w:pPr>
        <w:pStyle w:val="Caption"/>
        <w:spacing w:after="240"/>
        <w:jc w:val="center"/>
        <w:rPr>
          <w:sz w:val="22"/>
          <w:szCs w:val="22"/>
        </w:rPr>
      </w:pPr>
      <w:r w:rsidRPr="0031709E">
        <w:rPr>
          <w:sz w:val="22"/>
          <w:szCs w:val="22"/>
        </w:rPr>
        <w:lastRenderedPageBreak/>
        <w:t xml:space="preserve">Table </w:t>
      </w:r>
      <w:r w:rsidRPr="0031709E">
        <w:rPr>
          <w:sz w:val="22"/>
          <w:szCs w:val="22"/>
        </w:rPr>
        <w:fldChar w:fldCharType="begin"/>
      </w:r>
      <w:r w:rsidRPr="0031709E">
        <w:rPr>
          <w:sz w:val="22"/>
          <w:szCs w:val="22"/>
        </w:rPr>
        <w:instrText xml:space="preserve"> STYLEREF 1 \s </w:instrText>
      </w:r>
      <w:r w:rsidRPr="0031709E">
        <w:rPr>
          <w:sz w:val="22"/>
          <w:szCs w:val="22"/>
        </w:rPr>
        <w:fldChar w:fldCharType="separate"/>
      </w:r>
      <w:r w:rsidR="008A6A2B">
        <w:rPr>
          <w:noProof/>
          <w:sz w:val="22"/>
          <w:szCs w:val="22"/>
        </w:rPr>
        <w:t>7</w:t>
      </w:r>
      <w:r w:rsidRPr="0031709E">
        <w:rPr>
          <w:noProof/>
          <w:sz w:val="22"/>
          <w:szCs w:val="22"/>
        </w:rPr>
        <w:fldChar w:fldCharType="end"/>
      </w:r>
      <w:r w:rsidRPr="0031709E">
        <w:rPr>
          <w:sz w:val="22"/>
          <w:szCs w:val="22"/>
        </w:rPr>
        <w:noBreakHyphen/>
      </w:r>
      <w:r w:rsidR="0024252A">
        <w:rPr>
          <w:sz w:val="22"/>
          <w:szCs w:val="22"/>
        </w:rPr>
        <w:t>4</w:t>
      </w:r>
      <w:r w:rsidR="003E6B6C">
        <w:rPr>
          <w:sz w:val="22"/>
          <w:szCs w:val="22"/>
        </w:rPr>
        <w:t>:</w:t>
      </w:r>
      <w:r w:rsidRPr="0031709E">
        <w:rPr>
          <w:sz w:val="22"/>
          <w:szCs w:val="22"/>
        </w:rPr>
        <w:t xml:space="preserve"> Shares for Allocation of Enrollment Forecast</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754"/>
        <w:gridCol w:w="1773"/>
        <w:gridCol w:w="1215"/>
        <w:gridCol w:w="1260"/>
        <w:gridCol w:w="1125"/>
      </w:tblGrid>
      <w:tr w:rsidR="00920140" w:rsidTr="00B777EF">
        <w:trPr>
          <w:cantSplit/>
          <w:trHeight w:val="438"/>
          <w:tblHeader/>
          <w:jc w:val="center"/>
        </w:trPr>
        <w:tc>
          <w:tcPr>
            <w:tcW w:w="4527" w:type="dxa"/>
            <w:gridSpan w:val="2"/>
            <w:tcBorders>
              <w:bottom w:val="single" w:sz="12" w:space="0" w:color="000000"/>
              <w:right w:val="single" w:sz="12" w:space="0" w:color="auto"/>
            </w:tcBorders>
            <w:shd w:val="clear" w:color="auto" w:fill="1F497D" w:themeFill="text2"/>
            <w:tcMar>
              <w:left w:w="60" w:type="dxa"/>
              <w:right w:w="60" w:type="dxa"/>
            </w:tcMar>
            <w:vAlign w:val="bottom"/>
          </w:tcPr>
          <w:p w:rsidR="00920140" w:rsidRPr="00DC19B5" w:rsidRDefault="00920140" w:rsidP="00920140">
            <w:pPr>
              <w:keepNext/>
              <w:adjustRightInd w:val="0"/>
              <w:spacing w:before="60" w:after="60"/>
              <w:rPr>
                <w:b/>
                <w:bCs/>
                <w:color w:val="FFFFFF" w:themeColor="background1"/>
                <w:sz w:val="22"/>
                <w:szCs w:val="22"/>
              </w:rPr>
            </w:pPr>
            <w:r w:rsidRPr="00DC19B5">
              <w:rPr>
                <w:b/>
                <w:bCs/>
                <w:color w:val="FFFFFF" w:themeColor="background1"/>
                <w:sz w:val="22"/>
                <w:szCs w:val="22"/>
              </w:rPr>
              <w:t>Participant Segment</w:t>
            </w:r>
          </w:p>
        </w:tc>
        <w:tc>
          <w:tcPr>
            <w:tcW w:w="1215" w:type="dxa"/>
            <w:tcBorders>
              <w:left w:val="single" w:sz="12" w:space="0" w:color="auto"/>
              <w:bottom w:val="single" w:sz="12" w:space="0" w:color="000000"/>
            </w:tcBorders>
            <w:shd w:val="clear" w:color="auto" w:fill="1F497D" w:themeFill="text2"/>
            <w:tcMar>
              <w:left w:w="60" w:type="dxa"/>
              <w:right w:w="60" w:type="dxa"/>
            </w:tcMar>
            <w:vAlign w:val="bottom"/>
          </w:tcPr>
          <w:p w:rsidR="00920140" w:rsidRPr="00DC19B5" w:rsidRDefault="00920140" w:rsidP="00920140">
            <w:pPr>
              <w:keepNext/>
              <w:adjustRightInd w:val="0"/>
              <w:spacing w:before="60" w:after="60"/>
              <w:jc w:val="center"/>
              <w:rPr>
                <w:b/>
                <w:bCs/>
                <w:color w:val="FFFFFF" w:themeColor="background1"/>
                <w:sz w:val="22"/>
                <w:szCs w:val="22"/>
              </w:rPr>
            </w:pPr>
            <w:r w:rsidRPr="00DC19B5">
              <w:rPr>
                <w:b/>
                <w:bCs/>
                <w:color w:val="FFFFFF" w:themeColor="background1"/>
                <w:sz w:val="22"/>
                <w:szCs w:val="22"/>
              </w:rPr>
              <w:t>Coastal</w:t>
            </w:r>
          </w:p>
        </w:tc>
        <w:tc>
          <w:tcPr>
            <w:tcW w:w="1260" w:type="dxa"/>
            <w:tcBorders>
              <w:bottom w:val="single" w:sz="12" w:space="0" w:color="000000"/>
            </w:tcBorders>
            <w:shd w:val="clear" w:color="auto" w:fill="1F497D" w:themeFill="text2"/>
            <w:tcMar>
              <w:left w:w="60" w:type="dxa"/>
              <w:right w:w="60" w:type="dxa"/>
            </w:tcMar>
            <w:vAlign w:val="bottom"/>
          </w:tcPr>
          <w:p w:rsidR="00920140" w:rsidRPr="00DC19B5" w:rsidRDefault="00920140" w:rsidP="00920140">
            <w:pPr>
              <w:keepNext/>
              <w:adjustRightInd w:val="0"/>
              <w:spacing w:before="60" w:after="60"/>
              <w:jc w:val="center"/>
              <w:rPr>
                <w:b/>
                <w:bCs/>
                <w:color w:val="FFFFFF" w:themeColor="background1"/>
                <w:sz w:val="22"/>
                <w:szCs w:val="22"/>
              </w:rPr>
            </w:pPr>
            <w:r w:rsidRPr="00DC19B5">
              <w:rPr>
                <w:b/>
                <w:bCs/>
                <w:color w:val="FFFFFF" w:themeColor="background1"/>
                <w:sz w:val="22"/>
                <w:szCs w:val="22"/>
              </w:rPr>
              <w:t>Inland</w:t>
            </w:r>
          </w:p>
        </w:tc>
        <w:tc>
          <w:tcPr>
            <w:tcW w:w="1125" w:type="dxa"/>
            <w:tcBorders>
              <w:bottom w:val="single" w:sz="12" w:space="0" w:color="000000"/>
            </w:tcBorders>
            <w:shd w:val="clear" w:color="auto" w:fill="1F497D" w:themeFill="text2"/>
            <w:tcMar>
              <w:left w:w="60" w:type="dxa"/>
              <w:right w:w="60" w:type="dxa"/>
            </w:tcMar>
            <w:vAlign w:val="bottom"/>
          </w:tcPr>
          <w:p w:rsidR="00920140" w:rsidRPr="00DC19B5" w:rsidRDefault="00920140" w:rsidP="00920140">
            <w:pPr>
              <w:keepNext/>
              <w:adjustRightInd w:val="0"/>
              <w:spacing w:before="60" w:after="60"/>
              <w:jc w:val="center"/>
              <w:rPr>
                <w:b/>
                <w:bCs/>
                <w:color w:val="FFFFFF" w:themeColor="background1"/>
                <w:sz w:val="22"/>
                <w:szCs w:val="22"/>
              </w:rPr>
            </w:pPr>
            <w:r w:rsidRPr="00DC19B5">
              <w:rPr>
                <w:b/>
                <w:bCs/>
                <w:color w:val="FFFFFF" w:themeColor="background1"/>
                <w:sz w:val="22"/>
                <w:szCs w:val="22"/>
              </w:rPr>
              <w:t>All</w:t>
            </w:r>
          </w:p>
        </w:tc>
      </w:tr>
      <w:tr w:rsidR="00920140" w:rsidTr="00B777EF">
        <w:trPr>
          <w:cantSplit/>
          <w:trHeight w:val="330"/>
          <w:jc w:val="center"/>
        </w:trPr>
        <w:tc>
          <w:tcPr>
            <w:tcW w:w="2754" w:type="dxa"/>
            <w:tcBorders>
              <w:top w:val="single" w:sz="12" w:space="0" w:color="000000"/>
              <w:left w:val="single" w:sz="12" w:space="0" w:color="000000"/>
              <w:bottom w:val="single" w:sz="12" w:space="0" w:color="auto"/>
            </w:tcBorders>
            <w:shd w:val="clear" w:color="auto" w:fill="auto"/>
            <w:tcMar>
              <w:left w:w="60" w:type="dxa"/>
              <w:right w:w="60" w:type="dxa"/>
            </w:tcMar>
            <w:vAlign w:val="center"/>
          </w:tcPr>
          <w:p w:rsidR="00920140" w:rsidRPr="00005304" w:rsidRDefault="00920140" w:rsidP="00920140">
            <w:pPr>
              <w:adjustRightInd w:val="0"/>
              <w:spacing w:before="60" w:after="60"/>
              <w:rPr>
                <w:b/>
                <w:bCs/>
                <w:color w:val="000000"/>
                <w:sz w:val="20"/>
                <w:szCs w:val="20"/>
              </w:rPr>
            </w:pPr>
            <w:r w:rsidRPr="00005304">
              <w:rPr>
                <w:b/>
                <w:bCs/>
                <w:color w:val="000000"/>
                <w:sz w:val="20"/>
                <w:szCs w:val="20"/>
              </w:rPr>
              <w:t>PTR</w:t>
            </w:r>
            <w:r>
              <w:rPr>
                <w:b/>
                <w:bCs/>
                <w:color w:val="000000"/>
                <w:sz w:val="20"/>
                <w:szCs w:val="20"/>
              </w:rPr>
              <w:t>-</w:t>
            </w:r>
            <w:r w:rsidRPr="00005304">
              <w:rPr>
                <w:b/>
                <w:bCs/>
                <w:color w:val="000000"/>
                <w:sz w:val="20"/>
                <w:szCs w:val="20"/>
              </w:rPr>
              <w:t>Only</w:t>
            </w:r>
          </w:p>
        </w:tc>
        <w:tc>
          <w:tcPr>
            <w:tcW w:w="1773" w:type="dxa"/>
            <w:tcBorders>
              <w:top w:val="single" w:sz="12" w:space="0" w:color="000000"/>
              <w:bottom w:val="single" w:sz="12" w:space="0" w:color="auto"/>
              <w:right w:val="single" w:sz="12" w:space="0" w:color="auto"/>
            </w:tcBorders>
            <w:shd w:val="clear" w:color="auto" w:fill="auto"/>
            <w:tcMar>
              <w:left w:w="60" w:type="dxa"/>
              <w:right w:w="60" w:type="dxa"/>
            </w:tcMar>
            <w:vAlign w:val="center"/>
          </w:tcPr>
          <w:p w:rsidR="00920140" w:rsidRPr="00005304" w:rsidRDefault="00920140" w:rsidP="00920140">
            <w:pPr>
              <w:adjustRightInd w:val="0"/>
              <w:spacing w:before="60" w:after="60"/>
              <w:rPr>
                <w:b/>
                <w:bCs/>
                <w:color w:val="000000"/>
                <w:sz w:val="20"/>
                <w:szCs w:val="20"/>
              </w:rPr>
            </w:pPr>
            <w:r w:rsidRPr="00005304">
              <w:rPr>
                <w:b/>
                <w:bCs/>
                <w:color w:val="000000"/>
                <w:sz w:val="20"/>
                <w:szCs w:val="20"/>
              </w:rPr>
              <w:t>All</w:t>
            </w:r>
          </w:p>
        </w:tc>
        <w:tc>
          <w:tcPr>
            <w:tcW w:w="1215" w:type="dxa"/>
            <w:tcBorders>
              <w:top w:val="single" w:sz="12" w:space="0" w:color="000000"/>
              <w:left w:val="single" w:sz="12" w:space="0" w:color="auto"/>
              <w:bottom w:val="single" w:sz="12" w:space="0" w:color="auto"/>
            </w:tcBorders>
            <w:shd w:val="clear" w:color="auto" w:fill="auto"/>
            <w:tcMar>
              <w:left w:w="60" w:type="dxa"/>
              <w:right w:w="60" w:type="dxa"/>
            </w:tcMar>
            <w:vAlign w:val="center"/>
          </w:tcPr>
          <w:p w:rsidR="00920140" w:rsidRPr="00711A1A" w:rsidRDefault="00920140" w:rsidP="00920140">
            <w:pPr>
              <w:adjustRightInd w:val="0"/>
              <w:spacing w:before="60" w:after="60"/>
              <w:jc w:val="center"/>
              <w:rPr>
                <w:color w:val="000000"/>
                <w:sz w:val="20"/>
              </w:rPr>
            </w:pPr>
            <w:r>
              <w:rPr>
                <w:color w:val="000000"/>
                <w:sz w:val="20"/>
              </w:rPr>
              <w:t>54</w:t>
            </w:r>
            <w:r w:rsidRPr="00711A1A">
              <w:rPr>
                <w:color w:val="000000"/>
                <w:sz w:val="20"/>
              </w:rPr>
              <w:t>%</w:t>
            </w:r>
          </w:p>
        </w:tc>
        <w:tc>
          <w:tcPr>
            <w:tcW w:w="1260" w:type="dxa"/>
            <w:tcBorders>
              <w:top w:val="single" w:sz="12" w:space="0" w:color="000000"/>
              <w:bottom w:val="single" w:sz="12" w:space="0" w:color="auto"/>
            </w:tcBorders>
            <w:shd w:val="clear" w:color="auto" w:fill="auto"/>
            <w:tcMar>
              <w:left w:w="60" w:type="dxa"/>
              <w:right w:w="60" w:type="dxa"/>
            </w:tcMar>
            <w:vAlign w:val="center"/>
          </w:tcPr>
          <w:p w:rsidR="00920140" w:rsidRPr="00711A1A" w:rsidRDefault="00920140" w:rsidP="00920140">
            <w:pPr>
              <w:adjustRightInd w:val="0"/>
              <w:spacing w:before="60" w:after="60"/>
              <w:jc w:val="center"/>
              <w:rPr>
                <w:color w:val="000000"/>
                <w:sz w:val="20"/>
              </w:rPr>
            </w:pPr>
            <w:r>
              <w:rPr>
                <w:color w:val="000000"/>
                <w:sz w:val="20"/>
              </w:rPr>
              <w:t>46</w:t>
            </w:r>
            <w:r w:rsidRPr="00711A1A">
              <w:rPr>
                <w:color w:val="000000"/>
                <w:sz w:val="20"/>
              </w:rPr>
              <w:t>%</w:t>
            </w:r>
          </w:p>
        </w:tc>
        <w:tc>
          <w:tcPr>
            <w:tcW w:w="1125" w:type="dxa"/>
            <w:tcBorders>
              <w:top w:val="single" w:sz="12" w:space="0" w:color="000000"/>
              <w:bottom w:val="single" w:sz="12" w:space="0" w:color="auto"/>
              <w:right w:val="single" w:sz="12" w:space="0" w:color="000000"/>
            </w:tcBorders>
            <w:shd w:val="clear" w:color="auto" w:fill="auto"/>
            <w:tcMar>
              <w:left w:w="60" w:type="dxa"/>
              <w:right w:w="60" w:type="dxa"/>
            </w:tcMar>
            <w:vAlign w:val="center"/>
          </w:tcPr>
          <w:p w:rsidR="00920140" w:rsidRPr="00711A1A" w:rsidRDefault="00920140" w:rsidP="00920140">
            <w:pPr>
              <w:adjustRightInd w:val="0"/>
              <w:spacing w:before="60" w:after="60"/>
              <w:jc w:val="center"/>
              <w:rPr>
                <w:color w:val="000000"/>
                <w:sz w:val="20"/>
              </w:rPr>
            </w:pPr>
            <w:r>
              <w:rPr>
                <w:color w:val="000000"/>
                <w:sz w:val="20"/>
              </w:rPr>
              <w:t>100</w:t>
            </w:r>
            <w:r w:rsidRPr="00711A1A">
              <w:rPr>
                <w:color w:val="000000"/>
                <w:sz w:val="20"/>
              </w:rPr>
              <w:t>%</w:t>
            </w:r>
          </w:p>
        </w:tc>
      </w:tr>
      <w:tr w:rsidR="00920140" w:rsidTr="00B777EF">
        <w:trPr>
          <w:cantSplit/>
          <w:trHeight w:val="318"/>
          <w:jc w:val="center"/>
        </w:trPr>
        <w:tc>
          <w:tcPr>
            <w:tcW w:w="2754" w:type="dxa"/>
            <w:vMerge w:val="restart"/>
            <w:tcBorders>
              <w:top w:val="single" w:sz="12" w:space="0" w:color="auto"/>
              <w:left w:val="single" w:sz="12" w:space="0" w:color="000000"/>
              <w:bottom w:val="single" w:sz="6" w:space="0" w:color="000000"/>
            </w:tcBorders>
            <w:shd w:val="clear" w:color="auto" w:fill="auto"/>
            <w:tcMar>
              <w:left w:w="60" w:type="dxa"/>
              <w:right w:w="60" w:type="dxa"/>
            </w:tcMar>
            <w:vAlign w:val="center"/>
          </w:tcPr>
          <w:p w:rsidR="00920140" w:rsidRPr="00005304" w:rsidRDefault="00920140" w:rsidP="00920140">
            <w:pPr>
              <w:keepNext/>
              <w:adjustRightInd w:val="0"/>
              <w:spacing w:before="60" w:after="60"/>
              <w:rPr>
                <w:b/>
                <w:bCs/>
                <w:color w:val="000000"/>
                <w:sz w:val="20"/>
                <w:szCs w:val="20"/>
              </w:rPr>
            </w:pPr>
            <w:r w:rsidRPr="00005304">
              <w:rPr>
                <w:b/>
                <w:bCs/>
                <w:color w:val="000000"/>
                <w:sz w:val="20"/>
                <w:szCs w:val="20"/>
              </w:rPr>
              <w:t>PTR Dually Enrolled in Summer Saver</w:t>
            </w:r>
          </w:p>
        </w:tc>
        <w:tc>
          <w:tcPr>
            <w:tcW w:w="1773" w:type="dxa"/>
            <w:tcBorders>
              <w:top w:val="single" w:sz="12" w:space="0" w:color="auto"/>
              <w:bottom w:val="single" w:sz="6" w:space="0" w:color="000000"/>
              <w:right w:val="single" w:sz="12" w:space="0" w:color="auto"/>
            </w:tcBorders>
            <w:shd w:val="clear" w:color="auto" w:fill="auto"/>
            <w:tcMar>
              <w:left w:w="60" w:type="dxa"/>
              <w:right w:w="60" w:type="dxa"/>
            </w:tcMar>
            <w:vAlign w:val="center"/>
          </w:tcPr>
          <w:p w:rsidR="00920140" w:rsidRPr="00005304" w:rsidRDefault="00920140" w:rsidP="00920140">
            <w:pPr>
              <w:keepNext/>
              <w:adjustRightInd w:val="0"/>
              <w:spacing w:before="60" w:after="60"/>
              <w:rPr>
                <w:b/>
                <w:bCs/>
                <w:color w:val="000000"/>
                <w:sz w:val="20"/>
                <w:szCs w:val="20"/>
              </w:rPr>
            </w:pPr>
            <w:r w:rsidRPr="00005304">
              <w:rPr>
                <w:b/>
                <w:bCs/>
                <w:color w:val="000000"/>
                <w:sz w:val="20"/>
                <w:szCs w:val="20"/>
              </w:rPr>
              <w:t>100% Cycle</w:t>
            </w:r>
          </w:p>
        </w:tc>
        <w:tc>
          <w:tcPr>
            <w:tcW w:w="1215" w:type="dxa"/>
            <w:tcBorders>
              <w:top w:val="single" w:sz="12" w:space="0" w:color="auto"/>
              <w:left w:val="single" w:sz="12" w:space="0" w:color="auto"/>
              <w:bottom w:val="single" w:sz="6" w:space="0" w:color="000000"/>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Pr>
                <w:color w:val="000000"/>
                <w:sz w:val="20"/>
              </w:rPr>
              <w:t>18</w:t>
            </w:r>
            <w:r w:rsidRPr="00D507AE">
              <w:rPr>
                <w:color w:val="000000"/>
                <w:sz w:val="20"/>
              </w:rPr>
              <w:t>%</w:t>
            </w:r>
          </w:p>
        </w:tc>
        <w:tc>
          <w:tcPr>
            <w:tcW w:w="1260" w:type="dxa"/>
            <w:tcBorders>
              <w:top w:val="single" w:sz="12" w:space="0" w:color="auto"/>
              <w:bottom w:val="single" w:sz="6" w:space="0" w:color="000000"/>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sidRPr="00D507AE">
              <w:rPr>
                <w:color w:val="000000"/>
                <w:sz w:val="20"/>
              </w:rPr>
              <w:t>46%</w:t>
            </w:r>
          </w:p>
        </w:tc>
        <w:tc>
          <w:tcPr>
            <w:tcW w:w="1125" w:type="dxa"/>
            <w:tcBorders>
              <w:top w:val="single" w:sz="12" w:space="0" w:color="auto"/>
              <w:bottom w:val="single" w:sz="6" w:space="0" w:color="000000"/>
              <w:right w:val="single" w:sz="12" w:space="0" w:color="000000"/>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Pr>
                <w:color w:val="000000"/>
                <w:sz w:val="20"/>
              </w:rPr>
              <w:t>64</w:t>
            </w:r>
            <w:r w:rsidRPr="00D507AE">
              <w:rPr>
                <w:color w:val="000000"/>
                <w:sz w:val="20"/>
              </w:rPr>
              <w:t>%</w:t>
            </w:r>
          </w:p>
        </w:tc>
      </w:tr>
      <w:tr w:rsidR="00920140" w:rsidTr="00B777EF">
        <w:trPr>
          <w:cantSplit/>
          <w:trHeight w:val="134"/>
          <w:jc w:val="center"/>
        </w:trPr>
        <w:tc>
          <w:tcPr>
            <w:tcW w:w="2754" w:type="dxa"/>
            <w:vMerge/>
            <w:tcBorders>
              <w:top w:val="single" w:sz="6" w:space="0" w:color="000000"/>
              <w:left w:val="single" w:sz="12" w:space="0" w:color="000000"/>
              <w:bottom w:val="single" w:sz="6" w:space="0" w:color="000000"/>
            </w:tcBorders>
            <w:shd w:val="clear" w:color="auto" w:fill="auto"/>
            <w:tcMar>
              <w:left w:w="60" w:type="dxa"/>
              <w:right w:w="60" w:type="dxa"/>
            </w:tcMar>
            <w:vAlign w:val="center"/>
          </w:tcPr>
          <w:p w:rsidR="00920140" w:rsidRPr="00005304" w:rsidRDefault="00920140" w:rsidP="00920140">
            <w:pPr>
              <w:keepNext/>
              <w:adjustRightInd w:val="0"/>
              <w:rPr>
                <w:sz w:val="20"/>
                <w:szCs w:val="20"/>
              </w:rPr>
            </w:pPr>
          </w:p>
        </w:tc>
        <w:tc>
          <w:tcPr>
            <w:tcW w:w="1773" w:type="dxa"/>
            <w:tcBorders>
              <w:top w:val="single" w:sz="6" w:space="0" w:color="000000"/>
              <w:bottom w:val="single" w:sz="6" w:space="0" w:color="000000"/>
              <w:right w:val="single" w:sz="12" w:space="0" w:color="auto"/>
            </w:tcBorders>
            <w:shd w:val="clear" w:color="auto" w:fill="auto"/>
            <w:tcMar>
              <w:left w:w="60" w:type="dxa"/>
              <w:right w:w="60" w:type="dxa"/>
            </w:tcMar>
            <w:vAlign w:val="center"/>
          </w:tcPr>
          <w:p w:rsidR="00920140" w:rsidRPr="00005304" w:rsidRDefault="00920140" w:rsidP="00920140">
            <w:pPr>
              <w:keepNext/>
              <w:adjustRightInd w:val="0"/>
              <w:spacing w:before="60" w:after="60"/>
              <w:rPr>
                <w:b/>
                <w:bCs/>
                <w:color w:val="000000"/>
                <w:sz w:val="20"/>
                <w:szCs w:val="20"/>
              </w:rPr>
            </w:pPr>
            <w:r w:rsidRPr="00005304">
              <w:rPr>
                <w:b/>
                <w:bCs/>
                <w:color w:val="000000"/>
                <w:sz w:val="20"/>
                <w:szCs w:val="20"/>
              </w:rPr>
              <w:t>50% Cycle</w:t>
            </w:r>
          </w:p>
        </w:tc>
        <w:tc>
          <w:tcPr>
            <w:tcW w:w="1215" w:type="dxa"/>
            <w:tcBorders>
              <w:top w:val="single" w:sz="6" w:space="0" w:color="000000"/>
              <w:left w:val="single" w:sz="12" w:space="0" w:color="auto"/>
              <w:bottom w:val="single" w:sz="6" w:space="0" w:color="000000"/>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Pr>
                <w:color w:val="000000"/>
                <w:sz w:val="20"/>
              </w:rPr>
              <w:t>5</w:t>
            </w:r>
            <w:r w:rsidRPr="00D507AE">
              <w:rPr>
                <w:color w:val="000000"/>
                <w:sz w:val="20"/>
              </w:rPr>
              <w:t>%</w:t>
            </w:r>
          </w:p>
        </w:tc>
        <w:tc>
          <w:tcPr>
            <w:tcW w:w="1260" w:type="dxa"/>
            <w:tcBorders>
              <w:top w:val="single" w:sz="6" w:space="0" w:color="000000"/>
              <w:bottom w:val="single" w:sz="6" w:space="0" w:color="000000"/>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sidRPr="00D507AE">
              <w:rPr>
                <w:color w:val="000000"/>
                <w:sz w:val="20"/>
              </w:rPr>
              <w:t>31%</w:t>
            </w:r>
          </w:p>
        </w:tc>
        <w:tc>
          <w:tcPr>
            <w:tcW w:w="1125" w:type="dxa"/>
            <w:tcBorders>
              <w:top w:val="single" w:sz="6" w:space="0" w:color="000000"/>
              <w:bottom w:val="single" w:sz="6" w:space="0" w:color="000000"/>
              <w:right w:val="single" w:sz="12" w:space="0" w:color="000000"/>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sidRPr="00D507AE">
              <w:rPr>
                <w:color w:val="000000"/>
                <w:sz w:val="20"/>
              </w:rPr>
              <w:t>36%</w:t>
            </w:r>
          </w:p>
        </w:tc>
      </w:tr>
      <w:tr w:rsidR="00920140" w:rsidTr="00B777EF">
        <w:trPr>
          <w:cantSplit/>
          <w:trHeight w:val="134"/>
          <w:jc w:val="center"/>
        </w:trPr>
        <w:tc>
          <w:tcPr>
            <w:tcW w:w="2754" w:type="dxa"/>
            <w:vMerge/>
            <w:tcBorders>
              <w:top w:val="single" w:sz="6" w:space="0" w:color="000000"/>
              <w:left w:val="single" w:sz="12" w:space="0" w:color="000000"/>
              <w:bottom w:val="single" w:sz="12" w:space="0" w:color="auto"/>
            </w:tcBorders>
            <w:shd w:val="clear" w:color="auto" w:fill="auto"/>
            <w:tcMar>
              <w:left w:w="60" w:type="dxa"/>
              <w:right w:w="60" w:type="dxa"/>
            </w:tcMar>
            <w:vAlign w:val="center"/>
          </w:tcPr>
          <w:p w:rsidR="00920140" w:rsidRPr="00005304" w:rsidRDefault="00920140" w:rsidP="00920140">
            <w:pPr>
              <w:adjustRightInd w:val="0"/>
              <w:rPr>
                <w:sz w:val="20"/>
                <w:szCs w:val="20"/>
              </w:rPr>
            </w:pPr>
          </w:p>
        </w:tc>
        <w:tc>
          <w:tcPr>
            <w:tcW w:w="1773" w:type="dxa"/>
            <w:tcBorders>
              <w:top w:val="single" w:sz="6" w:space="0" w:color="000000"/>
              <w:bottom w:val="single" w:sz="12" w:space="0" w:color="auto"/>
              <w:right w:val="single" w:sz="12" w:space="0" w:color="auto"/>
            </w:tcBorders>
            <w:shd w:val="clear" w:color="auto" w:fill="auto"/>
            <w:tcMar>
              <w:left w:w="60" w:type="dxa"/>
              <w:right w:w="60" w:type="dxa"/>
            </w:tcMar>
            <w:vAlign w:val="center"/>
          </w:tcPr>
          <w:p w:rsidR="00920140" w:rsidRPr="00005304" w:rsidRDefault="00920140" w:rsidP="00920140">
            <w:pPr>
              <w:adjustRightInd w:val="0"/>
              <w:spacing w:before="60" w:after="60"/>
              <w:rPr>
                <w:b/>
                <w:bCs/>
                <w:color w:val="000000"/>
                <w:sz w:val="20"/>
                <w:szCs w:val="20"/>
              </w:rPr>
            </w:pPr>
            <w:r w:rsidRPr="00005304">
              <w:rPr>
                <w:b/>
                <w:bCs/>
                <w:color w:val="000000"/>
                <w:sz w:val="20"/>
                <w:szCs w:val="20"/>
              </w:rPr>
              <w:t>All</w:t>
            </w:r>
          </w:p>
        </w:tc>
        <w:tc>
          <w:tcPr>
            <w:tcW w:w="1215" w:type="dxa"/>
            <w:tcBorders>
              <w:top w:val="single" w:sz="6" w:space="0" w:color="000000"/>
              <w:left w:val="single" w:sz="12" w:space="0" w:color="auto"/>
              <w:bottom w:val="single" w:sz="12" w:space="0" w:color="auto"/>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Pr>
                <w:color w:val="000000"/>
                <w:sz w:val="20"/>
              </w:rPr>
              <w:t>23</w:t>
            </w:r>
            <w:r w:rsidRPr="00D507AE">
              <w:rPr>
                <w:color w:val="000000"/>
                <w:sz w:val="20"/>
              </w:rPr>
              <w:t>%</w:t>
            </w:r>
          </w:p>
        </w:tc>
        <w:tc>
          <w:tcPr>
            <w:tcW w:w="1260" w:type="dxa"/>
            <w:tcBorders>
              <w:top w:val="single" w:sz="6" w:space="0" w:color="000000"/>
              <w:bottom w:val="single" w:sz="12" w:space="0" w:color="auto"/>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sidRPr="00D507AE">
              <w:rPr>
                <w:color w:val="000000"/>
                <w:sz w:val="20"/>
              </w:rPr>
              <w:t>77%</w:t>
            </w:r>
          </w:p>
        </w:tc>
        <w:tc>
          <w:tcPr>
            <w:tcW w:w="1125" w:type="dxa"/>
            <w:tcBorders>
              <w:top w:val="single" w:sz="6" w:space="0" w:color="000000"/>
              <w:bottom w:val="single" w:sz="12" w:space="0" w:color="auto"/>
              <w:right w:val="single" w:sz="12" w:space="0" w:color="000000"/>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Pr>
                <w:color w:val="000000"/>
                <w:sz w:val="20"/>
              </w:rPr>
              <w:t>100</w:t>
            </w:r>
            <w:r w:rsidRPr="00D507AE">
              <w:rPr>
                <w:color w:val="000000"/>
                <w:sz w:val="20"/>
              </w:rPr>
              <w:t>%</w:t>
            </w:r>
          </w:p>
        </w:tc>
      </w:tr>
      <w:tr w:rsidR="00920140" w:rsidTr="00B777EF">
        <w:trPr>
          <w:cantSplit/>
          <w:trHeight w:val="406"/>
          <w:jc w:val="center"/>
        </w:trPr>
        <w:tc>
          <w:tcPr>
            <w:tcW w:w="2754" w:type="dxa"/>
            <w:vMerge w:val="restart"/>
            <w:tcBorders>
              <w:top w:val="single" w:sz="12" w:space="0" w:color="auto"/>
              <w:left w:val="single" w:sz="12" w:space="0" w:color="000000"/>
              <w:bottom w:val="single" w:sz="6" w:space="0" w:color="000000"/>
            </w:tcBorders>
            <w:shd w:val="clear" w:color="auto" w:fill="auto"/>
            <w:tcMar>
              <w:left w:w="60" w:type="dxa"/>
              <w:right w:w="60" w:type="dxa"/>
            </w:tcMar>
            <w:vAlign w:val="center"/>
          </w:tcPr>
          <w:p w:rsidR="00920140" w:rsidRPr="00005304" w:rsidRDefault="00920140" w:rsidP="00920140">
            <w:pPr>
              <w:keepNext/>
              <w:adjustRightInd w:val="0"/>
              <w:spacing w:before="60" w:after="60"/>
              <w:rPr>
                <w:b/>
                <w:bCs/>
                <w:color w:val="000000"/>
                <w:sz w:val="20"/>
                <w:szCs w:val="20"/>
              </w:rPr>
            </w:pPr>
            <w:r w:rsidRPr="00005304">
              <w:rPr>
                <w:b/>
                <w:bCs/>
                <w:color w:val="000000"/>
                <w:sz w:val="20"/>
                <w:szCs w:val="20"/>
              </w:rPr>
              <w:t>PTR Dually Enrolled in SCTD</w:t>
            </w:r>
          </w:p>
        </w:tc>
        <w:tc>
          <w:tcPr>
            <w:tcW w:w="1773" w:type="dxa"/>
            <w:tcBorders>
              <w:top w:val="single" w:sz="12" w:space="0" w:color="auto"/>
              <w:bottom w:val="single" w:sz="6" w:space="0" w:color="000000"/>
              <w:right w:val="single" w:sz="12" w:space="0" w:color="auto"/>
            </w:tcBorders>
            <w:shd w:val="clear" w:color="auto" w:fill="auto"/>
            <w:tcMar>
              <w:left w:w="60" w:type="dxa"/>
              <w:right w:w="60" w:type="dxa"/>
            </w:tcMar>
            <w:vAlign w:val="center"/>
          </w:tcPr>
          <w:p w:rsidR="00920140" w:rsidRPr="00005304" w:rsidRDefault="00920140" w:rsidP="00920140">
            <w:pPr>
              <w:keepNext/>
              <w:adjustRightInd w:val="0"/>
              <w:spacing w:before="60" w:after="60"/>
              <w:rPr>
                <w:b/>
                <w:bCs/>
                <w:color w:val="000000"/>
                <w:sz w:val="20"/>
                <w:szCs w:val="20"/>
              </w:rPr>
            </w:pPr>
            <w:r w:rsidRPr="00005304">
              <w:rPr>
                <w:b/>
                <w:bCs/>
                <w:color w:val="000000"/>
                <w:sz w:val="20"/>
                <w:szCs w:val="20"/>
              </w:rPr>
              <w:t>4 Degree Setback</w:t>
            </w:r>
          </w:p>
        </w:tc>
        <w:tc>
          <w:tcPr>
            <w:tcW w:w="1215" w:type="dxa"/>
            <w:tcBorders>
              <w:top w:val="single" w:sz="12" w:space="0" w:color="auto"/>
              <w:left w:val="single" w:sz="12" w:space="0" w:color="auto"/>
              <w:bottom w:val="single" w:sz="6" w:space="0" w:color="000000"/>
            </w:tcBorders>
            <w:shd w:val="clear" w:color="auto" w:fill="auto"/>
            <w:tcMar>
              <w:left w:w="60" w:type="dxa"/>
              <w:right w:w="60" w:type="dxa"/>
            </w:tcMar>
            <w:vAlign w:val="center"/>
          </w:tcPr>
          <w:p w:rsidR="00920140" w:rsidRPr="00D579BB" w:rsidRDefault="00920140" w:rsidP="00920140">
            <w:pPr>
              <w:keepNext/>
              <w:adjustRightInd w:val="0"/>
              <w:spacing w:before="60" w:after="60"/>
              <w:jc w:val="center"/>
              <w:rPr>
                <w:color w:val="000000"/>
                <w:sz w:val="20"/>
              </w:rPr>
            </w:pPr>
            <w:r>
              <w:rPr>
                <w:color w:val="000000"/>
                <w:sz w:val="20"/>
              </w:rPr>
              <w:t>22</w:t>
            </w:r>
            <w:r w:rsidRPr="00D579BB">
              <w:rPr>
                <w:color w:val="000000"/>
                <w:sz w:val="20"/>
              </w:rPr>
              <w:t>%</w:t>
            </w:r>
          </w:p>
        </w:tc>
        <w:tc>
          <w:tcPr>
            <w:tcW w:w="1260" w:type="dxa"/>
            <w:tcBorders>
              <w:top w:val="single" w:sz="12" w:space="0" w:color="auto"/>
              <w:bottom w:val="single" w:sz="6" w:space="0" w:color="000000"/>
            </w:tcBorders>
            <w:shd w:val="clear" w:color="auto" w:fill="auto"/>
            <w:tcMar>
              <w:left w:w="60" w:type="dxa"/>
              <w:right w:w="60" w:type="dxa"/>
            </w:tcMar>
            <w:vAlign w:val="center"/>
          </w:tcPr>
          <w:p w:rsidR="00920140" w:rsidRPr="00D579BB" w:rsidRDefault="00920140" w:rsidP="00920140">
            <w:pPr>
              <w:keepNext/>
              <w:adjustRightInd w:val="0"/>
              <w:spacing w:before="60" w:after="60"/>
              <w:jc w:val="center"/>
              <w:rPr>
                <w:color w:val="000000"/>
                <w:sz w:val="20"/>
              </w:rPr>
            </w:pPr>
            <w:r w:rsidRPr="00D579BB">
              <w:rPr>
                <w:color w:val="000000"/>
                <w:sz w:val="20"/>
              </w:rPr>
              <w:t>33%</w:t>
            </w:r>
          </w:p>
        </w:tc>
        <w:tc>
          <w:tcPr>
            <w:tcW w:w="1125" w:type="dxa"/>
            <w:tcBorders>
              <w:top w:val="single" w:sz="12" w:space="0" w:color="auto"/>
              <w:bottom w:val="single" w:sz="6" w:space="0" w:color="000000"/>
              <w:right w:val="single" w:sz="12" w:space="0" w:color="000000"/>
            </w:tcBorders>
            <w:shd w:val="clear" w:color="auto" w:fill="auto"/>
            <w:tcMar>
              <w:left w:w="60" w:type="dxa"/>
              <w:right w:w="60" w:type="dxa"/>
            </w:tcMar>
            <w:vAlign w:val="center"/>
          </w:tcPr>
          <w:p w:rsidR="00920140" w:rsidRPr="00D579BB" w:rsidRDefault="00920140" w:rsidP="00920140">
            <w:pPr>
              <w:keepNext/>
              <w:adjustRightInd w:val="0"/>
              <w:spacing w:before="60" w:after="60"/>
              <w:jc w:val="center"/>
              <w:rPr>
                <w:color w:val="000000"/>
                <w:sz w:val="20"/>
              </w:rPr>
            </w:pPr>
            <w:r>
              <w:rPr>
                <w:color w:val="000000"/>
                <w:sz w:val="20"/>
              </w:rPr>
              <w:t>55</w:t>
            </w:r>
            <w:r w:rsidRPr="00D579BB">
              <w:rPr>
                <w:color w:val="000000"/>
                <w:sz w:val="20"/>
              </w:rPr>
              <w:t>%</w:t>
            </w:r>
          </w:p>
        </w:tc>
      </w:tr>
      <w:tr w:rsidR="00920140" w:rsidTr="00B777EF">
        <w:trPr>
          <w:cantSplit/>
          <w:trHeight w:val="134"/>
          <w:jc w:val="center"/>
        </w:trPr>
        <w:tc>
          <w:tcPr>
            <w:tcW w:w="2754" w:type="dxa"/>
            <w:vMerge/>
            <w:tcBorders>
              <w:top w:val="single" w:sz="6" w:space="0" w:color="000000"/>
              <w:left w:val="single" w:sz="12" w:space="0" w:color="000000"/>
              <w:bottom w:val="single" w:sz="6" w:space="0" w:color="000000"/>
            </w:tcBorders>
            <w:shd w:val="clear" w:color="auto" w:fill="auto"/>
            <w:tcMar>
              <w:left w:w="60" w:type="dxa"/>
              <w:right w:w="60" w:type="dxa"/>
            </w:tcMar>
            <w:vAlign w:val="center"/>
          </w:tcPr>
          <w:p w:rsidR="00920140" w:rsidRPr="00005304" w:rsidRDefault="00920140" w:rsidP="00920140">
            <w:pPr>
              <w:keepNext/>
              <w:adjustRightInd w:val="0"/>
              <w:rPr>
                <w:sz w:val="20"/>
                <w:szCs w:val="20"/>
              </w:rPr>
            </w:pPr>
          </w:p>
        </w:tc>
        <w:tc>
          <w:tcPr>
            <w:tcW w:w="1773" w:type="dxa"/>
            <w:tcBorders>
              <w:top w:val="single" w:sz="6" w:space="0" w:color="000000"/>
              <w:bottom w:val="single" w:sz="6" w:space="0" w:color="000000"/>
              <w:right w:val="single" w:sz="12" w:space="0" w:color="auto"/>
            </w:tcBorders>
            <w:shd w:val="clear" w:color="auto" w:fill="auto"/>
            <w:tcMar>
              <w:left w:w="60" w:type="dxa"/>
              <w:right w:w="60" w:type="dxa"/>
            </w:tcMar>
            <w:vAlign w:val="center"/>
          </w:tcPr>
          <w:p w:rsidR="00920140" w:rsidRPr="00005304" w:rsidRDefault="00920140" w:rsidP="00920140">
            <w:pPr>
              <w:keepNext/>
              <w:adjustRightInd w:val="0"/>
              <w:spacing w:before="60" w:after="60"/>
              <w:rPr>
                <w:b/>
                <w:bCs/>
                <w:color w:val="000000"/>
                <w:sz w:val="20"/>
                <w:szCs w:val="20"/>
              </w:rPr>
            </w:pPr>
            <w:r w:rsidRPr="00005304">
              <w:rPr>
                <w:b/>
                <w:bCs/>
                <w:color w:val="000000"/>
                <w:sz w:val="20"/>
                <w:szCs w:val="20"/>
              </w:rPr>
              <w:t>50% Cycle</w:t>
            </w:r>
          </w:p>
        </w:tc>
        <w:tc>
          <w:tcPr>
            <w:tcW w:w="1215" w:type="dxa"/>
            <w:tcBorders>
              <w:top w:val="single" w:sz="6" w:space="0" w:color="000000"/>
              <w:left w:val="single" w:sz="12" w:space="0" w:color="auto"/>
              <w:bottom w:val="single" w:sz="6" w:space="0" w:color="000000"/>
            </w:tcBorders>
            <w:shd w:val="clear" w:color="auto" w:fill="auto"/>
            <w:tcMar>
              <w:left w:w="60" w:type="dxa"/>
              <w:right w:w="60" w:type="dxa"/>
            </w:tcMar>
            <w:vAlign w:val="center"/>
          </w:tcPr>
          <w:p w:rsidR="00920140" w:rsidRPr="00D579BB" w:rsidRDefault="00920140" w:rsidP="00920140">
            <w:pPr>
              <w:keepNext/>
              <w:adjustRightInd w:val="0"/>
              <w:spacing w:before="60" w:after="60"/>
              <w:jc w:val="center"/>
              <w:rPr>
                <w:color w:val="000000"/>
                <w:sz w:val="20"/>
              </w:rPr>
            </w:pPr>
            <w:r w:rsidRPr="00D579BB">
              <w:rPr>
                <w:color w:val="000000"/>
                <w:sz w:val="20"/>
              </w:rPr>
              <w:t>16%</w:t>
            </w:r>
          </w:p>
        </w:tc>
        <w:tc>
          <w:tcPr>
            <w:tcW w:w="1260" w:type="dxa"/>
            <w:tcBorders>
              <w:top w:val="single" w:sz="6" w:space="0" w:color="000000"/>
              <w:bottom w:val="single" w:sz="6" w:space="0" w:color="000000"/>
            </w:tcBorders>
            <w:shd w:val="clear" w:color="auto" w:fill="auto"/>
            <w:tcMar>
              <w:left w:w="60" w:type="dxa"/>
              <w:right w:w="60" w:type="dxa"/>
            </w:tcMar>
            <w:vAlign w:val="center"/>
          </w:tcPr>
          <w:p w:rsidR="00920140" w:rsidRPr="00D579BB" w:rsidRDefault="00920140" w:rsidP="00920140">
            <w:pPr>
              <w:keepNext/>
              <w:adjustRightInd w:val="0"/>
              <w:spacing w:before="60" w:after="60"/>
              <w:jc w:val="center"/>
              <w:rPr>
                <w:color w:val="000000"/>
                <w:sz w:val="20"/>
              </w:rPr>
            </w:pPr>
            <w:r w:rsidRPr="00D579BB">
              <w:rPr>
                <w:color w:val="000000"/>
                <w:sz w:val="20"/>
              </w:rPr>
              <w:t>29%</w:t>
            </w:r>
          </w:p>
        </w:tc>
        <w:tc>
          <w:tcPr>
            <w:tcW w:w="1125" w:type="dxa"/>
            <w:tcBorders>
              <w:top w:val="single" w:sz="6" w:space="0" w:color="000000"/>
              <w:bottom w:val="single" w:sz="6" w:space="0" w:color="000000"/>
              <w:right w:val="single" w:sz="12" w:space="0" w:color="000000"/>
            </w:tcBorders>
            <w:shd w:val="clear" w:color="auto" w:fill="auto"/>
            <w:tcMar>
              <w:left w:w="60" w:type="dxa"/>
              <w:right w:w="60" w:type="dxa"/>
            </w:tcMar>
            <w:vAlign w:val="center"/>
          </w:tcPr>
          <w:p w:rsidR="00920140" w:rsidRPr="00D579BB" w:rsidRDefault="00920140" w:rsidP="00920140">
            <w:pPr>
              <w:keepNext/>
              <w:adjustRightInd w:val="0"/>
              <w:spacing w:before="60" w:after="60"/>
              <w:jc w:val="center"/>
              <w:rPr>
                <w:color w:val="000000"/>
                <w:sz w:val="20"/>
              </w:rPr>
            </w:pPr>
            <w:r w:rsidRPr="00D579BB">
              <w:rPr>
                <w:color w:val="000000"/>
                <w:sz w:val="20"/>
              </w:rPr>
              <w:t>45%</w:t>
            </w:r>
          </w:p>
        </w:tc>
      </w:tr>
      <w:tr w:rsidR="00920140" w:rsidTr="00B777EF">
        <w:trPr>
          <w:cantSplit/>
          <w:trHeight w:val="134"/>
          <w:jc w:val="center"/>
        </w:trPr>
        <w:tc>
          <w:tcPr>
            <w:tcW w:w="2754" w:type="dxa"/>
            <w:vMerge/>
            <w:tcBorders>
              <w:top w:val="single" w:sz="6" w:space="0" w:color="000000"/>
              <w:left w:val="single" w:sz="12" w:space="0" w:color="000000"/>
              <w:bottom w:val="single" w:sz="12" w:space="0" w:color="auto"/>
            </w:tcBorders>
            <w:shd w:val="clear" w:color="auto" w:fill="auto"/>
            <w:tcMar>
              <w:left w:w="60" w:type="dxa"/>
              <w:right w:w="60" w:type="dxa"/>
            </w:tcMar>
            <w:vAlign w:val="center"/>
          </w:tcPr>
          <w:p w:rsidR="00920140" w:rsidRPr="00005304" w:rsidRDefault="00920140" w:rsidP="00920140">
            <w:pPr>
              <w:adjustRightInd w:val="0"/>
              <w:rPr>
                <w:sz w:val="20"/>
                <w:szCs w:val="20"/>
              </w:rPr>
            </w:pPr>
          </w:p>
        </w:tc>
        <w:tc>
          <w:tcPr>
            <w:tcW w:w="1773" w:type="dxa"/>
            <w:tcBorders>
              <w:top w:val="single" w:sz="6" w:space="0" w:color="000000"/>
              <w:bottom w:val="single" w:sz="12" w:space="0" w:color="auto"/>
              <w:right w:val="single" w:sz="12" w:space="0" w:color="auto"/>
            </w:tcBorders>
            <w:shd w:val="clear" w:color="auto" w:fill="auto"/>
            <w:tcMar>
              <w:left w:w="60" w:type="dxa"/>
              <w:right w:w="60" w:type="dxa"/>
            </w:tcMar>
            <w:vAlign w:val="center"/>
          </w:tcPr>
          <w:p w:rsidR="00920140" w:rsidRPr="00005304" w:rsidRDefault="00920140" w:rsidP="00920140">
            <w:pPr>
              <w:adjustRightInd w:val="0"/>
              <w:spacing w:before="60" w:after="60"/>
              <w:rPr>
                <w:b/>
                <w:bCs/>
                <w:color w:val="000000"/>
                <w:sz w:val="20"/>
                <w:szCs w:val="20"/>
              </w:rPr>
            </w:pPr>
            <w:r w:rsidRPr="00005304">
              <w:rPr>
                <w:b/>
                <w:bCs/>
                <w:color w:val="000000"/>
                <w:sz w:val="20"/>
                <w:szCs w:val="20"/>
              </w:rPr>
              <w:t>All</w:t>
            </w:r>
          </w:p>
        </w:tc>
        <w:tc>
          <w:tcPr>
            <w:tcW w:w="1215" w:type="dxa"/>
            <w:tcBorders>
              <w:top w:val="single" w:sz="6" w:space="0" w:color="000000"/>
              <w:left w:val="single" w:sz="12" w:space="0" w:color="auto"/>
              <w:bottom w:val="single" w:sz="12" w:space="0" w:color="auto"/>
            </w:tcBorders>
            <w:shd w:val="clear" w:color="auto" w:fill="auto"/>
            <w:tcMar>
              <w:left w:w="60" w:type="dxa"/>
              <w:right w:w="60" w:type="dxa"/>
            </w:tcMar>
            <w:vAlign w:val="center"/>
          </w:tcPr>
          <w:p w:rsidR="00920140" w:rsidRPr="00D579BB" w:rsidRDefault="00920140" w:rsidP="00920140">
            <w:pPr>
              <w:keepNext/>
              <w:adjustRightInd w:val="0"/>
              <w:spacing w:before="60" w:after="60"/>
              <w:jc w:val="center"/>
              <w:rPr>
                <w:color w:val="000000"/>
                <w:sz w:val="20"/>
              </w:rPr>
            </w:pPr>
            <w:r w:rsidRPr="00D579BB">
              <w:rPr>
                <w:color w:val="000000"/>
                <w:sz w:val="20"/>
              </w:rPr>
              <w:t>37%</w:t>
            </w:r>
          </w:p>
        </w:tc>
        <w:tc>
          <w:tcPr>
            <w:tcW w:w="1260" w:type="dxa"/>
            <w:tcBorders>
              <w:top w:val="single" w:sz="6" w:space="0" w:color="000000"/>
              <w:bottom w:val="single" w:sz="12" w:space="0" w:color="auto"/>
            </w:tcBorders>
            <w:shd w:val="clear" w:color="auto" w:fill="auto"/>
            <w:tcMar>
              <w:left w:w="60" w:type="dxa"/>
              <w:right w:w="60" w:type="dxa"/>
            </w:tcMar>
            <w:vAlign w:val="center"/>
          </w:tcPr>
          <w:p w:rsidR="00920140" w:rsidRPr="00D579BB" w:rsidRDefault="00920140" w:rsidP="00920140">
            <w:pPr>
              <w:keepNext/>
              <w:adjustRightInd w:val="0"/>
              <w:spacing w:before="60" w:after="60"/>
              <w:jc w:val="center"/>
              <w:rPr>
                <w:color w:val="000000"/>
                <w:sz w:val="20"/>
              </w:rPr>
            </w:pPr>
            <w:r w:rsidRPr="00D579BB">
              <w:rPr>
                <w:color w:val="000000"/>
                <w:sz w:val="20"/>
              </w:rPr>
              <w:t>63%</w:t>
            </w:r>
          </w:p>
        </w:tc>
        <w:tc>
          <w:tcPr>
            <w:tcW w:w="1125" w:type="dxa"/>
            <w:tcBorders>
              <w:top w:val="single" w:sz="6" w:space="0" w:color="000000"/>
              <w:bottom w:val="single" w:sz="12" w:space="0" w:color="auto"/>
              <w:right w:val="single" w:sz="12" w:space="0" w:color="000000"/>
            </w:tcBorders>
            <w:shd w:val="clear" w:color="auto" w:fill="auto"/>
            <w:tcMar>
              <w:left w:w="60" w:type="dxa"/>
              <w:right w:w="60" w:type="dxa"/>
            </w:tcMar>
            <w:vAlign w:val="center"/>
          </w:tcPr>
          <w:p w:rsidR="00920140" w:rsidRPr="00D579BB" w:rsidRDefault="00920140" w:rsidP="00920140">
            <w:pPr>
              <w:keepNext/>
              <w:adjustRightInd w:val="0"/>
              <w:spacing w:before="60" w:after="60"/>
              <w:jc w:val="center"/>
              <w:rPr>
                <w:color w:val="000000"/>
                <w:sz w:val="20"/>
              </w:rPr>
            </w:pPr>
            <w:r w:rsidRPr="00D579BB">
              <w:rPr>
                <w:color w:val="000000"/>
                <w:sz w:val="20"/>
              </w:rPr>
              <w:t>100%</w:t>
            </w:r>
          </w:p>
        </w:tc>
      </w:tr>
      <w:tr w:rsidR="00920140" w:rsidTr="00B777EF">
        <w:trPr>
          <w:cantSplit/>
          <w:trHeight w:val="406"/>
          <w:jc w:val="center"/>
        </w:trPr>
        <w:tc>
          <w:tcPr>
            <w:tcW w:w="2754" w:type="dxa"/>
            <w:vMerge w:val="restart"/>
            <w:tcBorders>
              <w:top w:val="single" w:sz="12" w:space="0" w:color="auto"/>
              <w:left w:val="single" w:sz="12" w:space="0" w:color="000000"/>
              <w:bottom w:val="single" w:sz="6" w:space="0" w:color="000000"/>
            </w:tcBorders>
            <w:shd w:val="clear" w:color="auto" w:fill="auto"/>
            <w:tcMar>
              <w:left w:w="60" w:type="dxa"/>
              <w:right w:w="60" w:type="dxa"/>
            </w:tcMar>
            <w:vAlign w:val="center"/>
          </w:tcPr>
          <w:p w:rsidR="00920140" w:rsidRPr="00005304" w:rsidRDefault="00920140" w:rsidP="00920140">
            <w:pPr>
              <w:keepNext/>
              <w:adjustRightInd w:val="0"/>
              <w:spacing w:before="60" w:after="60"/>
              <w:rPr>
                <w:b/>
                <w:bCs/>
                <w:color w:val="000000"/>
                <w:sz w:val="20"/>
                <w:szCs w:val="20"/>
              </w:rPr>
            </w:pPr>
            <w:r w:rsidRPr="00005304">
              <w:rPr>
                <w:b/>
                <w:bCs/>
                <w:color w:val="000000"/>
                <w:sz w:val="20"/>
                <w:szCs w:val="20"/>
              </w:rPr>
              <w:t>SCTD</w:t>
            </w:r>
            <w:r>
              <w:rPr>
                <w:b/>
                <w:bCs/>
                <w:color w:val="000000"/>
                <w:sz w:val="20"/>
                <w:szCs w:val="20"/>
              </w:rPr>
              <w:t>-</w:t>
            </w:r>
            <w:r w:rsidRPr="00005304">
              <w:rPr>
                <w:b/>
                <w:bCs/>
                <w:color w:val="000000"/>
                <w:sz w:val="20"/>
                <w:szCs w:val="20"/>
              </w:rPr>
              <w:t>Only</w:t>
            </w:r>
          </w:p>
        </w:tc>
        <w:tc>
          <w:tcPr>
            <w:tcW w:w="1773" w:type="dxa"/>
            <w:tcBorders>
              <w:top w:val="single" w:sz="12" w:space="0" w:color="auto"/>
              <w:bottom w:val="single" w:sz="6" w:space="0" w:color="000000"/>
              <w:right w:val="single" w:sz="12" w:space="0" w:color="auto"/>
            </w:tcBorders>
            <w:shd w:val="clear" w:color="auto" w:fill="auto"/>
            <w:tcMar>
              <w:left w:w="60" w:type="dxa"/>
              <w:right w:w="60" w:type="dxa"/>
            </w:tcMar>
            <w:vAlign w:val="center"/>
          </w:tcPr>
          <w:p w:rsidR="00920140" w:rsidRPr="00005304" w:rsidRDefault="00920140" w:rsidP="00920140">
            <w:pPr>
              <w:keepNext/>
              <w:adjustRightInd w:val="0"/>
              <w:spacing w:before="60" w:after="60"/>
              <w:rPr>
                <w:b/>
                <w:bCs/>
                <w:color w:val="000000"/>
                <w:sz w:val="20"/>
                <w:szCs w:val="20"/>
              </w:rPr>
            </w:pPr>
            <w:r w:rsidRPr="00005304">
              <w:rPr>
                <w:b/>
                <w:bCs/>
                <w:color w:val="000000"/>
                <w:sz w:val="20"/>
                <w:szCs w:val="20"/>
              </w:rPr>
              <w:t>4 Degree Setback</w:t>
            </w:r>
          </w:p>
        </w:tc>
        <w:tc>
          <w:tcPr>
            <w:tcW w:w="1215" w:type="dxa"/>
            <w:tcBorders>
              <w:top w:val="single" w:sz="12" w:space="0" w:color="auto"/>
              <w:left w:val="single" w:sz="12" w:space="0" w:color="auto"/>
              <w:bottom w:val="single" w:sz="6" w:space="0" w:color="000000"/>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sidRPr="00D507AE">
              <w:rPr>
                <w:color w:val="000000"/>
                <w:sz w:val="20"/>
              </w:rPr>
              <w:t>18%</w:t>
            </w:r>
          </w:p>
        </w:tc>
        <w:tc>
          <w:tcPr>
            <w:tcW w:w="1260" w:type="dxa"/>
            <w:tcBorders>
              <w:top w:val="single" w:sz="12" w:space="0" w:color="auto"/>
              <w:bottom w:val="single" w:sz="6" w:space="0" w:color="000000"/>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sidRPr="00D507AE">
              <w:rPr>
                <w:color w:val="000000"/>
                <w:sz w:val="20"/>
              </w:rPr>
              <w:t>34%</w:t>
            </w:r>
          </w:p>
        </w:tc>
        <w:tc>
          <w:tcPr>
            <w:tcW w:w="1125" w:type="dxa"/>
            <w:tcBorders>
              <w:top w:val="single" w:sz="12" w:space="0" w:color="auto"/>
              <w:bottom w:val="single" w:sz="6" w:space="0" w:color="000000"/>
              <w:right w:val="single" w:sz="12" w:space="0" w:color="000000"/>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sidRPr="00D507AE">
              <w:rPr>
                <w:color w:val="000000"/>
                <w:sz w:val="20"/>
              </w:rPr>
              <w:t>52%</w:t>
            </w:r>
          </w:p>
        </w:tc>
      </w:tr>
      <w:tr w:rsidR="00920140" w:rsidTr="00B777EF">
        <w:trPr>
          <w:cantSplit/>
          <w:trHeight w:val="134"/>
          <w:jc w:val="center"/>
        </w:trPr>
        <w:tc>
          <w:tcPr>
            <w:tcW w:w="2754" w:type="dxa"/>
            <w:vMerge/>
            <w:tcBorders>
              <w:top w:val="single" w:sz="6" w:space="0" w:color="000000"/>
              <w:left w:val="single" w:sz="12" w:space="0" w:color="000000"/>
              <w:bottom w:val="single" w:sz="6" w:space="0" w:color="000000"/>
            </w:tcBorders>
            <w:shd w:val="clear" w:color="auto" w:fill="auto"/>
            <w:tcMar>
              <w:left w:w="60" w:type="dxa"/>
              <w:right w:w="60" w:type="dxa"/>
            </w:tcMar>
            <w:vAlign w:val="center"/>
          </w:tcPr>
          <w:p w:rsidR="00920140" w:rsidRPr="00005304" w:rsidRDefault="00920140" w:rsidP="00920140">
            <w:pPr>
              <w:keepNext/>
              <w:adjustRightInd w:val="0"/>
              <w:rPr>
                <w:sz w:val="20"/>
                <w:szCs w:val="20"/>
              </w:rPr>
            </w:pPr>
          </w:p>
        </w:tc>
        <w:tc>
          <w:tcPr>
            <w:tcW w:w="1773" w:type="dxa"/>
            <w:tcBorders>
              <w:top w:val="single" w:sz="6" w:space="0" w:color="000000"/>
              <w:bottom w:val="single" w:sz="6" w:space="0" w:color="000000"/>
              <w:right w:val="single" w:sz="12" w:space="0" w:color="auto"/>
            </w:tcBorders>
            <w:shd w:val="clear" w:color="auto" w:fill="auto"/>
            <w:tcMar>
              <w:left w:w="60" w:type="dxa"/>
              <w:right w:w="60" w:type="dxa"/>
            </w:tcMar>
            <w:vAlign w:val="center"/>
          </w:tcPr>
          <w:p w:rsidR="00920140" w:rsidRPr="00005304" w:rsidRDefault="00920140" w:rsidP="00920140">
            <w:pPr>
              <w:keepNext/>
              <w:adjustRightInd w:val="0"/>
              <w:spacing w:before="60" w:after="60"/>
              <w:rPr>
                <w:b/>
                <w:bCs/>
                <w:color w:val="000000"/>
                <w:sz w:val="20"/>
                <w:szCs w:val="20"/>
              </w:rPr>
            </w:pPr>
            <w:r w:rsidRPr="00005304">
              <w:rPr>
                <w:b/>
                <w:bCs/>
                <w:color w:val="000000"/>
                <w:sz w:val="20"/>
                <w:szCs w:val="20"/>
              </w:rPr>
              <w:t>50% Cycle</w:t>
            </w:r>
          </w:p>
        </w:tc>
        <w:tc>
          <w:tcPr>
            <w:tcW w:w="1215" w:type="dxa"/>
            <w:tcBorders>
              <w:top w:val="single" w:sz="6" w:space="0" w:color="000000"/>
              <w:left w:val="single" w:sz="12" w:space="0" w:color="auto"/>
              <w:bottom w:val="single" w:sz="6" w:space="0" w:color="000000"/>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sidRPr="00D507AE">
              <w:rPr>
                <w:color w:val="000000"/>
                <w:sz w:val="20"/>
              </w:rPr>
              <w:t>17%</w:t>
            </w:r>
          </w:p>
        </w:tc>
        <w:tc>
          <w:tcPr>
            <w:tcW w:w="1260" w:type="dxa"/>
            <w:tcBorders>
              <w:top w:val="single" w:sz="6" w:space="0" w:color="000000"/>
              <w:bottom w:val="single" w:sz="6" w:space="0" w:color="000000"/>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sidRPr="00D507AE">
              <w:rPr>
                <w:color w:val="000000"/>
                <w:sz w:val="20"/>
              </w:rPr>
              <w:t>31%</w:t>
            </w:r>
          </w:p>
        </w:tc>
        <w:tc>
          <w:tcPr>
            <w:tcW w:w="1125" w:type="dxa"/>
            <w:tcBorders>
              <w:top w:val="single" w:sz="6" w:space="0" w:color="000000"/>
              <w:bottom w:val="single" w:sz="6" w:space="0" w:color="000000"/>
              <w:right w:val="single" w:sz="12" w:space="0" w:color="000000"/>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Pr>
                <w:color w:val="000000"/>
                <w:sz w:val="20"/>
              </w:rPr>
              <w:t>48</w:t>
            </w:r>
            <w:r w:rsidRPr="00D507AE">
              <w:rPr>
                <w:color w:val="000000"/>
                <w:sz w:val="20"/>
              </w:rPr>
              <w:t>%</w:t>
            </w:r>
          </w:p>
        </w:tc>
      </w:tr>
      <w:tr w:rsidR="00920140" w:rsidTr="00B777EF">
        <w:trPr>
          <w:cantSplit/>
          <w:trHeight w:val="134"/>
          <w:jc w:val="center"/>
        </w:trPr>
        <w:tc>
          <w:tcPr>
            <w:tcW w:w="2754" w:type="dxa"/>
            <w:vMerge/>
            <w:tcBorders>
              <w:top w:val="single" w:sz="6" w:space="0" w:color="000000"/>
              <w:left w:val="single" w:sz="12" w:space="0" w:color="000000"/>
              <w:bottom w:val="single" w:sz="12" w:space="0" w:color="000000"/>
            </w:tcBorders>
            <w:shd w:val="clear" w:color="auto" w:fill="auto"/>
            <w:tcMar>
              <w:left w:w="60" w:type="dxa"/>
              <w:right w:w="60" w:type="dxa"/>
            </w:tcMar>
            <w:vAlign w:val="center"/>
          </w:tcPr>
          <w:p w:rsidR="00920140" w:rsidRPr="00005304" w:rsidRDefault="00920140" w:rsidP="00920140">
            <w:pPr>
              <w:adjustRightInd w:val="0"/>
              <w:rPr>
                <w:sz w:val="20"/>
                <w:szCs w:val="20"/>
              </w:rPr>
            </w:pPr>
          </w:p>
        </w:tc>
        <w:tc>
          <w:tcPr>
            <w:tcW w:w="1773" w:type="dxa"/>
            <w:tcBorders>
              <w:top w:val="single" w:sz="6" w:space="0" w:color="000000"/>
              <w:bottom w:val="single" w:sz="12" w:space="0" w:color="000000"/>
              <w:right w:val="single" w:sz="12" w:space="0" w:color="auto"/>
            </w:tcBorders>
            <w:shd w:val="clear" w:color="auto" w:fill="auto"/>
            <w:tcMar>
              <w:left w:w="60" w:type="dxa"/>
              <w:right w:w="60" w:type="dxa"/>
            </w:tcMar>
            <w:vAlign w:val="center"/>
          </w:tcPr>
          <w:p w:rsidR="00920140" w:rsidRPr="00005304" w:rsidRDefault="00920140" w:rsidP="00920140">
            <w:pPr>
              <w:adjustRightInd w:val="0"/>
              <w:spacing w:before="60" w:after="60"/>
              <w:rPr>
                <w:b/>
                <w:bCs/>
                <w:color w:val="000000"/>
                <w:sz w:val="20"/>
                <w:szCs w:val="20"/>
              </w:rPr>
            </w:pPr>
            <w:r w:rsidRPr="00005304">
              <w:rPr>
                <w:b/>
                <w:bCs/>
                <w:color w:val="000000"/>
                <w:sz w:val="20"/>
                <w:szCs w:val="20"/>
              </w:rPr>
              <w:t>All</w:t>
            </w:r>
          </w:p>
        </w:tc>
        <w:tc>
          <w:tcPr>
            <w:tcW w:w="1215" w:type="dxa"/>
            <w:tcBorders>
              <w:top w:val="single" w:sz="6" w:space="0" w:color="000000"/>
              <w:left w:val="single" w:sz="12" w:space="0" w:color="auto"/>
              <w:bottom w:val="single" w:sz="12" w:space="0" w:color="000000"/>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sidRPr="00D507AE">
              <w:rPr>
                <w:color w:val="000000"/>
                <w:sz w:val="20"/>
              </w:rPr>
              <w:t>35%</w:t>
            </w:r>
          </w:p>
        </w:tc>
        <w:tc>
          <w:tcPr>
            <w:tcW w:w="1260" w:type="dxa"/>
            <w:tcBorders>
              <w:top w:val="single" w:sz="6" w:space="0" w:color="000000"/>
              <w:bottom w:val="single" w:sz="12" w:space="0" w:color="000000"/>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sidRPr="00D507AE">
              <w:rPr>
                <w:color w:val="000000"/>
                <w:sz w:val="20"/>
              </w:rPr>
              <w:t>65%</w:t>
            </w:r>
          </w:p>
        </w:tc>
        <w:tc>
          <w:tcPr>
            <w:tcW w:w="1125" w:type="dxa"/>
            <w:tcBorders>
              <w:top w:val="single" w:sz="6" w:space="0" w:color="000000"/>
              <w:bottom w:val="single" w:sz="12" w:space="0" w:color="000000"/>
              <w:right w:val="single" w:sz="12" w:space="0" w:color="000000"/>
            </w:tcBorders>
            <w:shd w:val="clear" w:color="auto" w:fill="auto"/>
            <w:tcMar>
              <w:left w:w="60" w:type="dxa"/>
              <w:right w:w="60" w:type="dxa"/>
            </w:tcMar>
            <w:vAlign w:val="center"/>
          </w:tcPr>
          <w:p w:rsidR="00920140" w:rsidRPr="00D507AE" w:rsidRDefault="00920140" w:rsidP="00920140">
            <w:pPr>
              <w:keepNext/>
              <w:adjustRightInd w:val="0"/>
              <w:spacing w:before="60" w:after="60"/>
              <w:jc w:val="center"/>
              <w:rPr>
                <w:color w:val="000000"/>
                <w:sz w:val="20"/>
              </w:rPr>
            </w:pPr>
            <w:r w:rsidRPr="00D507AE">
              <w:rPr>
                <w:color w:val="000000"/>
                <w:sz w:val="20"/>
              </w:rPr>
              <w:t>100%</w:t>
            </w:r>
          </w:p>
        </w:tc>
      </w:tr>
    </w:tbl>
    <w:p w:rsidR="003E6B6C" w:rsidRDefault="003E6B6C" w:rsidP="003E6B6C">
      <w:pPr>
        <w:rPr>
          <w:bCs/>
          <w:iCs/>
          <w:color w:val="000000" w:themeColor="text1"/>
        </w:rPr>
      </w:pPr>
    </w:p>
    <w:p w:rsidR="00C45F33" w:rsidRPr="003E6B6C" w:rsidRDefault="003E6B6C" w:rsidP="003E6B6C">
      <w:pPr>
        <w:pStyle w:val="Heading2"/>
        <w:numPr>
          <w:ilvl w:val="0"/>
          <w:numId w:val="0"/>
        </w:numPr>
        <w:ind w:left="666" w:hanging="666"/>
        <w:rPr>
          <w:rFonts w:ascii="Times New Roman" w:hAnsi="Times New Roman" w:cs="Times New Roman"/>
          <w:bCs w:val="0"/>
          <w:iCs w:val="0"/>
          <w:color w:val="000000" w:themeColor="text1"/>
        </w:rPr>
      </w:pPr>
      <w:bookmarkStart w:id="215" w:name="_Toc447179825"/>
      <w:r w:rsidRPr="003E6B6C">
        <w:rPr>
          <w:rFonts w:ascii="Times New Roman" w:hAnsi="Times New Roman" w:cs="Times New Roman"/>
          <w:bCs w:val="0"/>
          <w:iCs w:val="0"/>
          <w:color w:val="000000" w:themeColor="text1"/>
        </w:rPr>
        <w:t xml:space="preserve">7.6 </w:t>
      </w:r>
      <w:r w:rsidR="00C45F33" w:rsidRPr="003E6B6C">
        <w:rPr>
          <w:rFonts w:ascii="Times New Roman" w:hAnsi="Times New Roman" w:cs="Times New Roman"/>
          <w:bCs w:val="0"/>
          <w:iCs w:val="0"/>
          <w:color w:val="000000" w:themeColor="text1"/>
        </w:rPr>
        <w:t>PTR Ex-Ante Load Impact Estimates</w:t>
      </w:r>
      <w:bookmarkEnd w:id="215"/>
    </w:p>
    <w:p w:rsidR="00C45F33" w:rsidRPr="0070672A" w:rsidRDefault="00C45F33" w:rsidP="00920140"/>
    <w:p w:rsidR="00920140" w:rsidRPr="00C45F33" w:rsidRDefault="00920140" w:rsidP="00C45F33">
      <w:pPr>
        <w:pStyle w:val="Heading3"/>
        <w:tabs>
          <w:tab w:val="left" w:pos="810"/>
        </w:tabs>
        <w:ind w:hanging="1260"/>
        <w:rPr>
          <w:rFonts w:ascii="Times New Roman" w:hAnsi="Times New Roman" w:cs="Times New Roman"/>
        </w:rPr>
      </w:pPr>
      <w:bookmarkStart w:id="216" w:name="_Toc447179826"/>
      <w:r w:rsidRPr="00C45F33">
        <w:rPr>
          <w:rFonts w:ascii="Times New Roman" w:hAnsi="Times New Roman" w:cs="Times New Roman"/>
        </w:rPr>
        <w:t>PTR Only</w:t>
      </w:r>
      <w:bookmarkEnd w:id="213"/>
      <w:bookmarkEnd w:id="216"/>
    </w:p>
    <w:p w:rsidR="00920140" w:rsidRPr="000D1B98" w:rsidRDefault="00920140" w:rsidP="00920140"/>
    <w:p w:rsidR="00920140" w:rsidRPr="00B777EF" w:rsidRDefault="003E6B6C" w:rsidP="003E6B6C">
      <w:pPr>
        <w:spacing w:line="276" w:lineRule="auto"/>
        <w:rPr>
          <w:color w:val="000000" w:themeColor="text1"/>
        </w:rPr>
      </w:pPr>
      <w:r w:rsidRPr="003E6B6C">
        <w:rPr>
          <w:color w:val="000000" w:themeColor="text1"/>
          <w:sz w:val="22"/>
          <w:szCs w:val="22"/>
        </w:rPr>
        <w:t>Table 7-</w:t>
      </w:r>
      <w:r w:rsidR="0024252A">
        <w:rPr>
          <w:color w:val="000000" w:themeColor="text1"/>
          <w:sz w:val="22"/>
          <w:szCs w:val="22"/>
        </w:rPr>
        <w:t>5</w:t>
      </w:r>
      <w:r>
        <w:rPr>
          <w:color w:val="000000" w:themeColor="text1"/>
        </w:rPr>
        <w:t xml:space="preserve"> </w:t>
      </w:r>
      <w:r w:rsidR="00920140" w:rsidRPr="00B777EF">
        <w:rPr>
          <w:color w:val="000000" w:themeColor="text1"/>
        </w:rPr>
        <w:t xml:space="preserve">shows the ex ante load impact estimates for the average PTR-only customer on an average weekday, monthly system peak day, and a typical event day based on 1-in-2 and 1-in-10 weather year conditions for 2017.  The average weekday and monthly system peak days are presented for June, July, and August, while the typical event day is presented for the month of August.  For a 1-in-2 typical event day, the estimated load reduction for the average participant is 0.039 kW during the </w:t>
      </w:r>
      <w:r w:rsidR="00F70D38">
        <w:rPr>
          <w:color w:val="000000" w:themeColor="text1"/>
        </w:rPr>
        <w:t xml:space="preserve">resource adequacy (RA) </w:t>
      </w:r>
      <w:r w:rsidR="00920140" w:rsidRPr="00B777EF">
        <w:rPr>
          <w:color w:val="000000" w:themeColor="text1"/>
        </w:rPr>
        <w:t>availability hours (1:00pm to 6:00 pm).  The average estimated aggregate load reduction under this scenario is 3.91 MW.  For a 1-in-10 typical event day, the estimated load reduction is higher, at 0.09 kW.  The average estimated aggregate reduction is 3.71 MW.  These estimates represent approximately 3.3% and 3.8% of the reference load, respectively for each weather scenario.</w:t>
      </w:r>
    </w:p>
    <w:p w:rsidR="00920140" w:rsidRDefault="00920140" w:rsidP="00920140">
      <w:pPr>
        <w:pStyle w:val="BodyParagraph"/>
        <w:spacing w:after="0" w:line="276" w:lineRule="auto"/>
        <w:ind w:firstLine="360"/>
        <w:rPr>
          <w:rFonts w:ascii="Times New Roman" w:hAnsi="Times New Roman"/>
          <w:color w:val="FF0000"/>
          <w:sz w:val="24"/>
          <w:szCs w:val="24"/>
        </w:rPr>
      </w:pPr>
    </w:p>
    <w:p w:rsidR="003E6B6C" w:rsidRDefault="003E6B6C">
      <w:pPr>
        <w:rPr>
          <w:b/>
          <w:bCs/>
          <w:sz w:val="22"/>
          <w:szCs w:val="22"/>
        </w:rPr>
      </w:pPr>
      <w:bookmarkStart w:id="217" w:name="_Ref414197474"/>
      <w:r>
        <w:rPr>
          <w:sz w:val="22"/>
          <w:szCs w:val="22"/>
        </w:rPr>
        <w:br w:type="page"/>
      </w:r>
    </w:p>
    <w:p w:rsidR="00920140" w:rsidRPr="00C03BEB" w:rsidRDefault="00920140" w:rsidP="00C45F33">
      <w:pPr>
        <w:pStyle w:val="Caption"/>
        <w:spacing w:after="120"/>
        <w:jc w:val="center"/>
        <w:rPr>
          <w:sz w:val="22"/>
          <w:szCs w:val="22"/>
        </w:rPr>
      </w:pPr>
      <w:r w:rsidRPr="00C03BEB">
        <w:rPr>
          <w:sz w:val="22"/>
          <w:szCs w:val="22"/>
        </w:rPr>
        <w:lastRenderedPageBreak/>
        <w:t xml:space="preserve">Table </w:t>
      </w:r>
      <w:r w:rsidRPr="00C03BEB">
        <w:rPr>
          <w:sz w:val="22"/>
          <w:szCs w:val="22"/>
        </w:rPr>
        <w:fldChar w:fldCharType="begin"/>
      </w:r>
      <w:r w:rsidRPr="00C03BEB">
        <w:rPr>
          <w:sz w:val="22"/>
          <w:szCs w:val="22"/>
        </w:rPr>
        <w:instrText xml:space="preserve"> STYLEREF 1 \s </w:instrText>
      </w:r>
      <w:r w:rsidRPr="00C03BEB">
        <w:rPr>
          <w:sz w:val="22"/>
          <w:szCs w:val="22"/>
        </w:rPr>
        <w:fldChar w:fldCharType="separate"/>
      </w:r>
      <w:r w:rsidR="008A6A2B">
        <w:rPr>
          <w:noProof/>
          <w:sz w:val="22"/>
          <w:szCs w:val="22"/>
        </w:rPr>
        <w:t>7</w:t>
      </w:r>
      <w:r w:rsidRPr="00C03BEB">
        <w:rPr>
          <w:noProof/>
          <w:sz w:val="22"/>
          <w:szCs w:val="22"/>
        </w:rPr>
        <w:fldChar w:fldCharType="end"/>
      </w:r>
      <w:r w:rsidRPr="00C03BEB">
        <w:rPr>
          <w:sz w:val="22"/>
          <w:szCs w:val="22"/>
        </w:rPr>
        <w:noBreakHyphen/>
      </w:r>
      <w:bookmarkEnd w:id="217"/>
      <w:r w:rsidR="0024252A">
        <w:rPr>
          <w:sz w:val="22"/>
          <w:szCs w:val="22"/>
        </w:rPr>
        <w:t>5</w:t>
      </w:r>
      <w:r w:rsidR="003E6B6C">
        <w:rPr>
          <w:sz w:val="22"/>
          <w:szCs w:val="22"/>
        </w:rPr>
        <w:t>:</w:t>
      </w:r>
      <w:r w:rsidRPr="00C03BEB">
        <w:rPr>
          <w:sz w:val="22"/>
          <w:szCs w:val="22"/>
        </w:rPr>
        <w:t xml:space="preserve"> Ex Ante Hourly Load Impact Results – PTR-Only</w:t>
      </w:r>
    </w:p>
    <w:tbl>
      <w:tblPr>
        <w:tblW w:w="10080" w:type="dxa"/>
        <w:tblInd w:w="-721" w:type="dxa"/>
        <w:tblLayout w:type="fixed"/>
        <w:tblCellMar>
          <w:left w:w="0" w:type="dxa"/>
          <w:right w:w="0" w:type="dxa"/>
        </w:tblCellMar>
        <w:tblLook w:val="04A0" w:firstRow="1" w:lastRow="0" w:firstColumn="1" w:lastColumn="0" w:noHBand="0" w:noVBand="1"/>
      </w:tblPr>
      <w:tblGrid>
        <w:gridCol w:w="612"/>
        <w:gridCol w:w="925"/>
        <w:gridCol w:w="505"/>
        <w:gridCol w:w="900"/>
        <w:gridCol w:w="900"/>
        <w:gridCol w:w="810"/>
        <w:gridCol w:w="720"/>
        <w:gridCol w:w="810"/>
        <w:gridCol w:w="900"/>
        <w:gridCol w:w="832"/>
        <w:gridCol w:w="698"/>
        <w:gridCol w:w="720"/>
        <w:gridCol w:w="748"/>
      </w:tblGrid>
      <w:tr w:rsidR="00920140" w:rsidRPr="001F7689" w:rsidTr="00920140">
        <w:trPr>
          <w:cantSplit/>
        </w:trPr>
        <w:tc>
          <w:tcPr>
            <w:tcW w:w="612" w:type="dxa"/>
            <w:vMerge w:val="restart"/>
            <w:tcBorders>
              <w:top w:val="single" w:sz="12" w:space="0" w:color="000000"/>
              <w:left w:val="single" w:sz="12" w:space="0" w:color="000000"/>
              <w:bottom w:val="single" w:sz="12" w:space="0" w:color="000000"/>
              <w:right w:val="single" w:sz="6" w:space="0" w:color="000000"/>
            </w:tcBorders>
            <w:shd w:val="clear" w:color="auto" w:fill="1F497D" w:themeFill="text2"/>
            <w:tcMar>
              <w:top w:w="0" w:type="dxa"/>
              <w:left w:w="80" w:type="dxa"/>
              <w:bottom w:w="0" w:type="dxa"/>
              <w:right w:w="80" w:type="dxa"/>
            </w:tcMar>
            <w:vAlign w:val="bottom"/>
            <w:hideMark/>
          </w:tcPr>
          <w:p w:rsidR="00920140" w:rsidRPr="00EC5DA5" w:rsidRDefault="00920140" w:rsidP="00920140">
            <w:pPr>
              <w:keepNext/>
              <w:keepLines/>
              <w:autoSpaceDE w:val="0"/>
              <w:autoSpaceDN w:val="0"/>
              <w:adjustRightInd w:val="0"/>
              <w:spacing w:before="40" w:after="40"/>
              <w:rPr>
                <w:b/>
                <w:bCs/>
                <w:color w:val="FFFFFF" w:themeColor="background1"/>
                <w:sz w:val="16"/>
                <w:szCs w:val="16"/>
              </w:rPr>
            </w:pPr>
          </w:p>
        </w:tc>
        <w:tc>
          <w:tcPr>
            <w:tcW w:w="925" w:type="dxa"/>
            <w:vMerge w:val="restart"/>
            <w:tcBorders>
              <w:top w:val="single" w:sz="12" w:space="0" w:color="000000"/>
              <w:left w:val="single" w:sz="6" w:space="0" w:color="000000"/>
              <w:bottom w:val="single" w:sz="12" w:space="0" w:color="000000"/>
              <w:right w:val="single" w:sz="6" w:space="0" w:color="000000"/>
            </w:tcBorders>
            <w:shd w:val="clear" w:color="auto" w:fill="1F497D" w:themeFill="text2"/>
            <w:vAlign w:val="bottom"/>
          </w:tcPr>
          <w:p w:rsidR="00920140" w:rsidRPr="00EC5DA5" w:rsidRDefault="00920140" w:rsidP="00920140">
            <w:pPr>
              <w:keepNext/>
              <w:keepLines/>
              <w:autoSpaceDE w:val="0"/>
              <w:autoSpaceDN w:val="0"/>
              <w:adjustRightInd w:val="0"/>
              <w:spacing w:before="40" w:after="40"/>
              <w:rPr>
                <w:b/>
                <w:bCs/>
                <w:color w:val="FFFFFF" w:themeColor="background1"/>
                <w:sz w:val="16"/>
                <w:szCs w:val="16"/>
              </w:rPr>
            </w:pPr>
            <w:r w:rsidRPr="00EC5DA5">
              <w:rPr>
                <w:b/>
                <w:bCs/>
                <w:color w:val="FFFFFF" w:themeColor="background1"/>
                <w:sz w:val="16"/>
                <w:szCs w:val="16"/>
              </w:rPr>
              <w:t>Day / Type</w:t>
            </w:r>
          </w:p>
        </w:tc>
        <w:tc>
          <w:tcPr>
            <w:tcW w:w="505" w:type="dxa"/>
            <w:vMerge w:val="restart"/>
            <w:tcBorders>
              <w:top w:val="single" w:sz="12" w:space="0" w:color="000000"/>
              <w:left w:val="single" w:sz="6" w:space="0" w:color="000000"/>
              <w:bottom w:val="single" w:sz="12" w:space="0" w:color="000000"/>
              <w:right w:val="nil"/>
            </w:tcBorders>
            <w:shd w:val="clear" w:color="auto" w:fill="1F497D" w:themeFill="text2"/>
            <w:vAlign w:val="bottom"/>
          </w:tcPr>
          <w:p w:rsidR="00920140" w:rsidRPr="00EC5DA5" w:rsidRDefault="00920140" w:rsidP="00920140">
            <w:pPr>
              <w:keepNext/>
              <w:keepLines/>
              <w:autoSpaceDE w:val="0"/>
              <w:autoSpaceDN w:val="0"/>
              <w:adjustRightInd w:val="0"/>
              <w:spacing w:before="40" w:after="40"/>
              <w:rPr>
                <w:b/>
                <w:bCs/>
                <w:color w:val="FFFFFF" w:themeColor="background1"/>
                <w:sz w:val="16"/>
                <w:szCs w:val="16"/>
              </w:rPr>
            </w:pPr>
            <w:r w:rsidRPr="00EC5DA5">
              <w:rPr>
                <w:b/>
                <w:bCs/>
                <w:color w:val="FFFFFF" w:themeColor="background1"/>
                <w:sz w:val="16"/>
                <w:szCs w:val="16"/>
              </w:rPr>
              <w:t>Month</w:t>
            </w:r>
          </w:p>
        </w:tc>
        <w:tc>
          <w:tcPr>
            <w:tcW w:w="4140" w:type="dxa"/>
            <w:gridSpan w:val="5"/>
            <w:tcBorders>
              <w:top w:val="single" w:sz="12" w:space="0" w:color="000000"/>
              <w:left w:val="single" w:sz="4" w:space="0" w:color="000000"/>
              <w:bottom w:val="single" w:sz="4" w:space="0" w:color="000000"/>
              <w:right w:val="nil"/>
            </w:tcBorders>
            <w:shd w:val="clear" w:color="auto" w:fill="1F497D" w:themeFill="text2"/>
            <w:tcMar>
              <w:top w:w="0" w:type="dxa"/>
              <w:left w:w="80" w:type="dxa"/>
              <w:bottom w:w="0" w:type="dxa"/>
              <w:right w:w="80" w:type="dxa"/>
            </w:tcMar>
            <w:vAlign w:val="bottom"/>
            <w:hideMark/>
          </w:tcPr>
          <w:p w:rsidR="00920140" w:rsidRPr="00EC5DA5" w:rsidRDefault="00920140" w:rsidP="00920140">
            <w:pPr>
              <w:keepNext/>
              <w:keepLines/>
              <w:autoSpaceDE w:val="0"/>
              <w:autoSpaceDN w:val="0"/>
              <w:adjustRightInd w:val="0"/>
              <w:spacing w:before="40" w:after="40"/>
              <w:jc w:val="center"/>
              <w:rPr>
                <w:b/>
                <w:bCs/>
                <w:color w:val="FFFFFF" w:themeColor="background1"/>
                <w:sz w:val="16"/>
                <w:szCs w:val="16"/>
              </w:rPr>
            </w:pPr>
            <w:r w:rsidRPr="00EC5DA5">
              <w:rPr>
                <w:b/>
                <w:bCs/>
                <w:color w:val="FFFFFF" w:themeColor="background1"/>
                <w:sz w:val="16"/>
                <w:szCs w:val="16"/>
              </w:rPr>
              <w:t>1-in-10</w:t>
            </w:r>
          </w:p>
        </w:tc>
        <w:tc>
          <w:tcPr>
            <w:tcW w:w="3898" w:type="dxa"/>
            <w:gridSpan w:val="5"/>
            <w:tcBorders>
              <w:top w:val="single" w:sz="12" w:space="0" w:color="000000"/>
              <w:left w:val="single" w:sz="4" w:space="0" w:color="000000"/>
              <w:bottom w:val="single" w:sz="4" w:space="0" w:color="000000"/>
              <w:right w:val="single" w:sz="12" w:space="0" w:color="000000"/>
            </w:tcBorders>
            <w:shd w:val="clear" w:color="auto" w:fill="1F497D" w:themeFill="text2"/>
            <w:tcMar>
              <w:top w:w="0" w:type="dxa"/>
              <w:left w:w="80" w:type="dxa"/>
              <w:bottom w:w="0" w:type="dxa"/>
              <w:right w:w="80" w:type="dxa"/>
            </w:tcMar>
            <w:vAlign w:val="bottom"/>
            <w:hideMark/>
          </w:tcPr>
          <w:p w:rsidR="00920140" w:rsidRPr="00EC5DA5" w:rsidRDefault="00920140" w:rsidP="00920140">
            <w:pPr>
              <w:keepNext/>
              <w:keepLines/>
              <w:autoSpaceDE w:val="0"/>
              <w:autoSpaceDN w:val="0"/>
              <w:adjustRightInd w:val="0"/>
              <w:spacing w:before="40" w:after="40"/>
              <w:jc w:val="center"/>
              <w:rPr>
                <w:b/>
                <w:bCs/>
                <w:color w:val="FFFFFF" w:themeColor="background1"/>
                <w:sz w:val="16"/>
                <w:szCs w:val="16"/>
              </w:rPr>
            </w:pPr>
            <w:r w:rsidRPr="00EC5DA5">
              <w:rPr>
                <w:b/>
                <w:bCs/>
                <w:color w:val="FFFFFF" w:themeColor="background1"/>
                <w:sz w:val="16"/>
                <w:szCs w:val="16"/>
              </w:rPr>
              <w:t>1-in-2</w:t>
            </w:r>
          </w:p>
        </w:tc>
      </w:tr>
      <w:tr w:rsidR="00920140" w:rsidRPr="001F7689" w:rsidTr="00920140">
        <w:trPr>
          <w:cantSplit/>
        </w:trPr>
        <w:tc>
          <w:tcPr>
            <w:tcW w:w="612" w:type="dxa"/>
            <w:vMerge/>
            <w:tcBorders>
              <w:top w:val="single" w:sz="12" w:space="0" w:color="000000"/>
              <w:left w:val="single" w:sz="12" w:space="0" w:color="000000"/>
              <w:bottom w:val="single" w:sz="12" w:space="0" w:color="000000"/>
              <w:right w:val="single" w:sz="6" w:space="0" w:color="000000"/>
            </w:tcBorders>
            <w:shd w:val="clear" w:color="auto" w:fill="1F497D" w:themeFill="text2"/>
            <w:vAlign w:val="center"/>
            <w:hideMark/>
          </w:tcPr>
          <w:p w:rsidR="00920140" w:rsidRPr="00EC5DA5" w:rsidRDefault="00920140" w:rsidP="00920140">
            <w:pPr>
              <w:keepNext/>
              <w:keepLines/>
              <w:spacing w:before="40" w:after="40"/>
              <w:rPr>
                <w:b/>
                <w:bCs/>
                <w:color w:val="FFFFFF" w:themeColor="background1"/>
                <w:sz w:val="16"/>
                <w:szCs w:val="16"/>
              </w:rPr>
            </w:pPr>
          </w:p>
        </w:tc>
        <w:tc>
          <w:tcPr>
            <w:tcW w:w="925" w:type="dxa"/>
            <w:vMerge/>
            <w:tcBorders>
              <w:top w:val="single" w:sz="12" w:space="0" w:color="000000"/>
              <w:left w:val="single" w:sz="6" w:space="0" w:color="000000"/>
              <w:bottom w:val="single" w:sz="12" w:space="0" w:color="000000"/>
              <w:right w:val="single" w:sz="6" w:space="0" w:color="000000"/>
            </w:tcBorders>
            <w:shd w:val="clear" w:color="auto" w:fill="1F497D" w:themeFill="text2"/>
            <w:vAlign w:val="center"/>
          </w:tcPr>
          <w:p w:rsidR="00920140" w:rsidRPr="00EC5DA5" w:rsidRDefault="00920140" w:rsidP="00920140">
            <w:pPr>
              <w:keepNext/>
              <w:keepLines/>
              <w:spacing w:before="40" w:after="40"/>
              <w:rPr>
                <w:b/>
                <w:bCs/>
                <w:color w:val="FFFFFF" w:themeColor="background1"/>
                <w:sz w:val="16"/>
                <w:szCs w:val="16"/>
              </w:rPr>
            </w:pPr>
          </w:p>
        </w:tc>
        <w:tc>
          <w:tcPr>
            <w:tcW w:w="505" w:type="dxa"/>
            <w:vMerge/>
            <w:tcBorders>
              <w:top w:val="single" w:sz="12" w:space="0" w:color="000000"/>
              <w:left w:val="single" w:sz="6" w:space="0" w:color="000000"/>
              <w:bottom w:val="single" w:sz="12" w:space="0" w:color="000000"/>
              <w:right w:val="nil"/>
            </w:tcBorders>
            <w:shd w:val="clear" w:color="auto" w:fill="1F497D" w:themeFill="text2"/>
            <w:vAlign w:val="center"/>
          </w:tcPr>
          <w:p w:rsidR="00920140" w:rsidRPr="00EC5DA5" w:rsidRDefault="00920140" w:rsidP="00920140">
            <w:pPr>
              <w:keepNext/>
              <w:keepLines/>
              <w:spacing w:before="40" w:after="40"/>
              <w:rPr>
                <w:b/>
                <w:bCs/>
                <w:color w:val="FFFFFF" w:themeColor="background1"/>
                <w:sz w:val="16"/>
                <w:szCs w:val="16"/>
              </w:rPr>
            </w:pPr>
          </w:p>
        </w:tc>
        <w:tc>
          <w:tcPr>
            <w:tcW w:w="900"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920140" w:rsidRPr="00EC5DA5" w:rsidRDefault="00920140" w:rsidP="00920140">
            <w:pPr>
              <w:keepNext/>
              <w:keepLines/>
              <w:autoSpaceDE w:val="0"/>
              <w:autoSpaceDN w:val="0"/>
              <w:adjustRightInd w:val="0"/>
              <w:spacing w:before="40" w:after="40"/>
              <w:jc w:val="center"/>
              <w:rPr>
                <w:b/>
                <w:bCs/>
                <w:color w:val="FFFFFF" w:themeColor="background1"/>
                <w:sz w:val="16"/>
                <w:szCs w:val="16"/>
              </w:rPr>
            </w:pPr>
            <w:r w:rsidRPr="00EC5DA5">
              <w:rPr>
                <w:b/>
                <w:bCs/>
                <w:color w:val="FFFFFF" w:themeColor="background1"/>
                <w:sz w:val="16"/>
                <w:szCs w:val="16"/>
              </w:rPr>
              <w:t>Avg. Hourly Reference Load (kWh)</w:t>
            </w:r>
          </w:p>
        </w:tc>
        <w:tc>
          <w:tcPr>
            <w:tcW w:w="900"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920140" w:rsidRPr="00EC5DA5" w:rsidRDefault="00920140" w:rsidP="00920140">
            <w:pPr>
              <w:keepNext/>
              <w:keepLines/>
              <w:autoSpaceDE w:val="0"/>
              <w:autoSpaceDN w:val="0"/>
              <w:adjustRightInd w:val="0"/>
              <w:spacing w:before="40" w:after="40"/>
              <w:jc w:val="center"/>
              <w:rPr>
                <w:b/>
                <w:bCs/>
                <w:color w:val="FFFFFF" w:themeColor="background1"/>
                <w:sz w:val="16"/>
                <w:szCs w:val="16"/>
              </w:rPr>
            </w:pPr>
            <w:r w:rsidRPr="00EC5DA5">
              <w:rPr>
                <w:b/>
                <w:bCs/>
                <w:color w:val="FFFFFF" w:themeColor="background1"/>
                <w:sz w:val="16"/>
                <w:szCs w:val="16"/>
              </w:rPr>
              <w:t>Average Hourly Observed Load (kWh)</w:t>
            </w:r>
          </w:p>
        </w:tc>
        <w:tc>
          <w:tcPr>
            <w:tcW w:w="810"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920140" w:rsidRPr="00EC5DA5" w:rsidRDefault="00920140" w:rsidP="00920140">
            <w:pPr>
              <w:keepNext/>
              <w:keepLines/>
              <w:autoSpaceDE w:val="0"/>
              <w:autoSpaceDN w:val="0"/>
              <w:adjustRightInd w:val="0"/>
              <w:spacing w:before="40" w:after="40"/>
              <w:jc w:val="center"/>
              <w:rPr>
                <w:b/>
                <w:bCs/>
                <w:color w:val="FFFFFF" w:themeColor="background1"/>
                <w:sz w:val="16"/>
                <w:szCs w:val="16"/>
              </w:rPr>
            </w:pPr>
            <w:r w:rsidRPr="00EC5DA5">
              <w:rPr>
                <w:b/>
                <w:bCs/>
                <w:color w:val="FFFFFF" w:themeColor="background1"/>
                <w:sz w:val="16"/>
                <w:szCs w:val="16"/>
              </w:rPr>
              <w:t>Average Hourly Impact (kWh)</w:t>
            </w:r>
          </w:p>
        </w:tc>
        <w:tc>
          <w:tcPr>
            <w:tcW w:w="720"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920140" w:rsidRPr="00EC5DA5" w:rsidRDefault="00920140" w:rsidP="00920140">
            <w:pPr>
              <w:keepNext/>
              <w:keepLines/>
              <w:autoSpaceDE w:val="0"/>
              <w:autoSpaceDN w:val="0"/>
              <w:adjustRightInd w:val="0"/>
              <w:spacing w:before="40" w:after="40"/>
              <w:jc w:val="center"/>
              <w:rPr>
                <w:b/>
                <w:bCs/>
                <w:color w:val="FFFFFF" w:themeColor="background1"/>
                <w:sz w:val="16"/>
                <w:szCs w:val="16"/>
              </w:rPr>
            </w:pPr>
            <w:r w:rsidRPr="00EC5DA5">
              <w:rPr>
                <w:b/>
                <w:bCs/>
                <w:color w:val="FFFFFF" w:themeColor="background1"/>
                <w:sz w:val="16"/>
                <w:szCs w:val="16"/>
              </w:rPr>
              <w:t>Percent Load Reduc-tion</w:t>
            </w:r>
          </w:p>
        </w:tc>
        <w:tc>
          <w:tcPr>
            <w:tcW w:w="810"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920140" w:rsidRPr="00EC5DA5" w:rsidRDefault="00920140" w:rsidP="00920140">
            <w:pPr>
              <w:keepNext/>
              <w:keepLines/>
              <w:autoSpaceDE w:val="0"/>
              <w:autoSpaceDN w:val="0"/>
              <w:adjustRightInd w:val="0"/>
              <w:spacing w:before="40" w:after="40"/>
              <w:jc w:val="center"/>
              <w:rPr>
                <w:b/>
                <w:bCs/>
                <w:color w:val="FFFFFF" w:themeColor="background1"/>
                <w:sz w:val="16"/>
                <w:szCs w:val="16"/>
              </w:rPr>
            </w:pPr>
            <w:r w:rsidRPr="00EC5DA5">
              <w:rPr>
                <w:b/>
                <w:bCs/>
                <w:color w:val="FFFFFF" w:themeColor="background1"/>
                <w:sz w:val="16"/>
                <w:szCs w:val="16"/>
              </w:rPr>
              <w:t>Average Total Hourly Impact (MWh)</w:t>
            </w:r>
          </w:p>
        </w:tc>
        <w:tc>
          <w:tcPr>
            <w:tcW w:w="900"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920140" w:rsidRPr="00EC5DA5" w:rsidRDefault="00920140" w:rsidP="00920140">
            <w:pPr>
              <w:keepNext/>
              <w:keepLines/>
              <w:autoSpaceDE w:val="0"/>
              <w:autoSpaceDN w:val="0"/>
              <w:adjustRightInd w:val="0"/>
              <w:spacing w:before="40" w:after="40"/>
              <w:jc w:val="center"/>
              <w:rPr>
                <w:b/>
                <w:bCs/>
                <w:color w:val="FFFFFF" w:themeColor="background1"/>
                <w:sz w:val="16"/>
                <w:szCs w:val="16"/>
              </w:rPr>
            </w:pPr>
            <w:r w:rsidRPr="00EC5DA5">
              <w:rPr>
                <w:b/>
                <w:bCs/>
                <w:color w:val="FFFFFF" w:themeColor="background1"/>
                <w:sz w:val="16"/>
                <w:szCs w:val="16"/>
              </w:rPr>
              <w:t>Avg. Hourly Reference Load (kWh)</w:t>
            </w:r>
          </w:p>
        </w:tc>
        <w:tc>
          <w:tcPr>
            <w:tcW w:w="832"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920140" w:rsidRPr="00EC5DA5" w:rsidRDefault="00920140" w:rsidP="00920140">
            <w:pPr>
              <w:keepNext/>
              <w:keepLines/>
              <w:autoSpaceDE w:val="0"/>
              <w:autoSpaceDN w:val="0"/>
              <w:adjustRightInd w:val="0"/>
              <w:spacing w:before="40" w:after="40"/>
              <w:jc w:val="center"/>
              <w:rPr>
                <w:b/>
                <w:bCs/>
                <w:color w:val="FFFFFF" w:themeColor="background1"/>
                <w:sz w:val="16"/>
                <w:szCs w:val="16"/>
              </w:rPr>
            </w:pPr>
            <w:r w:rsidRPr="00EC5DA5">
              <w:rPr>
                <w:b/>
                <w:bCs/>
                <w:color w:val="FFFFFF" w:themeColor="background1"/>
                <w:sz w:val="16"/>
                <w:szCs w:val="16"/>
              </w:rPr>
              <w:t>Avg. Hourly Observed Load (kWh)</w:t>
            </w:r>
          </w:p>
        </w:tc>
        <w:tc>
          <w:tcPr>
            <w:tcW w:w="698"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920140" w:rsidRPr="00EC5DA5" w:rsidRDefault="00920140" w:rsidP="00920140">
            <w:pPr>
              <w:keepNext/>
              <w:keepLines/>
              <w:autoSpaceDE w:val="0"/>
              <w:autoSpaceDN w:val="0"/>
              <w:adjustRightInd w:val="0"/>
              <w:spacing w:before="40" w:after="40"/>
              <w:jc w:val="center"/>
              <w:rPr>
                <w:b/>
                <w:bCs/>
                <w:color w:val="FFFFFF" w:themeColor="background1"/>
                <w:sz w:val="16"/>
                <w:szCs w:val="16"/>
              </w:rPr>
            </w:pPr>
            <w:r w:rsidRPr="00EC5DA5">
              <w:rPr>
                <w:b/>
                <w:bCs/>
                <w:color w:val="FFFFFF" w:themeColor="background1"/>
                <w:sz w:val="16"/>
                <w:szCs w:val="16"/>
              </w:rPr>
              <w:t>Avg. Hourly Impact (kWh)</w:t>
            </w:r>
          </w:p>
        </w:tc>
        <w:tc>
          <w:tcPr>
            <w:tcW w:w="720"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920140" w:rsidRPr="00EC5DA5" w:rsidRDefault="00920140" w:rsidP="00920140">
            <w:pPr>
              <w:keepNext/>
              <w:keepLines/>
              <w:autoSpaceDE w:val="0"/>
              <w:autoSpaceDN w:val="0"/>
              <w:adjustRightInd w:val="0"/>
              <w:spacing w:before="40" w:after="40"/>
              <w:jc w:val="center"/>
              <w:rPr>
                <w:b/>
                <w:bCs/>
                <w:color w:val="FFFFFF" w:themeColor="background1"/>
                <w:sz w:val="16"/>
                <w:szCs w:val="16"/>
              </w:rPr>
            </w:pPr>
            <w:r w:rsidRPr="00EC5DA5">
              <w:rPr>
                <w:b/>
                <w:bCs/>
                <w:color w:val="FFFFFF" w:themeColor="background1"/>
                <w:sz w:val="16"/>
                <w:szCs w:val="16"/>
              </w:rPr>
              <w:t>Percent Load Reduc-tion</w:t>
            </w:r>
          </w:p>
        </w:tc>
        <w:tc>
          <w:tcPr>
            <w:tcW w:w="748" w:type="dxa"/>
            <w:tcBorders>
              <w:top w:val="nil"/>
              <w:left w:val="single" w:sz="4" w:space="0" w:color="000000"/>
              <w:bottom w:val="single" w:sz="12" w:space="0" w:color="000000"/>
              <w:right w:val="single" w:sz="12" w:space="0" w:color="000000"/>
            </w:tcBorders>
            <w:shd w:val="clear" w:color="auto" w:fill="1F497D" w:themeFill="text2"/>
            <w:tcMar>
              <w:top w:w="0" w:type="dxa"/>
              <w:left w:w="80" w:type="dxa"/>
              <w:bottom w:w="0" w:type="dxa"/>
              <w:right w:w="80" w:type="dxa"/>
            </w:tcMar>
            <w:vAlign w:val="bottom"/>
            <w:hideMark/>
          </w:tcPr>
          <w:p w:rsidR="00920140" w:rsidRPr="00EC5DA5" w:rsidRDefault="00920140" w:rsidP="00920140">
            <w:pPr>
              <w:keepNext/>
              <w:keepLines/>
              <w:autoSpaceDE w:val="0"/>
              <w:autoSpaceDN w:val="0"/>
              <w:adjustRightInd w:val="0"/>
              <w:spacing w:before="40" w:after="40"/>
              <w:jc w:val="center"/>
              <w:rPr>
                <w:b/>
                <w:bCs/>
                <w:color w:val="FFFFFF" w:themeColor="background1"/>
                <w:sz w:val="16"/>
                <w:szCs w:val="16"/>
              </w:rPr>
            </w:pPr>
            <w:r w:rsidRPr="00EC5DA5">
              <w:rPr>
                <w:b/>
                <w:bCs/>
                <w:color w:val="FFFFFF" w:themeColor="background1"/>
                <w:sz w:val="16"/>
                <w:szCs w:val="16"/>
              </w:rPr>
              <w:t>Avg. Total Hourly Impact (MWh)</w:t>
            </w:r>
          </w:p>
        </w:tc>
      </w:tr>
      <w:tr w:rsidR="00920140" w:rsidRPr="001F7689" w:rsidTr="00920140">
        <w:trPr>
          <w:cantSplit/>
        </w:trPr>
        <w:tc>
          <w:tcPr>
            <w:tcW w:w="612" w:type="dxa"/>
            <w:vMerge w:val="restart"/>
            <w:tcBorders>
              <w:top w:val="single" w:sz="12" w:space="0" w:color="000000"/>
              <w:left w:val="single" w:sz="12" w:space="0" w:color="000000"/>
              <w:bottom w:val="single" w:sz="12" w:space="0" w:color="000000"/>
              <w:right w:val="nil"/>
            </w:tcBorders>
            <w:shd w:val="clear" w:color="auto" w:fill="1F497D" w:themeFill="text2"/>
            <w:tcMar>
              <w:top w:w="0" w:type="dxa"/>
              <w:left w:w="80" w:type="dxa"/>
              <w:bottom w:w="0" w:type="dxa"/>
              <w:right w:w="80" w:type="dxa"/>
            </w:tcMar>
            <w:vAlign w:val="center"/>
            <w:hideMark/>
          </w:tcPr>
          <w:p w:rsidR="00920140" w:rsidRPr="00EC5DA5" w:rsidRDefault="00920140" w:rsidP="00920140">
            <w:pPr>
              <w:keepNext/>
              <w:keepLines/>
              <w:autoSpaceDE w:val="0"/>
              <w:autoSpaceDN w:val="0"/>
              <w:adjustRightInd w:val="0"/>
              <w:spacing w:before="40" w:after="40"/>
              <w:jc w:val="center"/>
              <w:rPr>
                <w:b/>
                <w:bCs/>
                <w:color w:val="FFFFFF" w:themeColor="background1"/>
                <w:sz w:val="16"/>
                <w:szCs w:val="16"/>
              </w:rPr>
            </w:pPr>
            <w:r w:rsidRPr="00EC5DA5">
              <w:rPr>
                <w:b/>
                <w:bCs/>
                <w:color w:val="FFFFFF" w:themeColor="background1"/>
                <w:sz w:val="16"/>
                <w:szCs w:val="16"/>
              </w:rPr>
              <w:t>ALL</w:t>
            </w:r>
          </w:p>
        </w:tc>
        <w:tc>
          <w:tcPr>
            <w:tcW w:w="925" w:type="dxa"/>
            <w:vMerge w:val="restart"/>
            <w:tcBorders>
              <w:top w:val="single" w:sz="12" w:space="0" w:color="000000"/>
              <w:left w:val="single" w:sz="4" w:space="0" w:color="000000"/>
              <w:bottom w:val="single" w:sz="4" w:space="0" w:color="000000"/>
              <w:right w:val="nil"/>
            </w:tcBorders>
            <w:shd w:val="clear" w:color="auto" w:fill="1F497D" w:themeFill="text2"/>
            <w:tcMar>
              <w:top w:w="0" w:type="dxa"/>
              <w:left w:w="80" w:type="dxa"/>
              <w:bottom w:w="0" w:type="dxa"/>
              <w:right w:w="80" w:type="dxa"/>
            </w:tcMar>
            <w:vAlign w:val="center"/>
            <w:hideMark/>
          </w:tcPr>
          <w:p w:rsidR="00920140" w:rsidRPr="00EC5DA5" w:rsidRDefault="00920140" w:rsidP="00920140">
            <w:pPr>
              <w:keepNext/>
              <w:keepLines/>
              <w:autoSpaceDE w:val="0"/>
              <w:autoSpaceDN w:val="0"/>
              <w:adjustRightInd w:val="0"/>
              <w:spacing w:before="40" w:after="40"/>
              <w:rPr>
                <w:b/>
                <w:bCs/>
                <w:color w:val="FFFFFF" w:themeColor="background1"/>
                <w:sz w:val="16"/>
                <w:szCs w:val="16"/>
              </w:rPr>
            </w:pPr>
            <w:r w:rsidRPr="00EC5DA5">
              <w:rPr>
                <w:b/>
                <w:bCs/>
                <w:color w:val="FFFFFF" w:themeColor="background1"/>
                <w:sz w:val="16"/>
                <w:szCs w:val="16"/>
              </w:rPr>
              <w:t>Average Weekday</w:t>
            </w:r>
          </w:p>
        </w:tc>
        <w:tc>
          <w:tcPr>
            <w:tcW w:w="505" w:type="dxa"/>
            <w:tcBorders>
              <w:top w:val="single" w:sz="12" w:space="0" w:color="000000"/>
              <w:left w:val="single" w:sz="4" w:space="0" w:color="000000"/>
              <w:bottom w:val="single" w:sz="4" w:space="0" w:color="000000"/>
              <w:right w:val="nil"/>
            </w:tcBorders>
            <w:shd w:val="pct20" w:color="FFFFFF" w:themeColor="background1" w:fill="auto"/>
            <w:tcMar>
              <w:top w:w="0" w:type="dxa"/>
              <w:left w:w="80" w:type="dxa"/>
              <w:bottom w:w="0" w:type="dxa"/>
              <w:right w:w="80" w:type="dxa"/>
            </w:tcMar>
            <w:vAlign w:val="center"/>
            <w:hideMark/>
          </w:tcPr>
          <w:p w:rsidR="00920140" w:rsidRPr="001F7689" w:rsidRDefault="00920140" w:rsidP="00920140">
            <w:pPr>
              <w:keepNext/>
              <w:keepLines/>
              <w:autoSpaceDE w:val="0"/>
              <w:autoSpaceDN w:val="0"/>
              <w:adjustRightInd w:val="0"/>
              <w:spacing w:before="40" w:after="40"/>
              <w:rPr>
                <w:b/>
                <w:bCs/>
                <w:color w:val="000000"/>
                <w:sz w:val="16"/>
                <w:szCs w:val="16"/>
              </w:rPr>
            </w:pPr>
            <w:r w:rsidRPr="001F7689">
              <w:rPr>
                <w:b/>
                <w:bCs/>
                <w:color w:val="000000"/>
                <w:sz w:val="16"/>
                <w:szCs w:val="16"/>
              </w:rPr>
              <w:t>Jun</w:t>
            </w:r>
          </w:p>
        </w:tc>
        <w:tc>
          <w:tcPr>
            <w:tcW w:w="900" w:type="dxa"/>
            <w:tcBorders>
              <w:top w:val="single" w:sz="12" w:space="0" w:color="000000"/>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0.88</w:t>
            </w:r>
          </w:p>
        </w:tc>
        <w:tc>
          <w:tcPr>
            <w:tcW w:w="900" w:type="dxa"/>
            <w:tcBorders>
              <w:top w:val="single" w:sz="12" w:space="0" w:color="000000"/>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0.86</w:t>
            </w:r>
          </w:p>
        </w:tc>
        <w:tc>
          <w:tcPr>
            <w:tcW w:w="810" w:type="dxa"/>
            <w:tcBorders>
              <w:top w:val="single" w:sz="12" w:space="0" w:color="000000"/>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0.025</w:t>
            </w:r>
          </w:p>
        </w:tc>
        <w:tc>
          <w:tcPr>
            <w:tcW w:w="720" w:type="dxa"/>
            <w:tcBorders>
              <w:top w:val="single" w:sz="12" w:space="0" w:color="000000"/>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2.9%</w:t>
            </w:r>
          </w:p>
        </w:tc>
        <w:tc>
          <w:tcPr>
            <w:tcW w:w="810" w:type="dxa"/>
            <w:tcBorders>
              <w:top w:val="single" w:sz="12" w:space="0" w:color="000000"/>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1.76</w:t>
            </w:r>
          </w:p>
        </w:tc>
        <w:tc>
          <w:tcPr>
            <w:tcW w:w="900" w:type="dxa"/>
            <w:tcBorders>
              <w:top w:val="single" w:sz="12" w:space="0" w:color="000000"/>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0.68</w:t>
            </w:r>
          </w:p>
        </w:tc>
        <w:tc>
          <w:tcPr>
            <w:tcW w:w="832" w:type="dxa"/>
            <w:tcBorders>
              <w:top w:val="single" w:sz="12" w:space="0" w:color="000000"/>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0.66</w:t>
            </w:r>
          </w:p>
        </w:tc>
        <w:tc>
          <w:tcPr>
            <w:tcW w:w="698" w:type="dxa"/>
            <w:tcBorders>
              <w:top w:val="single" w:sz="12" w:space="0" w:color="000000"/>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0.013</w:t>
            </w:r>
          </w:p>
        </w:tc>
        <w:tc>
          <w:tcPr>
            <w:tcW w:w="720" w:type="dxa"/>
            <w:tcBorders>
              <w:top w:val="single" w:sz="12" w:space="0" w:color="000000"/>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2.0%</w:t>
            </w:r>
          </w:p>
        </w:tc>
        <w:tc>
          <w:tcPr>
            <w:tcW w:w="748" w:type="dxa"/>
            <w:tcBorders>
              <w:top w:val="single" w:sz="12" w:space="0" w:color="000000"/>
              <w:left w:val="single" w:sz="4" w:space="0" w:color="000000"/>
              <w:bottom w:val="single" w:sz="4" w:space="0" w:color="000000"/>
              <w:right w:val="single" w:sz="12" w:space="0" w:color="000000"/>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0.91</w:t>
            </w:r>
          </w:p>
        </w:tc>
      </w:tr>
      <w:tr w:rsidR="00920140" w:rsidRPr="001F7689" w:rsidTr="00920140">
        <w:trPr>
          <w:cantSplit/>
        </w:trPr>
        <w:tc>
          <w:tcPr>
            <w:tcW w:w="612" w:type="dxa"/>
            <w:vMerge/>
            <w:tcBorders>
              <w:top w:val="nil"/>
              <w:left w:val="single" w:sz="12" w:space="0" w:color="000000"/>
              <w:bottom w:val="single" w:sz="12" w:space="0" w:color="000000"/>
              <w:right w:val="nil"/>
            </w:tcBorders>
            <w:shd w:val="clear" w:color="auto" w:fill="1F497D" w:themeFill="text2"/>
            <w:vAlign w:val="center"/>
            <w:hideMark/>
          </w:tcPr>
          <w:p w:rsidR="00920140" w:rsidRPr="00EC5DA5" w:rsidRDefault="00920140" w:rsidP="00920140">
            <w:pPr>
              <w:keepNext/>
              <w:keepLines/>
              <w:spacing w:before="40" w:after="40"/>
              <w:rPr>
                <w:b/>
                <w:bCs/>
                <w:color w:val="FFFFFF" w:themeColor="background1"/>
                <w:sz w:val="16"/>
                <w:szCs w:val="16"/>
              </w:rPr>
            </w:pPr>
          </w:p>
        </w:tc>
        <w:tc>
          <w:tcPr>
            <w:tcW w:w="925" w:type="dxa"/>
            <w:vMerge/>
            <w:tcBorders>
              <w:top w:val="nil"/>
              <w:left w:val="single" w:sz="4" w:space="0" w:color="000000"/>
              <w:bottom w:val="single" w:sz="4" w:space="0" w:color="000000"/>
              <w:right w:val="nil"/>
            </w:tcBorders>
            <w:shd w:val="clear" w:color="auto" w:fill="1F497D" w:themeFill="text2"/>
            <w:vAlign w:val="center"/>
            <w:hideMark/>
          </w:tcPr>
          <w:p w:rsidR="00920140" w:rsidRPr="00EC5DA5" w:rsidRDefault="00920140" w:rsidP="00920140">
            <w:pPr>
              <w:keepNext/>
              <w:keepLines/>
              <w:spacing w:before="40" w:after="40"/>
              <w:rPr>
                <w:b/>
                <w:bCs/>
                <w:color w:val="FFFFFF" w:themeColor="background1"/>
                <w:sz w:val="16"/>
                <w:szCs w:val="16"/>
              </w:rPr>
            </w:pPr>
          </w:p>
        </w:tc>
        <w:tc>
          <w:tcPr>
            <w:tcW w:w="505" w:type="dxa"/>
            <w:tcBorders>
              <w:top w:val="nil"/>
              <w:left w:val="single" w:sz="4" w:space="0" w:color="000000"/>
              <w:bottom w:val="single" w:sz="4" w:space="0" w:color="000000"/>
              <w:right w:val="nil"/>
            </w:tcBorders>
            <w:shd w:val="pct20" w:color="FFFFFF" w:themeColor="background1" w:fill="auto"/>
            <w:tcMar>
              <w:top w:w="0" w:type="dxa"/>
              <w:left w:w="80" w:type="dxa"/>
              <w:bottom w:w="0" w:type="dxa"/>
              <w:right w:w="80" w:type="dxa"/>
            </w:tcMar>
            <w:vAlign w:val="center"/>
            <w:hideMark/>
          </w:tcPr>
          <w:p w:rsidR="00920140" w:rsidRPr="001F7689" w:rsidRDefault="00920140" w:rsidP="00920140">
            <w:pPr>
              <w:keepNext/>
              <w:keepLines/>
              <w:autoSpaceDE w:val="0"/>
              <w:autoSpaceDN w:val="0"/>
              <w:adjustRightInd w:val="0"/>
              <w:spacing w:before="40" w:after="40"/>
              <w:rPr>
                <w:b/>
                <w:bCs/>
                <w:color w:val="000000"/>
                <w:sz w:val="16"/>
                <w:szCs w:val="16"/>
              </w:rPr>
            </w:pPr>
            <w:r w:rsidRPr="001F7689">
              <w:rPr>
                <w:b/>
                <w:bCs/>
                <w:color w:val="000000"/>
                <w:sz w:val="16"/>
                <w:szCs w:val="16"/>
              </w:rPr>
              <w:t>Jul</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0.96</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0.93</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0.029</w:t>
            </w:r>
          </w:p>
        </w:tc>
        <w:tc>
          <w:tcPr>
            <w:tcW w:w="72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3.0%</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2.02</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0.84</w:t>
            </w:r>
          </w:p>
        </w:tc>
        <w:tc>
          <w:tcPr>
            <w:tcW w:w="832"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0.82</w:t>
            </w:r>
          </w:p>
        </w:tc>
        <w:tc>
          <w:tcPr>
            <w:tcW w:w="698"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0.022</w:t>
            </w:r>
          </w:p>
        </w:tc>
        <w:tc>
          <w:tcPr>
            <w:tcW w:w="72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2.6%</w:t>
            </w:r>
          </w:p>
        </w:tc>
        <w:tc>
          <w:tcPr>
            <w:tcW w:w="748" w:type="dxa"/>
            <w:tcBorders>
              <w:top w:val="nil"/>
              <w:left w:val="single" w:sz="4" w:space="0" w:color="000000"/>
              <w:bottom w:val="single" w:sz="4" w:space="0" w:color="000000"/>
              <w:right w:val="single" w:sz="12" w:space="0" w:color="000000"/>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1.54</w:t>
            </w:r>
          </w:p>
        </w:tc>
      </w:tr>
      <w:tr w:rsidR="00920140" w:rsidRPr="001F7689" w:rsidTr="00920140">
        <w:trPr>
          <w:cantSplit/>
        </w:trPr>
        <w:tc>
          <w:tcPr>
            <w:tcW w:w="612" w:type="dxa"/>
            <w:vMerge/>
            <w:tcBorders>
              <w:top w:val="nil"/>
              <w:left w:val="single" w:sz="12" w:space="0" w:color="000000"/>
              <w:bottom w:val="single" w:sz="12" w:space="0" w:color="000000"/>
              <w:right w:val="nil"/>
            </w:tcBorders>
            <w:shd w:val="clear" w:color="auto" w:fill="1F497D" w:themeFill="text2"/>
            <w:vAlign w:val="center"/>
            <w:hideMark/>
          </w:tcPr>
          <w:p w:rsidR="00920140" w:rsidRPr="00EC5DA5" w:rsidRDefault="00920140" w:rsidP="00920140">
            <w:pPr>
              <w:keepNext/>
              <w:keepLines/>
              <w:spacing w:before="40" w:after="40"/>
              <w:rPr>
                <w:b/>
                <w:bCs/>
                <w:color w:val="FFFFFF" w:themeColor="background1"/>
                <w:sz w:val="16"/>
                <w:szCs w:val="16"/>
              </w:rPr>
            </w:pPr>
          </w:p>
        </w:tc>
        <w:tc>
          <w:tcPr>
            <w:tcW w:w="925" w:type="dxa"/>
            <w:vMerge/>
            <w:tcBorders>
              <w:top w:val="nil"/>
              <w:left w:val="single" w:sz="4" w:space="0" w:color="000000"/>
              <w:bottom w:val="single" w:sz="4" w:space="0" w:color="000000"/>
              <w:right w:val="nil"/>
            </w:tcBorders>
            <w:shd w:val="clear" w:color="auto" w:fill="1F497D" w:themeFill="text2"/>
            <w:vAlign w:val="center"/>
            <w:hideMark/>
          </w:tcPr>
          <w:p w:rsidR="00920140" w:rsidRPr="00EC5DA5" w:rsidRDefault="00920140" w:rsidP="00920140">
            <w:pPr>
              <w:keepNext/>
              <w:keepLines/>
              <w:spacing w:before="40" w:after="40"/>
              <w:rPr>
                <w:b/>
                <w:bCs/>
                <w:color w:val="FFFFFF" w:themeColor="background1"/>
                <w:sz w:val="16"/>
                <w:szCs w:val="16"/>
              </w:rPr>
            </w:pPr>
          </w:p>
        </w:tc>
        <w:tc>
          <w:tcPr>
            <w:tcW w:w="505" w:type="dxa"/>
            <w:tcBorders>
              <w:top w:val="nil"/>
              <w:left w:val="single" w:sz="4" w:space="0" w:color="000000"/>
              <w:bottom w:val="single" w:sz="4" w:space="0" w:color="000000"/>
              <w:right w:val="nil"/>
            </w:tcBorders>
            <w:shd w:val="pct20" w:color="FFFFFF" w:themeColor="background1" w:fill="auto"/>
            <w:tcMar>
              <w:top w:w="0" w:type="dxa"/>
              <w:left w:w="80" w:type="dxa"/>
              <w:bottom w:w="0" w:type="dxa"/>
              <w:right w:w="80" w:type="dxa"/>
            </w:tcMar>
            <w:vAlign w:val="center"/>
            <w:hideMark/>
          </w:tcPr>
          <w:p w:rsidR="00920140" w:rsidRPr="001F7689" w:rsidRDefault="00920140" w:rsidP="00920140">
            <w:pPr>
              <w:keepNext/>
              <w:keepLines/>
              <w:autoSpaceDE w:val="0"/>
              <w:autoSpaceDN w:val="0"/>
              <w:adjustRightInd w:val="0"/>
              <w:spacing w:before="40" w:after="40"/>
              <w:rPr>
                <w:b/>
                <w:bCs/>
                <w:color w:val="000000"/>
                <w:sz w:val="16"/>
                <w:szCs w:val="16"/>
              </w:rPr>
            </w:pPr>
            <w:r w:rsidRPr="001F7689">
              <w:rPr>
                <w:b/>
                <w:bCs/>
                <w:color w:val="000000"/>
                <w:sz w:val="16"/>
                <w:szCs w:val="16"/>
              </w:rPr>
              <w:t>Aug</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1.09</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1.05</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0.034</w:t>
            </w:r>
          </w:p>
        </w:tc>
        <w:tc>
          <w:tcPr>
            <w:tcW w:w="72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3.1%</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2.33</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0.96</w:t>
            </w:r>
          </w:p>
        </w:tc>
        <w:tc>
          <w:tcPr>
            <w:tcW w:w="832"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0.94</w:t>
            </w:r>
          </w:p>
        </w:tc>
        <w:tc>
          <w:tcPr>
            <w:tcW w:w="698"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0.026</w:t>
            </w:r>
          </w:p>
        </w:tc>
        <w:tc>
          <w:tcPr>
            <w:tcW w:w="72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2.7%</w:t>
            </w:r>
          </w:p>
        </w:tc>
        <w:tc>
          <w:tcPr>
            <w:tcW w:w="748" w:type="dxa"/>
            <w:tcBorders>
              <w:top w:val="nil"/>
              <w:left w:val="single" w:sz="4" w:space="0" w:color="000000"/>
              <w:bottom w:val="single" w:sz="4" w:space="0" w:color="000000"/>
              <w:right w:val="single" w:sz="12" w:space="0" w:color="000000"/>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1.83</w:t>
            </w:r>
          </w:p>
        </w:tc>
      </w:tr>
      <w:tr w:rsidR="00920140" w:rsidRPr="001F7689" w:rsidTr="00920140">
        <w:trPr>
          <w:cantSplit/>
        </w:trPr>
        <w:tc>
          <w:tcPr>
            <w:tcW w:w="612" w:type="dxa"/>
            <w:vMerge/>
            <w:tcBorders>
              <w:top w:val="nil"/>
              <w:left w:val="single" w:sz="12" w:space="0" w:color="000000"/>
              <w:bottom w:val="single" w:sz="12" w:space="0" w:color="000000"/>
              <w:right w:val="nil"/>
            </w:tcBorders>
            <w:shd w:val="clear" w:color="auto" w:fill="1F497D" w:themeFill="text2"/>
            <w:vAlign w:val="center"/>
            <w:hideMark/>
          </w:tcPr>
          <w:p w:rsidR="00920140" w:rsidRPr="00EC5DA5" w:rsidRDefault="00920140" w:rsidP="00920140">
            <w:pPr>
              <w:keepNext/>
              <w:keepLines/>
              <w:spacing w:before="40" w:after="40"/>
              <w:rPr>
                <w:b/>
                <w:bCs/>
                <w:color w:val="FFFFFF" w:themeColor="background1"/>
                <w:sz w:val="16"/>
                <w:szCs w:val="16"/>
              </w:rPr>
            </w:pPr>
          </w:p>
        </w:tc>
        <w:tc>
          <w:tcPr>
            <w:tcW w:w="925" w:type="dxa"/>
            <w:vMerge w:val="restart"/>
            <w:tcBorders>
              <w:top w:val="nil"/>
              <w:left w:val="single" w:sz="4" w:space="0" w:color="000000"/>
              <w:bottom w:val="single" w:sz="4" w:space="0" w:color="000000"/>
              <w:right w:val="nil"/>
            </w:tcBorders>
            <w:shd w:val="clear" w:color="auto" w:fill="1F497D" w:themeFill="text2"/>
            <w:tcMar>
              <w:top w:w="0" w:type="dxa"/>
              <w:left w:w="80" w:type="dxa"/>
              <w:bottom w:w="0" w:type="dxa"/>
              <w:right w:w="80" w:type="dxa"/>
            </w:tcMar>
            <w:vAlign w:val="center"/>
            <w:hideMark/>
          </w:tcPr>
          <w:p w:rsidR="00920140" w:rsidRPr="00EC5DA5" w:rsidRDefault="00920140" w:rsidP="00920140">
            <w:pPr>
              <w:keepNext/>
              <w:keepLines/>
              <w:autoSpaceDE w:val="0"/>
              <w:autoSpaceDN w:val="0"/>
              <w:adjustRightInd w:val="0"/>
              <w:spacing w:before="40" w:after="40"/>
              <w:rPr>
                <w:b/>
                <w:bCs/>
                <w:color w:val="FFFFFF" w:themeColor="background1"/>
                <w:sz w:val="16"/>
                <w:szCs w:val="16"/>
              </w:rPr>
            </w:pPr>
            <w:r w:rsidRPr="00EC5DA5">
              <w:rPr>
                <w:b/>
                <w:bCs/>
                <w:color w:val="FFFFFF" w:themeColor="background1"/>
                <w:sz w:val="16"/>
                <w:szCs w:val="16"/>
              </w:rPr>
              <w:t>Monthly System Peak Day</w:t>
            </w:r>
          </w:p>
        </w:tc>
        <w:tc>
          <w:tcPr>
            <w:tcW w:w="505" w:type="dxa"/>
            <w:tcBorders>
              <w:top w:val="nil"/>
              <w:left w:val="single" w:sz="4" w:space="0" w:color="000000"/>
              <w:bottom w:val="single" w:sz="4" w:space="0" w:color="000000"/>
              <w:right w:val="nil"/>
            </w:tcBorders>
            <w:shd w:val="pct20" w:color="FFFFFF" w:themeColor="background1" w:fill="auto"/>
            <w:tcMar>
              <w:top w:w="0" w:type="dxa"/>
              <w:left w:w="80" w:type="dxa"/>
              <w:bottom w:w="0" w:type="dxa"/>
              <w:right w:w="80" w:type="dxa"/>
            </w:tcMar>
            <w:vAlign w:val="center"/>
            <w:hideMark/>
          </w:tcPr>
          <w:p w:rsidR="00920140" w:rsidRPr="001F7689" w:rsidRDefault="00920140" w:rsidP="00920140">
            <w:pPr>
              <w:keepNext/>
              <w:keepLines/>
              <w:autoSpaceDE w:val="0"/>
              <w:autoSpaceDN w:val="0"/>
              <w:adjustRightInd w:val="0"/>
              <w:spacing w:before="40" w:after="40"/>
              <w:rPr>
                <w:b/>
                <w:bCs/>
                <w:color w:val="000000"/>
                <w:sz w:val="16"/>
                <w:szCs w:val="16"/>
              </w:rPr>
            </w:pPr>
            <w:r w:rsidRPr="001F7689">
              <w:rPr>
                <w:b/>
                <w:bCs/>
                <w:color w:val="000000"/>
                <w:sz w:val="16"/>
                <w:szCs w:val="16"/>
              </w:rPr>
              <w:t>Jun</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1.19</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1.15</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0.044</w:t>
            </w:r>
          </w:p>
        </w:tc>
        <w:tc>
          <w:tcPr>
            <w:tcW w:w="72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3.7%</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3.03</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0.90</w:t>
            </w:r>
          </w:p>
        </w:tc>
        <w:tc>
          <w:tcPr>
            <w:tcW w:w="832"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0.87</w:t>
            </w:r>
          </w:p>
        </w:tc>
        <w:tc>
          <w:tcPr>
            <w:tcW w:w="698"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0.027</w:t>
            </w:r>
          </w:p>
        </w:tc>
        <w:tc>
          <w:tcPr>
            <w:tcW w:w="72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3.0%</w:t>
            </w:r>
          </w:p>
        </w:tc>
        <w:tc>
          <w:tcPr>
            <w:tcW w:w="748" w:type="dxa"/>
            <w:tcBorders>
              <w:top w:val="nil"/>
              <w:left w:val="single" w:sz="4" w:space="0" w:color="000000"/>
              <w:bottom w:val="single" w:sz="4" w:space="0" w:color="000000"/>
              <w:right w:val="single" w:sz="12" w:space="0" w:color="000000"/>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1.83</w:t>
            </w:r>
          </w:p>
        </w:tc>
      </w:tr>
      <w:tr w:rsidR="00920140" w:rsidRPr="001F7689" w:rsidTr="00920140">
        <w:trPr>
          <w:cantSplit/>
        </w:trPr>
        <w:tc>
          <w:tcPr>
            <w:tcW w:w="612" w:type="dxa"/>
            <w:vMerge/>
            <w:tcBorders>
              <w:top w:val="nil"/>
              <w:left w:val="single" w:sz="12" w:space="0" w:color="000000"/>
              <w:bottom w:val="single" w:sz="12" w:space="0" w:color="000000"/>
              <w:right w:val="nil"/>
            </w:tcBorders>
            <w:shd w:val="clear" w:color="auto" w:fill="1F497D" w:themeFill="text2"/>
            <w:vAlign w:val="center"/>
            <w:hideMark/>
          </w:tcPr>
          <w:p w:rsidR="00920140" w:rsidRPr="00EC5DA5" w:rsidRDefault="00920140" w:rsidP="00920140">
            <w:pPr>
              <w:keepNext/>
              <w:keepLines/>
              <w:spacing w:before="40" w:after="40"/>
              <w:rPr>
                <w:b/>
                <w:bCs/>
                <w:color w:val="FFFFFF" w:themeColor="background1"/>
                <w:sz w:val="16"/>
                <w:szCs w:val="16"/>
              </w:rPr>
            </w:pPr>
          </w:p>
        </w:tc>
        <w:tc>
          <w:tcPr>
            <w:tcW w:w="925" w:type="dxa"/>
            <w:vMerge/>
            <w:tcBorders>
              <w:top w:val="nil"/>
              <w:left w:val="single" w:sz="4" w:space="0" w:color="000000"/>
              <w:bottom w:val="single" w:sz="4" w:space="0" w:color="000000"/>
              <w:right w:val="nil"/>
            </w:tcBorders>
            <w:shd w:val="clear" w:color="auto" w:fill="1F497D" w:themeFill="text2"/>
            <w:vAlign w:val="center"/>
            <w:hideMark/>
          </w:tcPr>
          <w:p w:rsidR="00920140" w:rsidRPr="00EC5DA5" w:rsidRDefault="00920140" w:rsidP="00920140">
            <w:pPr>
              <w:keepNext/>
              <w:keepLines/>
              <w:spacing w:before="40" w:after="40"/>
              <w:rPr>
                <w:b/>
                <w:bCs/>
                <w:color w:val="FFFFFF" w:themeColor="background1"/>
                <w:sz w:val="16"/>
                <w:szCs w:val="16"/>
              </w:rPr>
            </w:pPr>
          </w:p>
        </w:tc>
        <w:tc>
          <w:tcPr>
            <w:tcW w:w="505" w:type="dxa"/>
            <w:tcBorders>
              <w:top w:val="nil"/>
              <w:left w:val="single" w:sz="4" w:space="0" w:color="000000"/>
              <w:bottom w:val="single" w:sz="4" w:space="0" w:color="000000"/>
              <w:right w:val="nil"/>
            </w:tcBorders>
            <w:shd w:val="pct20" w:color="FFFFFF" w:themeColor="background1" w:fill="auto"/>
            <w:tcMar>
              <w:top w:w="0" w:type="dxa"/>
              <w:left w:w="80" w:type="dxa"/>
              <w:bottom w:w="0" w:type="dxa"/>
              <w:right w:w="80" w:type="dxa"/>
            </w:tcMar>
            <w:vAlign w:val="center"/>
            <w:hideMark/>
          </w:tcPr>
          <w:p w:rsidR="00920140" w:rsidRPr="001F7689" w:rsidRDefault="00920140" w:rsidP="00920140">
            <w:pPr>
              <w:keepNext/>
              <w:keepLines/>
              <w:autoSpaceDE w:val="0"/>
              <w:autoSpaceDN w:val="0"/>
              <w:adjustRightInd w:val="0"/>
              <w:spacing w:before="40" w:after="40"/>
              <w:rPr>
                <w:b/>
                <w:bCs/>
                <w:color w:val="000000"/>
                <w:sz w:val="16"/>
                <w:szCs w:val="16"/>
              </w:rPr>
            </w:pPr>
            <w:r w:rsidRPr="001F7689">
              <w:rPr>
                <w:b/>
                <w:bCs/>
                <w:color w:val="000000"/>
                <w:sz w:val="16"/>
                <w:szCs w:val="16"/>
              </w:rPr>
              <w:t>Jul</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1.32</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1.27</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0.051</w:t>
            </w:r>
          </w:p>
        </w:tc>
        <w:tc>
          <w:tcPr>
            <w:tcW w:w="72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3.9%</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3.54</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1.07</w:t>
            </w:r>
          </w:p>
        </w:tc>
        <w:tc>
          <w:tcPr>
            <w:tcW w:w="832"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1.03</w:t>
            </w:r>
          </w:p>
        </w:tc>
        <w:tc>
          <w:tcPr>
            <w:tcW w:w="698"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0.035</w:t>
            </w:r>
          </w:p>
        </w:tc>
        <w:tc>
          <w:tcPr>
            <w:tcW w:w="72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3.3%</w:t>
            </w:r>
          </w:p>
        </w:tc>
        <w:tc>
          <w:tcPr>
            <w:tcW w:w="748" w:type="dxa"/>
            <w:tcBorders>
              <w:top w:val="nil"/>
              <w:left w:val="single" w:sz="4" w:space="0" w:color="000000"/>
              <w:bottom w:val="single" w:sz="4" w:space="0" w:color="000000"/>
              <w:right w:val="single" w:sz="12" w:space="0" w:color="000000"/>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2.43</w:t>
            </w:r>
          </w:p>
        </w:tc>
      </w:tr>
      <w:tr w:rsidR="00920140" w:rsidRPr="001F7689" w:rsidTr="00920140">
        <w:trPr>
          <w:cantSplit/>
        </w:trPr>
        <w:tc>
          <w:tcPr>
            <w:tcW w:w="612" w:type="dxa"/>
            <w:vMerge/>
            <w:tcBorders>
              <w:top w:val="nil"/>
              <w:left w:val="single" w:sz="12" w:space="0" w:color="000000"/>
              <w:bottom w:val="single" w:sz="12" w:space="0" w:color="000000"/>
              <w:right w:val="nil"/>
            </w:tcBorders>
            <w:shd w:val="clear" w:color="auto" w:fill="1F497D" w:themeFill="text2"/>
            <w:vAlign w:val="center"/>
            <w:hideMark/>
          </w:tcPr>
          <w:p w:rsidR="00920140" w:rsidRPr="00EC5DA5" w:rsidRDefault="00920140" w:rsidP="00920140">
            <w:pPr>
              <w:keepNext/>
              <w:keepLines/>
              <w:spacing w:before="40" w:after="40"/>
              <w:rPr>
                <w:b/>
                <w:bCs/>
                <w:color w:val="FFFFFF" w:themeColor="background1"/>
                <w:sz w:val="16"/>
                <w:szCs w:val="16"/>
              </w:rPr>
            </w:pPr>
          </w:p>
        </w:tc>
        <w:tc>
          <w:tcPr>
            <w:tcW w:w="925" w:type="dxa"/>
            <w:vMerge/>
            <w:tcBorders>
              <w:top w:val="nil"/>
              <w:left w:val="single" w:sz="4" w:space="0" w:color="000000"/>
              <w:bottom w:val="single" w:sz="4" w:space="0" w:color="000000"/>
              <w:right w:val="nil"/>
            </w:tcBorders>
            <w:shd w:val="clear" w:color="auto" w:fill="1F497D" w:themeFill="text2"/>
            <w:vAlign w:val="center"/>
            <w:hideMark/>
          </w:tcPr>
          <w:p w:rsidR="00920140" w:rsidRPr="00EC5DA5" w:rsidRDefault="00920140" w:rsidP="00920140">
            <w:pPr>
              <w:keepNext/>
              <w:keepLines/>
              <w:spacing w:before="40" w:after="40"/>
              <w:rPr>
                <w:b/>
                <w:bCs/>
                <w:color w:val="FFFFFF" w:themeColor="background1"/>
                <w:sz w:val="16"/>
                <w:szCs w:val="16"/>
              </w:rPr>
            </w:pPr>
          </w:p>
        </w:tc>
        <w:tc>
          <w:tcPr>
            <w:tcW w:w="505" w:type="dxa"/>
            <w:tcBorders>
              <w:top w:val="nil"/>
              <w:left w:val="single" w:sz="4" w:space="0" w:color="000000"/>
              <w:bottom w:val="single" w:sz="4" w:space="0" w:color="000000"/>
              <w:right w:val="nil"/>
            </w:tcBorders>
            <w:shd w:val="pct20" w:color="FFFFFF" w:themeColor="background1" w:fill="auto"/>
            <w:tcMar>
              <w:top w:w="0" w:type="dxa"/>
              <w:left w:w="80" w:type="dxa"/>
              <w:bottom w:w="0" w:type="dxa"/>
              <w:right w:w="80" w:type="dxa"/>
            </w:tcMar>
            <w:vAlign w:val="center"/>
            <w:hideMark/>
          </w:tcPr>
          <w:p w:rsidR="00920140" w:rsidRPr="001F7689" w:rsidRDefault="00920140" w:rsidP="00920140">
            <w:pPr>
              <w:keepNext/>
              <w:keepLines/>
              <w:autoSpaceDE w:val="0"/>
              <w:autoSpaceDN w:val="0"/>
              <w:adjustRightInd w:val="0"/>
              <w:spacing w:before="40" w:after="40"/>
              <w:rPr>
                <w:b/>
                <w:bCs/>
                <w:color w:val="000000"/>
                <w:sz w:val="16"/>
                <w:szCs w:val="16"/>
              </w:rPr>
            </w:pPr>
            <w:r w:rsidRPr="001F7689">
              <w:rPr>
                <w:b/>
                <w:bCs/>
                <w:color w:val="000000"/>
                <w:sz w:val="16"/>
                <w:szCs w:val="16"/>
              </w:rPr>
              <w:t>Aug</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1.43</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1.38</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0.054</w:t>
            </w:r>
          </w:p>
        </w:tc>
        <w:tc>
          <w:tcPr>
            <w:tcW w:w="72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3.8%</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3.77</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1.20</w:t>
            </w:r>
          </w:p>
        </w:tc>
        <w:tc>
          <w:tcPr>
            <w:tcW w:w="832"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1.16</w:t>
            </w:r>
          </w:p>
        </w:tc>
        <w:tc>
          <w:tcPr>
            <w:tcW w:w="698"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0.041</w:t>
            </w:r>
          </w:p>
        </w:tc>
        <w:tc>
          <w:tcPr>
            <w:tcW w:w="72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3.4%</w:t>
            </w:r>
          </w:p>
        </w:tc>
        <w:tc>
          <w:tcPr>
            <w:tcW w:w="748" w:type="dxa"/>
            <w:tcBorders>
              <w:top w:val="nil"/>
              <w:left w:val="single" w:sz="4" w:space="0" w:color="000000"/>
              <w:bottom w:val="single" w:sz="4" w:space="0" w:color="000000"/>
              <w:right w:val="single" w:sz="12" w:space="0" w:color="000000"/>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2.81</w:t>
            </w:r>
          </w:p>
        </w:tc>
      </w:tr>
      <w:tr w:rsidR="00920140" w:rsidRPr="001F7689" w:rsidTr="00920140">
        <w:trPr>
          <w:cantSplit/>
        </w:trPr>
        <w:tc>
          <w:tcPr>
            <w:tcW w:w="612" w:type="dxa"/>
            <w:vMerge/>
            <w:tcBorders>
              <w:top w:val="nil"/>
              <w:left w:val="single" w:sz="12" w:space="0" w:color="000000"/>
              <w:bottom w:val="single" w:sz="12" w:space="0" w:color="000000"/>
              <w:right w:val="nil"/>
            </w:tcBorders>
            <w:shd w:val="clear" w:color="auto" w:fill="1F497D" w:themeFill="text2"/>
            <w:vAlign w:val="center"/>
            <w:hideMark/>
          </w:tcPr>
          <w:p w:rsidR="00920140" w:rsidRPr="00EC5DA5" w:rsidRDefault="00920140" w:rsidP="00920140">
            <w:pPr>
              <w:keepNext/>
              <w:keepLines/>
              <w:spacing w:before="40" w:after="40"/>
              <w:rPr>
                <w:b/>
                <w:bCs/>
                <w:color w:val="FFFFFF" w:themeColor="background1"/>
                <w:sz w:val="16"/>
                <w:szCs w:val="16"/>
              </w:rPr>
            </w:pPr>
          </w:p>
        </w:tc>
        <w:tc>
          <w:tcPr>
            <w:tcW w:w="925"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center"/>
            <w:hideMark/>
          </w:tcPr>
          <w:p w:rsidR="00920140" w:rsidRPr="00EC5DA5" w:rsidRDefault="00920140" w:rsidP="00920140">
            <w:pPr>
              <w:keepNext/>
              <w:keepLines/>
              <w:autoSpaceDE w:val="0"/>
              <w:autoSpaceDN w:val="0"/>
              <w:adjustRightInd w:val="0"/>
              <w:spacing w:before="40" w:after="40"/>
              <w:rPr>
                <w:b/>
                <w:bCs/>
                <w:color w:val="FFFFFF" w:themeColor="background1"/>
                <w:sz w:val="16"/>
                <w:szCs w:val="16"/>
              </w:rPr>
            </w:pPr>
            <w:r w:rsidRPr="00EC5DA5">
              <w:rPr>
                <w:b/>
                <w:bCs/>
                <w:color w:val="FFFFFF" w:themeColor="background1"/>
                <w:sz w:val="16"/>
                <w:szCs w:val="16"/>
              </w:rPr>
              <w:t>Typical Event Day</w:t>
            </w:r>
          </w:p>
        </w:tc>
        <w:tc>
          <w:tcPr>
            <w:tcW w:w="505" w:type="dxa"/>
            <w:tcBorders>
              <w:top w:val="nil"/>
              <w:left w:val="single" w:sz="4" w:space="0" w:color="000000"/>
              <w:bottom w:val="single" w:sz="12" w:space="0" w:color="000000"/>
              <w:right w:val="nil"/>
            </w:tcBorders>
            <w:shd w:val="pct20" w:color="FFFFFF" w:themeColor="background1" w:fill="auto"/>
            <w:tcMar>
              <w:top w:w="0" w:type="dxa"/>
              <w:left w:w="80" w:type="dxa"/>
              <w:bottom w:w="0" w:type="dxa"/>
              <w:right w:w="80" w:type="dxa"/>
            </w:tcMar>
            <w:vAlign w:val="center"/>
            <w:hideMark/>
          </w:tcPr>
          <w:p w:rsidR="00920140" w:rsidRPr="001F7689" w:rsidRDefault="00920140" w:rsidP="00920140">
            <w:pPr>
              <w:keepNext/>
              <w:keepLines/>
              <w:autoSpaceDE w:val="0"/>
              <w:autoSpaceDN w:val="0"/>
              <w:adjustRightInd w:val="0"/>
              <w:spacing w:before="40" w:after="40"/>
              <w:rPr>
                <w:b/>
                <w:bCs/>
                <w:color w:val="000000"/>
                <w:sz w:val="16"/>
                <w:szCs w:val="16"/>
              </w:rPr>
            </w:pPr>
            <w:r w:rsidRPr="001F7689">
              <w:rPr>
                <w:b/>
                <w:bCs/>
                <w:color w:val="000000"/>
                <w:sz w:val="16"/>
                <w:szCs w:val="16"/>
              </w:rPr>
              <w:t>Aug</w:t>
            </w:r>
          </w:p>
        </w:tc>
        <w:tc>
          <w:tcPr>
            <w:tcW w:w="900" w:type="dxa"/>
            <w:tcBorders>
              <w:top w:val="nil"/>
              <w:left w:val="single" w:sz="4" w:space="0" w:color="000000"/>
              <w:bottom w:val="single" w:sz="12"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1.42</w:t>
            </w:r>
          </w:p>
        </w:tc>
        <w:tc>
          <w:tcPr>
            <w:tcW w:w="900" w:type="dxa"/>
            <w:tcBorders>
              <w:top w:val="nil"/>
              <w:left w:val="single" w:sz="4" w:space="0" w:color="000000"/>
              <w:bottom w:val="single" w:sz="12"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1.36</w:t>
            </w:r>
          </w:p>
        </w:tc>
        <w:tc>
          <w:tcPr>
            <w:tcW w:w="810" w:type="dxa"/>
            <w:tcBorders>
              <w:top w:val="nil"/>
              <w:left w:val="single" w:sz="4" w:space="0" w:color="000000"/>
              <w:bottom w:val="single" w:sz="12"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0.053</w:t>
            </w:r>
          </w:p>
        </w:tc>
        <w:tc>
          <w:tcPr>
            <w:tcW w:w="720" w:type="dxa"/>
            <w:tcBorders>
              <w:top w:val="nil"/>
              <w:left w:val="single" w:sz="4" w:space="0" w:color="000000"/>
              <w:bottom w:val="single" w:sz="12"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3.8%</w:t>
            </w:r>
          </w:p>
        </w:tc>
        <w:tc>
          <w:tcPr>
            <w:tcW w:w="810" w:type="dxa"/>
            <w:tcBorders>
              <w:top w:val="nil"/>
              <w:left w:val="single" w:sz="4" w:space="0" w:color="000000"/>
              <w:bottom w:val="single" w:sz="12"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3.71</w:t>
            </w:r>
          </w:p>
        </w:tc>
        <w:tc>
          <w:tcPr>
            <w:tcW w:w="900" w:type="dxa"/>
            <w:tcBorders>
              <w:top w:val="nil"/>
              <w:left w:val="single" w:sz="4" w:space="0" w:color="000000"/>
              <w:bottom w:val="single" w:sz="12"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1.17</w:t>
            </w:r>
          </w:p>
        </w:tc>
        <w:tc>
          <w:tcPr>
            <w:tcW w:w="832" w:type="dxa"/>
            <w:tcBorders>
              <w:top w:val="nil"/>
              <w:left w:val="single" w:sz="4" w:space="0" w:color="000000"/>
              <w:bottom w:val="single" w:sz="12"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1.13</w:t>
            </w:r>
          </w:p>
        </w:tc>
        <w:tc>
          <w:tcPr>
            <w:tcW w:w="698" w:type="dxa"/>
            <w:tcBorders>
              <w:top w:val="nil"/>
              <w:left w:val="single" w:sz="4" w:space="0" w:color="000000"/>
              <w:bottom w:val="single" w:sz="12"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0.039</w:t>
            </w:r>
          </w:p>
        </w:tc>
        <w:tc>
          <w:tcPr>
            <w:tcW w:w="720" w:type="dxa"/>
            <w:tcBorders>
              <w:top w:val="nil"/>
              <w:left w:val="single" w:sz="4" w:space="0" w:color="000000"/>
              <w:bottom w:val="single" w:sz="12" w:space="0" w:color="000000"/>
              <w:right w:val="nil"/>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3.3%</w:t>
            </w:r>
          </w:p>
        </w:tc>
        <w:tc>
          <w:tcPr>
            <w:tcW w:w="748" w:type="dxa"/>
            <w:tcBorders>
              <w:top w:val="nil"/>
              <w:left w:val="single" w:sz="4" w:space="0" w:color="000000"/>
              <w:bottom w:val="single" w:sz="12" w:space="0" w:color="000000"/>
              <w:right w:val="single" w:sz="12" w:space="0" w:color="000000"/>
            </w:tcBorders>
            <w:shd w:val="clear" w:color="auto" w:fill="FFFFFF"/>
            <w:tcMar>
              <w:top w:w="0" w:type="dxa"/>
              <w:left w:w="80" w:type="dxa"/>
              <w:bottom w:w="0" w:type="dxa"/>
              <w:right w:w="80" w:type="dxa"/>
            </w:tcMar>
            <w:vAlign w:val="center"/>
          </w:tcPr>
          <w:p w:rsidR="00920140" w:rsidRDefault="00920140" w:rsidP="00920140">
            <w:pPr>
              <w:keepNext/>
              <w:keepLines/>
              <w:autoSpaceDE w:val="0"/>
              <w:autoSpaceDN w:val="0"/>
              <w:adjustRightInd w:val="0"/>
              <w:spacing w:before="40" w:after="40"/>
              <w:jc w:val="center"/>
              <w:rPr>
                <w:color w:val="000000"/>
                <w:sz w:val="16"/>
                <w:szCs w:val="16"/>
              </w:rPr>
            </w:pPr>
            <w:r>
              <w:rPr>
                <w:color w:val="000000"/>
                <w:sz w:val="16"/>
                <w:szCs w:val="16"/>
              </w:rPr>
              <w:t>2.67</w:t>
            </w:r>
          </w:p>
        </w:tc>
      </w:tr>
    </w:tbl>
    <w:p w:rsidR="00920140" w:rsidRDefault="00920140" w:rsidP="00920140"/>
    <w:p w:rsidR="00920140" w:rsidRPr="00C45F33" w:rsidRDefault="00920140" w:rsidP="00C45F33">
      <w:pPr>
        <w:pStyle w:val="Heading3"/>
        <w:ind w:left="720"/>
        <w:rPr>
          <w:rFonts w:ascii="Times New Roman" w:hAnsi="Times New Roman" w:cs="Times New Roman"/>
        </w:rPr>
      </w:pPr>
      <w:bookmarkStart w:id="218" w:name="_Toc415749015"/>
      <w:bookmarkStart w:id="219" w:name="_Toc447179827"/>
      <w:r w:rsidRPr="00C45F33">
        <w:rPr>
          <w:rFonts w:ascii="Times New Roman" w:hAnsi="Times New Roman" w:cs="Times New Roman"/>
        </w:rPr>
        <w:t>PTR Dually Enrolled in Summer Saver</w:t>
      </w:r>
      <w:bookmarkEnd w:id="218"/>
      <w:bookmarkEnd w:id="219"/>
    </w:p>
    <w:p w:rsidR="00920140" w:rsidRDefault="00920140" w:rsidP="00920140"/>
    <w:p w:rsidR="00920140" w:rsidRPr="00B777EF" w:rsidRDefault="00920140" w:rsidP="00920140">
      <w:pPr>
        <w:spacing w:line="276" w:lineRule="auto"/>
        <w:ind w:firstLine="360"/>
        <w:rPr>
          <w:color w:val="000000" w:themeColor="text1"/>
        </w:rPr>
      </w:pPr>
      <w:r w:rsidRPr="00B777EF">
        <w:rPr>
          <w:color w:val="000000" w:themeColor="text1"/>
        </w:rPr>
        <w:fldChar w:fldCharType="begin"/>
      </w:r>
      <w:r w:rsidRPr="00B777EF">
        <w:rPr>
          <w:color w:val="000000" w:themeColor="text1"/>
        </w:rPr>
        <w:instrText xml:space="preserve"> REF _Ref445988004 \h </w:instrText>
      </w:r>
      <w:r w:rsidR="00C45F33" w:rsidRPr="00B777EF">
        <w:rPr>
          <w:color w:val="000000" w:themeColor="text1"/>
        </w:rPr>
        <w:instrText xml:space="preserve"> \* MERGEFORMAT </w:instrText>
      </w:r>
      <w:r w:rsidRPr="00B777EF">
        <w:rPr>
          <w:color w:val="000000" w:themeColor="text1"/>
        </w:rPr>
      </w:r>
      <w:r w:rsidRPr="00B777EF">
        <w:rPr>
          <w:color w:val="000000" w:themeColor="text1"/>
        </w:rPr>
        <w:fldChar w:fldCharType="separate"/>
      </w:r>
      <w:r w:rsidR="003E6B6C" w:rsidRPr="003E6B6C">
        <w:rPr>
          <w:color w:val="000000" w:themeColor="text1"/>
          <w:sz w:val="22"/>
          <w:szCs w:val="22"/>
        </w:rPr>
        <w:t>Table 7-</w:t>
      </w:r>
      <w:r w:rsidR="0024252A">
        <w:rPr>
          <w:color w:val="000000" w:themeColor="text1"/>
          <w:sz w:val="22"/>
          <w:szCs w:val="22"/>
        </w:rPr>
        <w:t>6</w:t>
      </w:r>
      <w:r w:rsidRPr="00B777EF">
        <w:rPr>
          <w:color w:val="000000" w:themeColor="text1"/>
        </w:rPr>
        <w:fldChar w:fldCharType="end"/>
      </w:r>
      <w:r w:rsidRPr="00B777EF">
        <w:rPr>
          <w:color w:val="000000" w:themeColor="text1"/>
        </w:rPr>
        <w:t xml:space="preserve"> shows the ex ante load impact estimates for the average PTR customer dually enrolled in Summer Saver for the various combinations of day types and weather scenarios for 2017.  For a 1-in-2 typical event day, the estimated load reduction for the average participant is 0.16 kW during event hours.  For a 1-in-10 typical event day, the estimated load reduction is higher, at 0.23 kW.  These estimates are higher than the PTR-only.  The average estimated aggregate load reductions are 0.72 MW (11.7%) and 1.02 MW (13.1%), respectively.</w:t>
      </w:r>
    </w:p>
    <w:p w:rsidR="00920140" w:rsidRPr="00B777EF" w:rsidRDefault="00920140" w:rsidP="00920140">
      <w:pPr>
        <w:spacing w:line="276" w:lineRule="auto"/>
        <w:ind w:firstLine="360"/>
        <w:rPr>
          <w:color w:val="000000" w:themeColor="text1"/>
        </w:rPr>
      </w:pPr>
    </w:p>
    <w:p w:rsidR="00920140" w:rsidRDefault="00920140" w:rsidP="00920140">
      <w:pPr>
        <w:spacing w:line="276" w:lineRule="auto"/>
        <w:ind w:firstLine="360"/>
        <w:rPr>
          <w:color w:val="000000" w:themeColor="text1"/>
        </w:rPr>
      </w:pPr>
      <w:r w:rsidRPr="00B777EF">
        <w:rPr>
          <w:color w:val="000000" w:themeColor="text1"/>
        </w:rPr>
        <w:t xml:space="preserve">The 100% cycling group has an estimated load reduction during event hours of 0.23 kW under the 1-in-2 scenario, representing a 17.4% reduction from the reference load.  Under the 1-in-10 conditions, this group has an estimated event hour load reduction of 0.32 kW, or 19.6%.  The 50% cycling group has much lower estimated load reductions of 0.04 kW (2.6%) and 0.06 kW (3.0%) for the 1-in-2 and 1-in-10 scenarios, respectively. </w:t>
      </w:r>
      <w:bookmarkStart w:id="220" w:name="_Ref414199981"/>
    </w:p>
    <w:p w:rsidR="003E6B6C" w:rsidRPr="00B777EF" w:rsidRDefault="003E6B6C" w:rsidP="00920140">
      <w:pPr>
        <w:spacing w:line="276" w:lineRule="auto"/>
        <w:ind w:firstLine="360"/>
        <w:rPr>
          <w:color w:val="000000" w:themeColor="text1"/>
        </w:rPr>
      </w:pPr>
    </w:p>
    <w:p w:rsidR="003E6B6C" w:rsidRDefault="003E6B6C">
      <w:pPr>
        <w:rPr>
          <w:b/>
          <w:bCs/>
          <w:sz w:val="22"/>
          <w:szCs w:val="22"/>
        </w:rPr>
      </w:pPr>
      <w:bookmarkStart w:id="221" w:name="_Ref445988004"/>
      <w:r>
        <w:rPr>
          <w:sz w:val="22"/>
          <w:szCs w:val="22"/>
        </w:rPr>
        <w:br w:type="page"/>
      </w:r>
    </w:p>
    <w:p w:rsidR="00920140" w:rsidRPr="00B777EF" w:rsidRDefault="003E6B6C" w:rsidP="003E6B6C">
      <w:pPr>
        <w:pStyle w:val="Caption"/>
        <w:spacing w:after="120"/>
        <w:jc w:val="center"/>
        <w:rPr>
          <w:b w:val="0"/>
          <w:bCs w:val="0"/>
          <w:color w:val="000000" w:themeColor="text1"/>
        </w:rPr>
      </w:pPr>
      <w:r w:rsidRPr="005765C9">
        <w:rPr>
          <w:sz w:val="22"/>
          <w:szCs w:val="22"/>
        </w:rPr>
        <w:lastRenderedPageBreak/>
        <w:t xml:space="preserve">Table </w:t>
      </w:r>
      <w:r w:rsidRPr="005765C9">
        <w:rPr>
          <w:sz w:val="22"/>
          <w:szCs w:val="22"/>
        </w:rPr>
        <w:fldChar w:fldCharType="begin"/>
      </w:r>
      <w:r w:rsidRPr="005765C9">
        <w:rPr>
          <w:sz w:val="22"/>
          <w:szCs w:val="22"/>
        </w:rPr>
        <w:instrText xml:space="preserve"> STYLEREF 1 \s </w:instrText>
      </w:r>
      <w:r w:rsidRPr="005765C9">
        <w:rPr>
          <w:sz w:val="22"/>
          <w:szCs w:val="22"/>
        </w:rPr>
        <w:fldChar w:fldCharType="separate"/>
      </w:r>
      <w:r>
        <w:rPr>
          <w:noProof/>
          <w:sz w:val="22"/>
          <w:szCs w:val="22"/>
        </w:rPr>
        <w:t>7</w:t>
      </w:r>
      <w:r w:rsidRPr="005765C9">
        <w:rPr>
          <w:noProof/>
          <w:sz w:val="22"/>
          <w:szCs w:val="22"/>
        </w:rPr>
        <w:fldChar w:fldCharType="end"/>
      </w:r>
      <w:r w:rsidRPr="005765C9">
        <w:rPr>
          <w:sz w:val="22"/>
          <w:szCs w:val="22"/>
        </w:rPr>
        <w:noBreakHyphen/>
      </w:r>
      <w:r w:rsidR="0024252A">
        <w:rPr>
          <w:sz w:val="22"/>
          <w:szCs w:val="22"/>
        </w:rPr>
        <w:t>6</w:t>
      </w:r>
      <w:bookmarkEnd w:id="221"/>
      <w:r>
        <w:rPr>
          <w:sz w:val="22"/>
          <w:szCs w:val="22"/>
        </w:rPr>
        <w:t>:</w:t>
      </w:r>
      <w:r w:rsidRPr="005765C9">
        <w:rPr>
          <w:sz w:val="22"/>
          <w:szCs w:val="22"/>
        </w:rPr>
        <w:t xml:space="preserve"> Ex Ante Hourly Load Impact Results – PTR Dually Enrolled in Summer Saver</w:t>
      </w:r>
    </w:p>
    <w:tbl>
      <w:tblPr>
        <w:tblpPr w:leftFromText="180" w:rightFromText="180" w:vertAnchor="text" w:horzAnchor="margin" w:tblpXSpec="right" w:tblpY="391"/>
        <w:tblW w:w="9703" w:type="dxa"/>
        <w:tblInd w:w="-72" w:type="dxa"/>
        <w:tblLayout w:type="fixed"/>
        <w:tblCellMar>
          <w:left w:w="0" w:type="dxa"/>
          <w:right w:w="0" w:type="dxa"/>
        </w:tblCellMar>
        <w:tblLook w:val="04A0" w:firstRow="1" w:lastRow="0" w:firstColumn="1" w:lastColumn="0" w:noHBand="0" w:noVBand="1"/>
      </w:tblPr>
      <w:tblGrid>
        <w:gridCol w:w="883"/>
        <w:gridCol w:w="540"/>
        <w:gridCol w:w="900"/>
        <w:gridCol w:w="900"/>
        <w:gridCol w:w="810"/>
        <w:gridCol w:w="720"/>
        <w:gridCol w:w="810"/>
        <w:gridCol w:w="900"/>
        <w:gridCol w:w="900"/>
        <w:gridCol w:w="810"/>
        <w:gridCol w:w="720"/>
        <w:gridCol w:w="810"/>
      </w:tblGrid>
      <w:tr w:rsidR="002A4145" w:rsidRPr="008D18E3" w:rsidTr="00D84FC4">
        <w:trPr>
          <w:cantSplit/>
        </w:trPr>
        <w:tc>
          <w:tcPr>
            <w:tcW w:w="883" w:type="dxa"/>
            <w:vMerge w:val="restart"/>
            <w:tcBorders>
              <w:top w:val="single" w:sz="12" w:space="0" w:color="000000"/>
              <w:left w:val="single" w:sz="6" w:space="0" w:color="000000"/>
              <w:bottom w:val="single" w:sz="12" w:space="0" w:color="000000"/>
              <w:right w:val="single" w:sz="6" w:space="0" w:color="000000"/>
            </w:tcBorders>
            <w:shd w:val="clear" w:color="auto" w:fill="1F497D" w:themeFill="text2"/>
            <w:vAlign w:val="bottom"/>
          </w:tcPr>
          <w:p w:rsidR="002A4145" w:rsidRPr="0070347C" w:rsidRDefault="002A4145" w:rsidP="00920140">
            <w:pPr>
              <w:autoSpaceDE w:val="0"/>
              <w:autoSpaceDN w:val="0"/>
              <w:adjustRightInd w:val="0"/>
              <w:spacing w:before="80" w:after="80" w:line="276" w:lineRule="auto"/>
              <w:rPr>
                <w:b/>
                <w:bCs/>
                <w:color w:val="FFFFFF" w:themeColor="background1"/>
                <w:sz w:val="16"/>
                <w:szCs w:val="16"/>
              </w:rPr>
            </w:pPr>
            <w:r w:rsidRPr="0070347C">
              <w:rPr>
                <w:b/>
                <w:bCs/>
                <w:color w:val="FFFFFF" w:themeColor="background1"/>
                <w:sz w:val="16"/>
                <w:szCs w:val="16"/>
              </w:rPr>
              <w:t>Day / Type</w:t>
            </w:r>
          </w:p>
        </w:tc>
        <w:tc>
          <w:tcPr>
            <w:tcW w:w="540" w:type="dxa"/>
            <w:vMerge w:val="restart"/>
            <w:tcBorders>
              <w:top w:val="single" w:sz="12" w:space="0" w:color="000000"/>
              <w:left w:val="single" w:sz="6" w:space="0" w:color="000000"/>
              <w:bottom w:val="single" w:sz="12" w:space="0" w:color="000000"/>
              <w:right w:val="nil"/>
            </w:tcBorders>
            <w:shd w:val="clear" w:color="auto" w:fill="1F497D" w:themeFill="text2"/>
            <w:vAlign w:val="bottom"/>
          </w:tcPr>
          <w:p w:rsidR="002A4145" w:rsidRPr="0070347C" w:rsidRDefault="002A4145" w:rsidP="00920140">
            <w:pPr>
              <w:autoSpaceDE w:val="0"/>
              <w:autoSpaceDN w:val="0"/>
              <w:adjustRightInd w:val="0"/>
              <w:spacing w:before="80" w:after="80" w:line="276" w:lineRule="auto"/>
              <w:rPr>
                <w:b/>
                <w:bCs/>
                <w:color w:val="FFFFFF" w:themeColor="background1"/>
                <w:sz w:val="16"/>
                <w:szCs w:val="16"/>
              </w:rPr>
            </w:pPr>
            <w:r w:rsidRPr="0070347C">
              <w:rPr>
                <w:b/>
                <w:bCs/>
                <w:color w:val="FFFFFF" w:themeColor="background1"/>
                <w:sz w:val="16"/>
                <w:szCs w:val="16"/>
              </w:rPr>
              <w:t>Month</w:t>
            </w:r>
          </w:p>
        </w:tc>
        <w:tc>
          <w:tcPr>
            <w:tcW w:w="4140" w:type="dxa"/>
            <w:gridSpan w:val="5"/>
            <w:tcBorders>
              <w:top w:val="single" w:sz="12" w:space="0" w:color="000000"/>
              <w:left w:val="single" w:sz="4" w:space="0" w:color="000000"/>
              <w:bottom w:val="single" w:sz="4" w:space="0" w:color="000000"/>
              <w:right w:val="nil"/>
            </w:tcBorders>
            <w:shd w:val="clear" w:color="auto" w:fill="1F497D" w:themeFill="text2"/>
            <w:tcMar>
              <w:top w:w="0" w:type="dxa"/>
              <w:left w:w="80" w:type="dxa"/>
              <w:bottom w:w="0" w:type="dxa"/>
              <w:right w:w="80" w:type="dxa"/>
            </w:tcMar>
            <w:vAlign w:val="bottom"/>
            <w:hideMark/>
          </w:tcPr>
          <w:p w:rsidR="002A4145" w:rsidRPr="0070347C" w:rsidRDefault="002A4145" w:rsidP="00920140">
            <w:pPr>
              <w:autoSpaceDE w:val="0"/>
              <w:autoSpaceDN w:val="0"/>
              <w:adjustRightInd w:val="0"/>
              <w:spacing w:before="80" w:after="80" w:line="276" w:lineRule="auto"/>
              <w:jc w:val="center"/>
              <w:rPr>
                <w:b/>
                <w:bCs/>
                <w:color w:val="FFFFFF" w:themeColor="background1"/>
                <w:sz w:val="16"/>
                <w:szCs w:val="16"/>
              </w:rPr>
            </w:pPr>
            <w:r w:rsidRPr="0070347C">
              <w:rPr>
                <w:b/>
                <w:bCs/>
                <w:color w:val="FFFFFF" w:themeColor="background1"/>
                <w:sz w:val="16"/>
                <w:szCs w:val="16"/>
              </w:rPr>
              <w:t>1-in-10</w:t>
            </w:r>
          </w:p>
        </w:tc>
        <w:tc>
          <w:tcPr>
            <w:tcW w:w="4140" w:type="dxa"/>
            <w:gridSpan w:val="5"/>
            <w:tcBorders>
              <w:top w:val="single" w:sz="12" w:space="0" w:color="000000"/>
              <w:left w:val="single" w:sz="4" w:space="0" w:color="000000"/>
              <w:bottom w:val="single" w:sz="4" w:space="0" w:color="000000"/>
              <w:right w:val="single" w:sz="12" w:space="0" w:color="000000"/>
            </w:tcBorders>
            <w:shd w:val="clear" w:color="auto" w:fill="1F497D" w:themeFill="text2"/>
            <w:tcMar>
              <w:top w:w="0" w:type="dxa"/>
              <w:left w:w="80" w:type="dxa"/>
              <w:bottom w:w="0" w:type="dxa"/>
              <w:right w:w="80" w:type="dxa"/>
            </w:tcMar>
            <w:vAlign w:val="bottom"/>
            <w:hideMark/>
          </w:tcPr>
          <w:p w:rsidR="002A4145" w:rsidRPr="0070347C" w:rsidRDefault="002A4145" w:rsidP="00920140">
            <w:pPr>
              <w:autoSpaceDE w:val="0"/>
              <w:autoSpaceDN w:val="0"/>
              <w:adjustRightInd w:val="0"/>
              <w:spacing w:before="80" w:after="80" w:line="276" w:lineRule="auto"/>
              <w:jc w:val="center"/>
              <w:rPr>
                <w:b/>
                <w:bCs/>
                <w:color w:val="FFFFFF" w:themeColor="background1"/>
                <w:sz w:val="16"/>
                <w:szCs w:val="16"/>
              </w:rPr>
            </w:pPr>
            <w:r w:rsidRPr="0070347C">
              <w:rPr>
                <w:b/>
                <w:bCs/>
                <w:color w:val="FFFFFF" w:themeColor="background1"/>
                <w:sz w:val="16"/>
                <w:szCs w:val="16"/>
              </w:rPr>
              <w:t>1-in-2</w:t>
            </w:r>
          </w:p>
        </w:tc>
      </w:tr>
      <w:tr w:rsidR="002A4145" w:rsidRPr="008D18E3" w:rsidTr="00D84FC4">
        <w:trPr>
          <w:cantSplit/>
        </w:trPr>
        <w:tc>
          <w:tcPr>
            <w:tcW w:w="883" w:type="dxa"/>
            <w:vMerge/>
            <w:tcBorders>
              <w:top w:val="single" w:sz="12" w:space="0" w:color="000000"/>
              <w:left w:val="single" w:sz="6" w:space="0" w:color="000000"/>
              <w:bottom w:val="single" w:sz="12" w:space="0" w:color="000000"/>
              <w:right w:val="single" w:sz="6" w:space="0" w:color="000000"/>
            </w:tcBorders>
            <w:shd w:val="clear" w:color="auto" w:fill="1F497D" w:themeFill="text2"/>
            <w:vAlign w:val="center"/>
          </w:tcPr>
          <w:p w:rsidR="002A4145" w:rsidRPr="0070347C" w:rsidRDefault="002A4145" w:rsidP="00920140">
            <w:pPr>
              <w:rPr>
                <w:b/>
                <w:bCs/>
                <w:color w:val="FFFFFF" w:themeColor="background1"/>
                <w:sz w:val="16"/>
                <w:szCs w:val="16"/>
              </w:rPr>
            </w:pPr>
          </w:p>
        </w:tc>
        <w:tc>
          <w:tcPr>
            <w:tcW w:w="540" w:type="dxa"/>
            <w:vMerge/>
            <w:tcBorders>
              <w:top w:val="single" w:sz="12" w:space="0" w:color="000000"/>
              <w:left w:val="single" w:sz="6" w:space="0" w:color="000000"/>
              <w:bottom w:val="single" w:sz="12" w:space="0" w:color="000000"/>
              <w:right w:val="nil"/>
            </w:tcBorders>
            <w:shd w:val="clear" w:color="auto" w:fill="1F497D" w:themeFill="text2"/>
            <w:vAlign w:val="center"/>
          </w:tcPr>
          <w:p w:rsidR="002A4145" w:rsidRPr="0070347C" w:rsidRDefault="002A4145" w:rsidP="00920140">
            <w:pPr>
              <w:rPr>
                <w:b/>
                <w:bCs/>
                <w:color w:val="FFFFFF" w:themeColor="background1"/>
                <w:sz w:val="16"/>
                <w:szCs w:val="16"/>
              </w:rPr>
            </w:pPr>
          </w:p>
        </w:tc>
        <w:tc>
          <w:tcPr>
            <w:tcW w:w="900"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2A4145" w:rsidRPr="0070347C" w:rsidRDefault="002A4145" w:rsidP="00920140">
            <w:pPr>
              <w:autoSpaceDE w:val="0"/>
              <w:autoSpaceDN w:val="0"/>
              <w:adjustRightInd w:val="0"/>
              <w:spacing w:before="80" w:after="80" w:line="276" w:lineRule="auto"/>
              <w:jc w:val="center"/>
              <w:rPr>
                <w:b/>
                <w:bCs/>
                <w:color w:val="FFFFFF" w:themeColor="background1"/>
                <w:sz w:val="16"/>
                <w:szCs w:val="16"/>
              </w:rPr>
            </w:pPr>
            <w:r w:rsidRPr="0070347C">
              <w:rPr>
                <w:b/>
                <w:bCs/>
                <w:color w:val="FFFFFF" w:themeColor="background1"/>
                <w:sz w:val="16"/>
                <w:szCs w:val="16"/>
              </w:rPr>
              <w:t>Average Hourly Reference Load (kWh)</w:t>
            </w:r>
          </w:p>
        </w:tc>
        <w:tc>
          <w:tcPr>
            <w:tcW w:w="900"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2A4145" w:rsidRPr="0070347C" w:rsidRDefault="002A4145" w:rsidP="00920140">
            <w:pPr>
              <w:autoSpaceDE w:val="0"/>
              <w:autoSpaceDN w:val="0"/>
              <w:adjustRightInd w:val="0"/>
              <w:spacing w:before="80" w:after="80" w:line="276" w:lineRule="auto"/>
              <w:jc w:val="center"/>
              <w:rPr>
                <w:b/>
                <w:bCs/>
                <w:color w:val="FFFFFF" w:themeColor="background1"/>
                <w:sz w:val="16"/>
                <w:szCs w:val="16"/>
              </w:rPr>
            </w:pPr>
            <w:r w:rsidRPr="0070347C">
              <w:rPr>
                <w:b/>
                <w:bCs/>
                <w:color w:val="FFFFFF" w:themeColor="background1"/>
                <w:sz w:val="16"/>
                <w:szCs w:val="16"/>
              </w:rPr>
              <w:t>Average Hourly Observed Load (kWh)</w:t>
            </w:r>
          </w:p>
        </w:tc>
        <w:tc>
          <w:tcPr>
            <w:tcW w:w="810"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2A4145" w:rsidRPr="0070347C" w:rsidRDefault="002A4145" w:rsidP="00920140">
            <w:pPr>
              <w:autoSpaceDE w:val="0"/>
              <w:autoSpaceDN w:val="0"/>
              <w:adjustRightInd w:val="0"/>
              <w:spacing w:before="80" w:after="80" w:line="276" w:lineRule="auto"/>
              <w:jc w:val="center"/>
              <w:rPr>
                <w:b/>
                <w:bCs/>
                <w:color w:val="FFFFFF" w:themeColor="background1"/>
                <w:sz w:val="16"/>
                <w:szCs w:val="16"/>
              </w:rPr>
            </w:pPr>
            <w:r w:rsidRPr="0070347C">
              <w:rPr>
                <w:b/>
                <w:bCs/>
                <w:color w:val="FFFFFF" w:themeColor="background1"/>
                <w:sz w:val="16"/>
                <w:szCs w:val="16"/>
              </w:rPr>
              <w:t>Average Hourly Impact (kWh)</w:t>
            </w:r>
          </w:p>
        </w:tc>
        <w:tc>
          <w:tcPr>
            <w:tcW w:w="720"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2A4145" w:rsidRPr="0070347C" w:rsidRDefault="002A4145" w:rsidP="00920140">
            <w:pPr>
              <w:autoSpaceDE w:val="0"/>
              <w:autoSpaceDN w:val="0"/>
              <w:adjustRightInd w:val="0"/>
              <w:spacing w:before="80" w:after="80" w:line="276" w:lineRule="auto"/>
              <w:jc w:val="center"/>
              <w:rPr>
                <w:b/>
                <w:bCs/>
                <w:color w:val="FFFFFF" w:themeColor="background1"/>
                <w:sz w:val="16"/>
                <w:szCs w:val="16"/>
              </w:rPr>
            </w:pPr>
            <w:r w:rsidRPr="0070347C">
              <w:rPr>
                <w:b/>
                <w:bCs/>
                <w:color w:val="FFFFFF" w:themeColor="background1"/>
                <w:sz w:val="16"/>
                <w:szCs w:val="16"/>
              </w:rPr>
              <w:t>Percent Load Reduc-tion</w:t>
            </w:r>
          </w:p>
        </w:tc>
        <w:tc>
          <w:tcPr>
            <w:tcW w:w="810"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2A4145" w:rsidRPr="0070347C" w:rsidRDefault="002A4145" w:rsidP="00920140">
            <w:pPr>
              <w:autoSpaceDE w:val="0"/>
              <w:autoSpaceDN w:val="0"/>
              <w:adjustRightInd w:val="0"/>
              <w:spacing w:before="80" w:after="80" w:line="276" w:lineRule="auto"/>
              <w:jc w:val="center"/>
              <w:rPr>
                <w:b/>
                <w:bCs/>
                <w:color w:val="FFFFFF" w:themeColor="background1"/>
                <w:sz w:val="16"/>
                <w:szCs w:val="16"/>
              </w:rPr>
            </w:pPr>
            <w:r w:rsidRPr="0070347C">
              <w:rPr>
                <w:b/>
                <w:bCs/>
                <w:color w:val="FFFFFF" w:themeColor="background1"/>
                <w:sz w:val="16"/>
                <w:szCs w:val="16"/>
              </w:rPr>
              <w:t>Average Total Hourly Impact (MWh)</w:t>
            </w:r>
          </w:p>
        </w:tc>
        <w:tc>
          <w:tcPr>
            <w:tcW w:w="900"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2A4145" w:rsidRPr="0070347C" w:rsidRDefault="002A4145" w:rsidP="00920140">
            <w:pPr>
              <w:autoSpaceDE w:val="0"/>
              <w:autoSpaceDN w:val="0"/>
              <w:adjustRightInd w:val="0"/>
              <w:spacing w:before="80" w:after="80" w:line="276" w:lineRule="auto"/>
              <w:jc w:val="center"/>
              <w:rPr>
                <w:b/>
                <w:bCs/>
                <w:color w:val="FFFFFF" w:themeColor="background1"/>
                <w:sz w:val="16"/>
                <w:szCs w:val="16"/>
              </w:rPr>
            </w:pPr>
            <w:r w:rsidRPr="0070347C">
              <w:rPr>
                <w:b/>
                <w:bCs/>
                <w:color w:val="FFFFFF" w:themeColor="background1"/>
                <w:sz w:val="16"/>
                <w:szCs w:val="16"/>
              </w:rPr>
              <w:t>Average Hourly Reference Load (kWh)</w:t>
            </w:r>
          </w:p>
        </w:tc>
        <w:tc>
          <w:tcPr>
            <w:tcW w:w="900"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2A4145" w:rsidRPr="0070347C" w:rsidRDefault="002A4145" w:rsidP="00920140">
            <w:pPr>
              <w:autoSpaceDE w:val="0"/>
              <w:autoSpaceDN w:val="0"/>
              <w:adjustRightInd w:val="0"/>
              <w:spacing w:before="80" w:after="80" w:line="276" w:lineRule="auto"/>
              <w:jc w:val="center"/>
              <w:rPr>
                <w:b/>
                <w:bCs/>
                <w:color w:val="FFFFFF" w:themeColor="background1"/>
                <w:sz w:val="16"/>
                <w:szCs w:val="16"/>
              </w:rPr>
            </w:pPr>
            <w:r w:rsidRPr="0070347C">
              <w:rPr>
                <w:b/>
                <w:bCs/>
                <w:color w:val="FFFFFF" w:themeColor="background1"/>
                <w:sz w:val="16"/>
                <w:szCs w:val="16"/>
              </w:rPr>
              <w:t>Average Hourly Observed Load (kWh)</w:t>
            </w:r>
          </w:p>
        </w:tc>
        <w:tc>
          <w:tcPr>
            <w:tcW w:w="810"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2A4145" w:rsidRPr="0070347C" w:rsidRDefault="002A4145" w:rsidP="00920140">
            <w:pPr>
              <w:autoSpaceDE w:val="0"/>
              <w:autoSpaceDN w:val="0"/>
              <w:adjustRightInd w:val="0"/>
              <w:spacing w:before="80" w:after="80" w:line="276" w:lineRule="auto"/>
              <w:jc w:val="center"/>
              <w:rPr>
                <w:b/>
                <w:bCs/>
                <w:color w:val="FFFFFF" w:themeColor="background1"/>
                <w:sz w:val="16"/>
                <w:szCs w:val="16"/>
              </w:rPr>
            </w:pPr>
            <w:r w:rsidRPr="0070347C">
              <w:rPr>
                <w:b/>
                <w:bCs/>
                <w:color w:val="FFFFFF" w:themeColor="background1"/>
                <w:sz w:val="16"/>
                <w:szCs w:val="16"/>
              </w:rPr>
              <w:t>Average Hourly Impact (kWh)</w:t>
            </w:r>
          </w:p>
        </w:tc>
        <w:tc>
          <w:tcPr>
            <w:tcW w:w="720" w:type="dxa"/>
            <w:tcBorders>
              <w:top w:val="nil"/>
              <w:left w:val="single" w:sz="4" w:space="0" w:color="000000"/>
              <w:bottom w:val="single" w:sz="12" w:space="0" w:color="000000"/>
              <w:right w:val="nil"/>
            </w:tcBorders>
            <w:shd w:val="clear" w:color="auto" w:fill="1F497D" w:themeFill="text2"/>
            <w:tcMar>
              <w:top w:w="0" w:type="dxa"/>
              <w:left w:w="80" w:type="dxa"/>
              <w:bottom w:w="0" w:type="dxa"/>
              <w:right w:w="80" w:type="dxa"/>
            </w:tcMar>
            <w:vAlign w:val="bottom"/>
            <w:hideMark/>
          </w:tcPr>
          <w:p w:rsidR="002A4145" w:rsidRPr="0070347C" w:rsidRDefault="002A4145" w:rsidP="00920140">
            <w:pPr>
              <w:autoSpaceDE w:val="0"/>
              <w:autoSpaceDN w:val="0"/>
              <w:adjustRightInd w:val="0"/>
              <w:spacing w:before="80" w:after="80" w:line="276" w:lineRule="auto"/>
              <w:jc w:val="center"/>
              <w:rPr>
                <w:b/>
                <w:bCs/>
                <w:color w:val="FFFFFF" w:themeColor="background1"/>
                <w:sz w:val="16"/>
                <w:szCs w:val="16"/>
              </w:rPr>
            </w:pPr>
            <w:r w:rsidRPr="0070347C">
              <w:rPr>
                <w:b/>
                <w:bCs/>
                <w:color w:val="FFFFFF" w:themeColor="background1"/>
                <w:sz w:val="16"/>
                <w:szCs w:val="16"/>
              </w:rPr>
              <w:t>Percent Load Reduc-tion</w:t>
            </w:r>
          </w:p>
        </w:tc>
        <w:tc>
          <w:tcPr>
            <w:tcW w:w="810" w:type="dxa"/>
            <w:tcBorders>
              <w:top w:val="nil"/>
              <w:left w:val="single" w:sz="4" w:space="0" w:color="000000"/>
              <w:bottom w:val="single" w:sz="12" w:space="0" w:color="000000"/>
              <w:right w:val="single" w:sz="12" w:space="0" w:color="000000"/>
            </w:tcBorders>
            <w:shd w:val="clear" w:color="auto" w:fill="1F497D" w:themeFill="text2"/>
            <w:tcMar>
              <w:top w:w="0" w:type="dxa"/>
              <w:left w:w="80" w:type="dxa"/>
              <w:bottom w:w="0" w:type="dxa"/>
              <w:right w:w="80" w:type="dxa"/>
            </w:tcMar>
            <w:vAlign w:val="bottom"/>
            <w:hideMark/>
          </w:tcPr>
          <w:p w:rsidR="002A4145" w:rsidRPr="0070347C" w:rsidRDefault="002A4145" w:rsidP="00920140">
            <w:pPr>
              <w:autoSpaceDE w:val="0"/>
              <w:autoSpaceDN w:val="0"/>
              <w:adjustRightInd w:val="0"/>
              <w:spacing w:before="80" w:after="80" w:line="276" w:lineRule="auto"/>
              <w:jc w:val="center"/>
              <w:rPr>
                <w:b/>
                <w:bCs/>
                <w:color w:val="FFFFFF" w:themeColor="background1"/>
                <w:sz w:val="16"/>
                <w:szCs w:val="16"/>
              </w:rPr>
            </w:pPr>
            <w:r w:rsidRPr="0070347C">
              <w:rPr>
                <w:b/>
                <w:bCs/>
                <w:color w:val="FFFFFF" w:themeColor="background1"/>
                <w:sz w:val="16"/>
                <w:szCs w:val="16"/>
              </w:rPr>
              <w:t>Average Total Hourly Impact (MWh)</w:t>
            </w:r>
          </w:p>
        </w:tc>
      </w:tr>
      <w:tr w:rsidR="002A4145" w:rsidRPr="008D18E3" w:rsidTr="00D84FC4">
        <w:trPr>
          <w:cantSplit/>
        </w:trPr>
        <w:tc>
          <w:tcPr>
            <w:tcW w:w="883" w:type="dxa"/>
            <w:vMerge w:val="restart"/>
            <w:tcBorders>
              <w:top w:val="nil"/>
              <w:left w:val="single" w:sz="4" w:space="0" w:color="000000"/>
              <w:bottom w:val="single" w:sz="4" w:space="0" w:color="000000"/>
              <w:right w:val="nil"/>
            </w:tcBorders>
            <w:shd w:val="clear" w:color="auto" w:fill="1F497D" w:themeFill="text2"/>
            <w:tcMar>
              <w:top w:w="0" w:type="dxa"/>
              <w:left w:w="80" w:type="dxa"/>
              <w:bottom w:w="0" w:type="dxa"/>
              <w:right w:w="80" w:type="dxa"/>
            </w:tcMar>
            <w:vAlign w:val="center"/>
            <w:hideMark/>
          </w:tcPr>
          <w:p w:rsidR="002A4145" w:rsidRPr="0070347C" w:rsidRDefault="002A4145" w:rsidP="00920140">
            <w:pPr>
              <w:autoSpaceDE w:val="0"/>
              <w:autoSpaceDN w:val="0"/>
              <w:adjustRightInd w:val="0"/>
              <w:spacing w:before="80" w:after="80" w:line="276" w:lineRule="auto"/>
              <w:rPr>
                <w:b/>
                <w:bCs/>
                <w:color w:val="FFFFFF" w:themeColor="background1"/>
                <w:sz w:val="16"/>
                <w:szCs w:val="16"/>
              </w:rPr>
            </w:pPr>
            <w:r w:rsidRPr="0070347C">
              <w:rPr>
                <w:b/>
                <w:bCs/>
                <w:color w:val="FFFFFF" w:themeColor="background1"/>
                <w:sz w:val="16"/>
                <w:szCs w:val="16"/>
              </w:rPr>
              <w:t>Monthly System Peak Day</w:t>
            </w:r>
          </w:p>
        </w:tc>
        <w:tc>
          <w:tcPr>
            <w:tcW w:w="540" w:type="dxa"/>
            <w:tcBorders>
              <w:top w:val="nil"/>
              <w:left w:val="single" w:sz="4" w:space="0" w:color="000000"/>
              <w:bottom w:val="single" w:sz="4" w:space="0" w:color="000000"/>
              <w:right w:val="nil"/>
            </w:tcBorders>
            <w:shd w:val="clear" w:color="auto" w:fill="1F497D" w:themeFill="text2"/>
            <w:tcMar>
              <w:top w:w="0" w:type="dxa"/>
              <w:left w:w="80" w:type="dxa"/>
              <w:bottom w:w="0" w:type="dxa"/>
              <w:right w:w="80" w:type="dxa"/>
            </w:tcMar>
            <w:vAlign w:val="center"/>
            <w:hideMark/>
          </w:tcPr>
          <w:p w:rsidR="002A4145" w:rsidRPr="0070347C" w:rsidRDefault="002A4145" w:rsidP="00920140">
            <w:pPr>
              <w:autoSpaceDE w:val="0"/>
              <w:autoSpaceDN w:val="0"/>
              <w:adjustRightInd w:val="0"/>
              <w:spacing w:before="80" w:after="80" w:line="276" w:lineRule="auto"/>
              <w:rPr>
                <w:b/>
                <w:bCs/>
                <w:color w:val="FFFFFF" w:themeColor="background1"/>
                <w:sz w:val="16"/>
                <w:szCs w:val="16"/>
              </w:rPr>
            </w:pPr>
            <w:r w:rsidRPr="0070347C">
              <w:rPr>
                <w:b/>
                <w:bCs/>
                <w:color w:val="FFFFFF" w:themeColor="background1"/>
                <w:sz w:val="16"/>
                <w:szCs w:val="16"/>
              </w:rPr>
              <w:t>Jun</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1.45</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1.25</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0.195</w:t>
            </w:r>
          </w:p>
        </w:tc>
        <w:tc>
          <w:tcPr>
            <w:tcW w:w="72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13.5%</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0.85</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1.03</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0.91</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0.118</w:t>
            </w:r>
          </w:p>
        </w:tc>
        <w:tc>
          <w:tcPr>
            <w:tcW w:w="72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11.4%</w:t>
            </w:r>
          </w:p>
        </w:tc>
        <w:tc>
          <w:tcPr>
            <w:tcW w:w="810" w:type="dxa"/>
            <w:tcBorders>
              <w:top w:val="nil"/>
              <w:left w:val="single" w:sz="4" w:space="0" w:color="000000"/>
              <w:bottom w:val="single" w:sz="4" w:space="0" w:color="000000"/>
              <w:right w:val="single" w:sz="12" w:space="0" w:color="000000"/>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0.51</w:t>
            </w:r>
          </w:p>
        </w:tc>
      </w:tr>
      <w:tr w:rsidR="002A4145" w:rsidRPr="008D18E3" w:rsidTr="00D84FC4">
        <w:trPr>
          <w:cantSplit/>
        </w:trPr>
        <w:tc>
          <w:tcPr>
            <w:tcW w:w="883" w:type="dxa"/>
            <w:vMerge/>
            <w:tcBorders>
              <w:top w:val="nil"/>
              <w:left w:val="single" w:sz="4" w:space="0" w:color="000000"/>
              <w:bottom w:val="single" w:sz="4" w:space="0" w:color="000000"/>
              <w:right w:val="nil"/>
            </w:tcBorders>
            <w:shd w:val="clear" w:color="auto" w:fill="1F497D" w:themeFill="text2"/>
            <w:vAlign w:val="center"/>
            <w:hideMark/>
          </w:tcPr>
          <w:p w:rsidR="002A4145" w:rsidRPr="0070347C" w:rsidRDefault="002A4145" w:rsidP="00920140">
            <w:pPr>
              <w:rPr>
                <w:b/>
                <w:bCs/>
                <w:color w:val="FFFFFF" w:themeColor="background1"/>
                <w:sz w:val="16"/>
                <w:szCs w:val="16"/>
              </w:rPr>
            </w:pPr>
          </w:p>
        </w:tc>
        <w:tc>
          <w:tcPr>
            <w:tcW w:w="540" w:type="dxa"/>
            <w:tcBorders>
              <w:top w:val="nil"/>
              <w:left w:val="single" w:sz="4" w:space="0" w:color="000000"/>
              <w:bottom w:val="single" w:sz="4" w:space="0" w:color="000000"/>
              <w:right w:val="nil"/>
            </w:tcBorders>
            <w:shd w:val="clear" w:color="auto" w:fill="1F497D" w:themeFill="text2"/>
            <w:tcMar>
              <w:top w:w="0" w:type="dxa"/>
              <w:left w:w="80" w:type="dxa"/>
              <w:bottom w:w="0" w:type="dxa"/>
              <w:right w:w="80" w:type="dxa"/>
            </w:tcMar>
            <w:vAlign w:val="center"/>
            <w:hideMark/>
          </w:tcPr>
          <w:p w:rsidR="002A4145" w:rsidRPr="0070347C" w:rsidRDefault="002A4145" w:rsidP="00920140">
            <w:pPr>
              <w:autoSpaceDE w:val="0"/>
              <w:autoSpaceDN w:val="0"/>
              <w:adjustRightInd w:val="0"/>
              <w:spacing w:before="80" w:after="80" w:line="276" w:lineRule="auto"/>
              <w:rPr>
                <w:b/>
                <w:bCs/>
                <w:color w:val="FFFFFF" w:themeColor="background1"/>
                <w:sz w:val="16"/>
                <w:szCs w:val="16"/>
              </w:rPr>
            </w:pPr>
            <w:r w:rsidRPr="0070347C">
              <w:rPr>
                <w:b/>
                <w:bCs/>
                <w:color w:val="FFFFFF" w:themeColor="background1"/>
                <w:sz w:val="16"/>
                <w:szCs w:val="16"/>
              </w:rPr>
              <w:t>Jul</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1.63</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1.41</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0.219</w:t>
            </w:r>
          </w:p>
        </w:tc>
        <w:tc>
          <w:tcPr>
            <w:tcW w:w="72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13.5%</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0.96</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1.25</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1.10</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0.153</w:t>
            </w:r>
          </w:p>
        </w:tc>
        <w:tc>
          <w:tcPr>
            <w:tcW w:w="72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12.2%</w:t>
            </w:r>
          </w:p>
        </w:tc>
        <w:tc>
          <w:tcPr>
            <w:tcW w:w="810" w:type="dxa"/>
            <w:tcBorders>
              <w:top w:val="nil"/>
              <w:left w:val="single" w:sz="4" w:space="0" w:color="000000"/>
              <w:bottom w:val="single" w:sz="4" w:space="0" w:color="000000"/>
              <w:right w:val="single" w:sz="12" w:space="0" w:color="000000"/>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0.67</w:t>
            </w:r>
          </w:p>
        </w:tc>
      </w:tr>
      <w:tr w:rsidR="002A4145" w:rsidRPr="008D18E3" w:rsidTr="00D84FC4">
        <w:trPr>
          <w:cantSplit/>
        </w:trPr>
        <w:tc>
          <w:tcPr>
            <w:tcW w:w="883" w:type="dxa"/>
            <w:vMerge/>
            <w:tcBorders>
              <w:top w:val="nil"/>
              <w:left w:val="single" w:sz="4" w:space="0" w:color="000000"/>
              <w:bottom w:val="single" w:sz="4" w:space="0" w:color="000000"/>
              <w:right w:val="nil"/>
            </w:tcBorders>
            <w:shd w:val="clear" w:color="auto" w:fill="1F497D" w:themeFill="text2"/>
            <w:vAlign w:val="center"/>
            <w:hideMark/>
          </w:tcPr>
          <w:p w:rsidR="002A4145" w:rsidRPr="0070347C" w:rsidRDefault="002A4145" w:rsidP="00920140">
            <w:pPr>
              <w:rPr>
                <w:b/>
                <w:bCs/>
                <w:color w:val="FFFFFF" w:themeColor="background1"/>
                <w:sz w:val="16"/>
                <w:szCs w:val="16"/>
              </w:rPr>
            </w:pPr>
          </w:p>
        </w:tc>
        <w:tc>
          <w:tcPr>
            <w:tcW w:w="540" w:type="dxa"/>
            <w:tcBorders>
              <w:top w:val="nil"/>
              <w:left w:val="single" w:sz="4" w:space="0" w:color="000000"/>
              <w:bottom w:val="single" w:sz="4" w:space="0" w:color="000000"/>
              <w:right w:val="nil"/>
            </w:tcBorders>
            <w:shd w:val="clear" w:color="auto" w:fill="1F497D" w:themeFill="text2"/>
            <w:tcMar>
              <w:top w:w="0" w:type="dxa"/>
              <w:left w:w="80" w:type="dxa"/>
              <w:bottom w:w="0" w:type="dxa"/>
              <w:right w:w="80" w:type="dxa"/>
            </w:tcMar>
            <w:vAlign w:val="center"/>
            <w:hideMark/>
          </w:tcPr>
          <w:p w:rsidR="002A4145" w:rsidRPr="0070347C" w:rsidRDefault="002A4145" w:rsidP="00920140">
            <w:pPr>
              <w:autoSpaceDE w:val="0"/>
              <w:autoSpaceDN w:val="0"/>
              <w:adjustRightInd w:val="0"/>
              <w:spacing w:before="80" w:after="80" w:line="276" w:lineRule="auto"/>
              <w:rPr>
                <w:b/>
                <w:bCs/>
                <w:color w:val="FFFFFF" w:themeColor="background1"/>
                <w:sz w:val="16"/>
                <w:szCs w:val="16"/>
              </w:rPr>
            </w:pPr>
            <w:r w:rsidRPr="0070347C">
              <w:rPr>
                <w:b/>
                <w:bCs/>
                <w:color w:val="FFFFFF" w:themeColor="background1"/>
                <w:sz w:val="16"/>
                <w:szCs w:val="16"/>
              </w:rPr>
              <w:t>Aug</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1.77</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1.54</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0.231</w:t>
            </w:r>
          </w:p>
        </w:tc>
        <w:tc>
          <w:tcPr>
            <w:tcW w:w="72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13.1%</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1.01</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1.42</w:t>
            </w:r>
          </w:p>
        </w:tc>
        <w:tc>
          <w:tcPr>
            <w:tcW w:w="90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1.26</w:t>
            </w:r>
          </w:p>
        </w:tc>
        <w:tc>
          <w:tcPr>
            <w:tcW w:w="81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0.167</w:t>
            </w:r>
          </w:p>
        </w:tc>
        <w:tc>
          <w:tcPr>
            <w:tcW w:w="720" w:type="dxa"/>
            <w:tcBorders>
              <w:top w:val="nil"/>
              <w:left w:val="single" w:sz="4" w:space="0" w:color="000000"/>
              <w:bottom w:val="single" w:sz="4" w:space="0" w:color="000000"/>
              <w:right w:val="nil"/>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11.7%</w:t>
            </w:r>
          </w:p>
        </w:tc>
        <w:tc>
          <w:tcPr>
            <w:tcW w:w="810" w:type="dxa"/>
            <w:tcBorders>
              <w:top w:val="nil"/>
              <w:left w:val="single" w:sz="4" w:space="0" w:color="000000"/>
              <w:bottom w:val="single" w:sz="4" w:space="0" w:color="000000"/>
              <w:right w:val="single" w:sz="12" w:space="0" w:color="000000"/>
            </w:tcBorders>
            <w:shd w:val="clear" w:color="auto" w:fill="FFFFFF"/>
            <w:tcMar>
              <w:top w:w="0" w:type="dxa"/>
              <w:left w:w="80" w:type="dxa"/>
              <w:bottom w:w="0" w:type="dxa"/>
              <w:right w:w="80" w:type="dxa"/>
            </w:tcMar>
            <w:vAlign w:val="center"/>
          </w:tcPr>
          <w:p w:rsidR="002A4145" w:rsidRPr="003877C2" w:rsidRDefault="002A4145" w:rsidP="00920140">
            <w:pPr>
              <w:autoSpaceDE w:val="0"/>
              <w:autoSpaceDN w:val="0"/>
              <w:adjustRightInd w:val="0"/>
              <w:spacing w:before="80" w:after="80"/>
              <w:jc w:val="center"/>
              <w:rPr>
                <w:rFonts w:eastAsiaTheme="minorEastAsia"/>
                <w:color w:val="000000"/>
                <w:sz w:val="16"/>
                <w:szCs w:val="16"/>
              </w:rPr>
            </w:pPr>
            <w:r w:rsidRPr="003877C2">
              <w:rPr>
                <w:rFonts w:eastAsiaTheme="minorEastAsia"/>
                <w:color w:val="000000"/>
                <w:sz w:val="16"/>
                <w:szCs w:val="16"/>
              </w:rPr>
              <w:t>0.73</w:t>
            </w:r>
          </w:p>
        </w:tc>
      </w:tr>
    </w:tbl>
    <w:p w:rsidR="003E6B6C" w:rsidRDefault="003E6B6C" w:rsidP="0024252A">
      <w:bookmarkStart w:id="222" w:name="_Toc415749017"/>
      <w:bookmarkEnd w:id="220"/>
    </w:p>
    <w:p w:rsidR="003E6B6C" w:rsidRDefault="003E6B6C" w:rsidP="003E6B6C"/>
    <w:p w:rsidR="00920140" w:rsidRPr="001B5807" w:rsidRDefault="009A6868" w:rsidP="00920140">
      <w:pPr>
        <w:pStyle w:val="Heading3"/>
        <w:ind w:left="720"/>
        <w:rPr>
          <w:rFonts w:ascii="Times New Roman" w:hAnsi="Times New Roman" w:cs="Times New Roman"/>
        </w:rPr>
      </w:pPr>
      <w:bookmarkStart w:id="223" w:name="_Toc447179828"/>
      <w:r>
        <w:rPr>
          <w:rFonts w:ascii="Times New Roman" w:hAnsi="Times New Roman" w:cs="Times New Roman"/>
        </w:rPr>
        <w:t>PTR</w:t>
      </w:r>
      <w:r w:rsidR="00920140" w:rsidRPr="001B5807">
        <w:rPr>
          <w:rFonts w:ascii="Times New Roman" w:hAnsi="Times New Roman" w:cs="Times New Roman"/>
        </w:rPr>
        <w:t>R Dually Enrolled in SCTD</w:t>
      </w:r>
      <w:bookmarkEnd w:id="222"/>
      <w:bookmarkEnd w:id="223"/>
    </w:p>
    <w:p w:rsidR="00920140" w:rsidRDefault="00920140" w:rsidP="00920140">
      <w:pPr>
        <w:ind w:firstLine="360"/>
      </w:pPr>
    </w:p>
    <w:p w:rsidR="00920140" w:rsidRPr="00B777EF" w:rsidRDefault="00920140" w:rsidP="00920140">
      <w:pPr>
        <w:spacing w:line="276" w:lineRule="auto"/>
        <w:ind w:firstLine="360"/>
        <w:rPr>
          <w:color w:val="000000" w:themeColor="text1"/>
        </w:rPr>
      </w:pPr>
      <w:r w:rsidRPr="00B777EF">
        <w:rPr>
          <w:color w:val="000000" w:themeColor="text1"/>
        </w:rPr>
        <w:fldChar w:fldCharType="begin"/>
      </w:r>
      <w:r w:rsidRPr="00B777EF">
        <w:rPr>
          <w:color w:val="000000" w:themeColor="text1"/>
        </w:rPr>
        <w:instrText xml:space="preserve"> REF _Ref445988106 \h </w:instrText>
      </w:r>
      <w:r w:rsidRPr="00B777EF">
        <w:rPr>
          <w:color w:val="000000" w:themeColor="text1"/>
        </w:rPr>
      </w:r>
      <w:r w:rsidRPr="00B777EF">
        <w:rPr>
          <w:color w:val="000000" w:themeColor="text1"/>
        </w:rPr>
        <w:fldChar w:fldCharType="separate"/>
      </w:r>
      <w:r w:rsidR="003E6B6C">
        <w:rPr>
          <w:sz w:val="22"/>
          <w:szCs w:val="22"/>
        </w:rPr>
        <w:t>Table 7-</w:t>
      </w:r>
      <w:r w:rsidR="0024252A">
        <w:rPr>
          <w:sz w:val="22"/>
          <w:szCs w:val="22"/>
        </w:rPr>
        <w:t>7</w:t>
      </w:r>
      <w:r w:rsidR="003E6B6C">
        <w:rPr>
          <w:sz w:val="22"/>
          <w:szCs w:val="22"/>
        </w:rPr>
        <w:t xml:space="preserve"> </w:t>
      </w:r>
      <w:r w:rsidRPr="00B777EF">
        <w:rPr>
          <w:color w:val="000000" w:themeColor="text1"/>
        </w:rPr>
        <w:fldChar w:fldCharType="end"/>
      </w:r>
      <w:r w:rsidRPr="00B777EF">
        <w:rPr>
          <w:color w:val="000000" w:themeColor="text1"/>
        </w:rPr>
        <w:t xml:space="preserve">shows the </w:t>
      </w:r>
      <w:r w:rsidRPr="00B777EF">
        <w:rPr>
          <w:i/>
          <w:color w:val="000000" w:themeColor="text1"/>
        </w:rPr>
        <w:t>ex ante</w:t>
      </w:r>
      <w:r w:rsidRPr="00B777EF">
        <w:rPr>
          <w:color w:val="000000" w:themeColor="text1"/>
        </w:rPr>
        <w:t xml:space="preserve"> load impact estimates for the average PTR customer dually enrolled in SCTD for the various combinations of day types and weather scenarios for 2017.  For a 1-in-2 typical event day, the estimated load reduction for the average dual PTR-SCTD participant is 0.36 kW during resource availability hours.  </w:t>
      </w:r>
    </w:p>
    <w:p w:rsidR="00920140" w:rsidRDefault="00920140" w:rsidP="00920140">
      <w:pPr>
        <w:rPr>
          <w:b/>
          <w:sz w:val="20"/>
          <w:szCs w:val="20"/>
        </w:rPr>
      </w:pPr>
    </w:p>
    <w:p w:rsidR="0024252A" w:rsidRDefault="0024252A" w:rsidP="00920140">
      <w:pPr>
        <w:rPr>
          <w:b/>
          <w:sz w:val="20"/>
          <w:szCs w:val="20"/>
        </w:rPr>
      </w:pPr>
    </w:p>
    <w:p w:rsidR="00920140" w:rsidRPr="00820A0E" w:rsidRDefault="0024252A" w:rsidP="00C728E5">
      <w:pPr>
        <w:pStyle w:val="Caption"/>
        <w:spacing w:after="240"/>
        <w:ind w:firstLine="630"/>
        <w:rPr>
          <w:sz w:val="22"/>
          <w:szCs w:val="22"/>
        </w:rPr>
      </w:pPr>
      <w:bookmarkStart w:id="224" w:name="_Ref445988106"/>
      <w:r>
        <w:rPr>
          <w:sz w:val="22"/>
          <w:szCs w:val="22"/>
        </w:rPr>
        <w:t>T</w:t>
      </w:r>
      <w:r w:rsidR="00920140" w:rsidRPr="00820A0E">
        <w:rPr>
          <w:sz w:val="22"/>
          <w:szCs w:val="22"/>
        </w:rPr>
        <w:t xml:space="preserve">able </w:t>
      </w:r>
      <w:r w:rsidR="00920140" w:rsidRPr="00820A0E">
        <w:rPr>
          <w:sz w:val="22"/>
          <w:szCs w:val="22"/>
        </w:rPr>
        <w:fldChar w:fldCharType="begin"/>
      </w:r>
      <w:r w:rsidR="00920140" w:rsidRPr="00820A0E">
        <w:rPr>
          <w:sz w:val="22"/>
          <w:szCs w:val="22"/>
        </w:rPr>
        <w:instrText xml:space="preserve"> STYLEREF 1 \s </w:instrText>
      </w:r>
      <w:r w:rsidR="00920140" w:rsidRPr="00820A0E">
        <w:rPr>
          <w:sz w:val="22"/>
          <w:szCs w:val="22"/>
        </w:rPr>
        <w:fldChar w:fldCharType="separate"/>
      </w:r>
      <w:r w:rsidR="008A6A2B">
        <w:rPr>
          <w:noProof/>
          <w:sz w:val="22"/>
          <w:szCs w:val="22"/>
        </w:rPr>
        <w:t>7</w:t>
      </w:r>
      <w:r w:rsidR="00920140" w:rsidRPr="00820A0E">
        <w:rPr>
          <w:sz w:val="22"/>
          <w:szCs w:val="22"/>
        </w:rPr>
        <w:fldChar w:fldCharType="end"/>
      </w:r>
      <w:r w:rsidR="00920140" w:rsidRPr="00820A0E">
        <w:rPr>
          <w:sz w:val="22"/>
          <w:szCs w:val="22"/>
        </w:rPr>
        <w:noBreakHyphen/>
      </w:r>
      <w:r>
        <w:rPr>
          <w:sz w:val="22"/>
          <w:szCs w:val="22"/>
        </w:rPr>
        <w:t>7</w:t>
      </w:r>
      <w:bookmarkEnd w:id="224"/>
      <w:r w:rsidR="003E6B6C">
        <w:rPr>
          <w:sz w:val="22"/>
          <w:szCs w:val="22"/>
        </w:rPr>
        <w:t>:</w:t>
      </w:r>
      <w:r w:rsidR="00920140" w:rsidRPr="00820A0E">
        <w:rPr>
          <w:sz w:val="22"/>
          <w:szCs w:val="22"/>
        </w:rPr>
        <w:t xml:space="preserve">  Ex Ante Hourly Load Impact Results – PTR Dually Enrolled in SCTD</w:t>
      </w:r>
    </w:p>
    <w:tbl>
      <w:tblPr>
        <w:tblW w:w="9900" w:type="dxa"/>
        <w:tblInd w:w="-262" w:type="dxa"/>
        <w:tblLayout w:type="fixed"/>
        <w:tblCellMar>
          <w:left w:w="0" w:type="dxa"/>
          <w:right w:w="0" w:type="dxa"/>
        </w:tblCellMar>
        <w:tblLook w:val="0000" w:firstRow="0" w:lastRow="0" w:firstColumn="0" w:lastColumn="0" w:noHBand="0" w:noVBand="0"/>
      </w:tblPr>
      <w:tblGrid>
        <w:gridCol w:w="820"/>
        <w:gridCol w:w="604"/>
        <w:gridCol w:w="1006"/>
        <w:gridCol w:w="810"/>
        <w:gridCol w:w="720"/>
        <w:gridCol w:w="810"/>
        <w:gridCol w:w="810"/>
        <w:gridCol w:w="900"/>
        <w:gridCol w:w="900"/>
        <w:gridCol w:w="810"/>
        <w:gridCol w:w="900"/>
        <w:gridCol w:w="810"/>
      </w:tblGrid>
      <w:tr w:rsidR="009A6868" w:rsidRPr="006B327F" w:rsidTr="0024252A">
        <w:trPr>
          <w:cantSplit/>
        </w:trPr>
        <w:tc>
          <w:tcPr>
            <w:tcW w:w="820" w:type="dxa"/>
            <w:vMerge w:val="restart"/>
            <w:tcBorders>
              <w:top w:val="single" w:sz="12" w:space="0" w:color="000000"/>
              <w:left w:val="single" w:sz="6" w:space="0" w:color="000000"/>
              <w:bottom w:val="single" w:sz="12" w:space="0" w:color="000000"/>
              <w:right w:val="single" w:sz="6" w:space="0" w:color="000000"/>
            </w:tcBorders>
            <w:shd w:val="clear" w:color="auto" w:fill="1F497D" w:themeFill="text2"/>
            <w:vAlign w:val="bottom"/>
          </w:tcPr>
          <w:p w:rsidR="009A6868" w:rsidRPr="00C728E5" w:rsidRDefault="009A6868"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Day / Type</w:t>
            </w:r>
          </w:p>
        </w:tc>
        <w:tc>
          <w:tcPr>
            <w:tcW w:w="604" w:type="dxa"/>
            <w:vMerge w:val="restart"/>
            <w:tcBorders>
              <w:top w:val="single" w:sz="12" w:space="0" w:color="000000"/>
              <w:left w:val="single" w:sz="6" w:space="0" w:color="000000"/>
              <w:bottom w:val="single" w:sz="12" w:space="0" w:color="000000"/>
              <w:right w:val="single" w:sz="4" w:space="0" w:color="000000"/>
            </w:tcBorders>
            <w:shd w:val="clear" w:color="auto" w:fill="1F497D" w:themeFill="text2"/>
            <w:vAlign w:val="bottom"/>
          </w:tcPr>
          <w:p w:rsidR="009A6868" w:rsidRPr="00C728E5" w:rsidRDefault="009A6868"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w:t>
            </w:r>
          </w:p>
        </w:tc>
        <w:tc>
          <w:tcPr>
            <w:tcW w:w="4156" w:type="dxa"/>
            <w:gridSpan w:val="5"/>
            <w:tcBorders>
              <w:top w:val="single" w:sz="12" w:space="0" w:color="000000"/>
              <w:left w:val="single" w:sz="4" w:space="0" w:color="000000"/>
              <w:bottom w:val="single" w:sz="3"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1-in-10</w:t>
            </w:r>
          </w:p>
        </w:tc>
        <w:tc>
          <w:tcPr>
            <w:tcW w:w="4320" w:type="dxa"/>
            <w:gridSpan w:val="5"/>
            <w:tcBorders>
              <w:top w:val="single" w:sz="12" w:space="0" w:color="000000"/>
              <w:left w:val="single" w:sz="4" w:space="0" w:color="000000"/>
              <w:bottom w:val="single" w:sz="3" w:space="0" w:color="000000"/>
              <w:right w:val="single" w:sz="12" w:space="0" w:color="000000"/>
            </w:tcBorders>
            <w:shd w:val="clear" w:color="auto" w:fill="1F497D" w:themeFill="text2"/>
            <w:tcMar>
              <w:left w:w="80" w:type="dxa"/>
              <w:right w:w="80" w:type="dxa"/>
            </w:tcMar>
            <w:vAlign w:val="bottom"/>
          </w:tcPr>
          <w:p w:rsidR="009A6868" w:rsidRPr="00C728E5" w:rsidRDefault="009A6868" w:rsidP="00920140">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1-in-2</w:t>
            </w:r>
          </w:p>
        </w:tc>
      </w:tr>
      <w:tr w:rsidR="009A6868" w:rsidRPr="006B327F" w:rsidTr="0024252A">
        <w:trPr>
          <w:cantSplit/>
        </w:trPr>
        <w:tc>
          <w:tcPr>
            <w:tcW w:w="820" w:type="dxa"/>
            <w:vMerge/>
            <w:tcBorders>
              <w:top w:val="single" w:sz="12" w:space="0" w:color="000000"/>
              <w:left w:val="single" w:sz="6" w:space="0" w:color="000000"/>
              <w:bottom w:val="single" w:sz="12" w:space="0" w:color="000000"/>
              <w:right w:val="single" w:sz="6" w:space="0" w:color="000000"/>
            </w:tcBorders>
            <w:shd w:val="clear" w:color="auto" w:fill="1F497D" w:themeFill="text2"/>
            <w:vAlign w:val="center"/>
          </w:tcPr>
          <w:p w:rsidR="009A6868" w:rsidRPr="00C728E5" w:rsidRDefault="009A6868" w:rsidP="00920140">
            <w:pPr>
              <w:keepNext/>
              <w:keepLines/>
              <w:adjustRightInd w:val="0"/>
              <w:spacing w:before="40" w:after="40"/>
              <w:rPr>
                <w:color w:val="FFFFFF" w:themeColor="background1"/>
                <w:sz w:val="16"/>
                <w:szCs w:val="16"/>
              </w:rPr>
            </w:pPr>
          </w:p>
        </w:tc>
        <w:tc>
          <w:tcPr>
            <w:tcW w:w="604" w:type="dxa"/>
            <w:vMerge/>
            <w:tcBorders>
              <w:top w:val="single" w:sz="12" w:space="0" w:color="000000"/>
              <w:left w:val="single" w:sz="6" w:space="0" w:color="000000"/>
              <w:bottom w:val="single" w:sz="12" w:space="0" w:color="000000"/>
              <w:right w:val="single" w:sz="4" w:space="0" w:color="000000"/>
            </w:tcBorders>
            <w:shd w:val="clear" w:color="auto" w:fill="1F497D" w:themeFill="text2"/>
            <w:vAlign w:val="center"/>
          </w:tcPr>
          <w:p w:rsidR="009A6868" w:rsidRPr="00C728E5" w:rsidRDefault="009A6868" w:rsidP="00920140">
            <w:pPr>
              <w:keepNext/>
              <w:keepLines/>
              <w:adjustRightInd w:val="0"/>
              <w:spacing w:before="40" w:after="40"/>
              <w:rPr>
                <w:color w:val="FFFFFF" w:themeColor="background1"/>
                <w:sz w:val="16"/>
                <w:szCs w:val="16"/>
              </w:rPr>
            </w:pPr>
          </w:p>
        </w:tc>
        <w:tc>
          <w:tcPr>
            <w:tcW w:w="1006"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Average Hourly Reference Load (kWh)</w:t>
            </w:r>
          </w:p>
        </w:tc>
        <w:tc>
          <w:tcPr>
            <w:tcW w:w="81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Average Hourly Observed Load (kWh)</w:t>
            </w:r>
          </w:p>
        </w:tc>
        <w:tc>
          <w:tcPr>
            <w:tcW w:w="72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Average Hourly Impact (kWh)</w:t>
            </w:r>
          </w:p>
        </w:tc>
        <w:tc>
          <w:tcPr>
            <w:tcW w:w="81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Percent Load Reduction</w:t>
            </w:r>
          </w:p>
        </w:tc>
        <w:tc>
          <w:tcPr>
            <w:tcW w:w="81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Average Total Hourly Impact (MWh)</w:t>
            </w:r>
          </w:p>
        </w:tc>
        <w:tc>
          <w:tcPr>
            <w:tcW w:w="90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Average Hourly Reference Load (kWh)</w:t>
            </w:r>
          </w:p>
        </w:tc>
        <w:tc>
          <w:tcPr>
            <w:tcW w:w="90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Average Hourly Observed Load (kWh)</w:t>
            </w:r>
          </w:p>
        </w:tc>
        <w:tc>
          <w:tcPr>
            <w:tcW w:w="81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Average Hourly Impact (kWh)</w:t>
            </w:r>
          </w:p>
        </w:tc>
        <w:tc>
          <w:tcPr>
            <w:tcW w:w="90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Percent Load Reduction</w:t>
            </w:r>
          </w:p>
        </w:tc>
        <w:tc>
          <w:tcPr>
            <w:tcW w:w="810" w:type="dxa"/>
            <w:tcBorders>
              <w:top w:val="nil"/>
              <w:left w:val="single" w:sz="4" w:space="0" w:color="000000"/>
              <w:bottom w:val="single" w:sz="12" w:space="0" w:color="000000"/>
              <w:right w:val="single" w:sz="12" w:space="0" w:color="000000"/>
            </w:tcBorders>
            <w:shd w:val="clear" w:color="auto" w:fill="1F497D" w:themeFill="text2"/>
            <w:tcMar>
              <w:left w:w="80" w:type="dxa"/>
              <w:right w:w="80" w:type="dxa"/>
            </w:tcMar>
            <w:vAlign w:val="bottom"/>
          </w:tcPr>
          <w:p w:rsidR="009A6868" w:rsidRPr="00C728E5" w:rsidRDefault="009A6868" w:rsidP="00920140">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Average Total Hourly Impact (MWh)</w:t>
            </w:r>
          </w:p>
        </w:tc>
      </w:tr>
      <w:tr w:rsidR="009A6868" w:rsidRPr="006B327F" w:rsidTr="0024252A">
        <w:trPr>
          <w:cantSplit/>
        </w:trPr>
        <w:tc>
          <w:tcPr>
            <w:tcW w:w="820" w:type="dxa"/>
            <w:vMerge w:val="restart"/>
            <w:tcBorders>
              <w:top w:val="nil"/>
              <w:left w:val="single" w:sz="3" w:space="0" w:color="000000"/>
              <w:bottom w:val="single" w:sz="3" w:space="0" w:color="000000"/>
              <w:right w:val="nil"/>
            </w:tcBorders>
            <w:shd w:val="clear" w:color="auto" w:fill="1F497D" w:themeFill="text2"/>
            <w:tcMar>
              <w:left w:w="80" w:type="dxa"/>
              <w:right w:w="80" w:type="dxa"/>
            </w:tcMar>
            <w:vAlign w:val="center"/>
          </w:tcPr>
          <w:p w:rsidR="009A6868" w:rsidRPr="00C728E5" w:rsidRDefault="009A6868"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604" w:type="dxa"/>
            <w:tcBorders>
              <w:top w:val="nil"/>
              <w:left w:val="single" w:sz="3" w:space="0" w:color="000000"/>
              <w:bottom w:val="single" w:sz="3" w:space="0" w:color="000000"/>
              <w:right w:val="nil"/>
            </w:tcBorders>
            <w:shd w:val="clear" w:color="auto" w:fill="1F497D" w:themeFill="text2"/>
            <w:tcMar>
              <w:left w:w="80" w:type="dxa"/>
              <w:right w:w="80" w:type="dxa"/>
            </w:tcMar>
            <w:vAlign w:val="center"/>
          </w:tcPr>
          <w:p w:rsidR="009A6868" w:rsidRPr="00C728E5" w:rsidRDefault="009A6868"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Jun</w:t>
            </w:r>
          </w:p>
        </w:tc>
        <w:tc>
          <w:tcPr>
            <w:tcW w:w="1006"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1.74</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1.32</w:t>
            </w:r>
          </w:p>
        </w:tc>
        <w:tc>
          <w:tcPr>
            <w:tcW w:w="72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C728E5">
            <w:pPr>
              <w:keepNext/>
              <w:keepLines/>
              <w:adjustRightInd w:val="0"/>
              <w:spacing w:before="40" w:after="40"/>
              <w:jc w:val="center"/>
              <w:rPr>
                <w:color w:val="000000"/>
                <w:sz w:val="16"/>
                <w:szCs w:val="16"/>
              </w:rPr>
            </w:pPr>
            <w:r w:rsidRPr="00C728E5">
              <w:rPr>
                <w:color w:val="000000"/>
                <w:sz w:val="16"/>
                <w:szCs w:val="16"/>
              </w:rPr>
              <w:t>0.421</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24.2%</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3.38</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1.21</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0.95</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0.259</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21.4%</w:t>
            </w:r>
          </w:p>
        </w:tc>
        <w:tc>
          <w:tcPr>
            <w:tcW w:w="810" w:type="dxa"/>
            <w:tcBorders>
              <w:top w:val="nil"/>
              <w:left w:val="single" w:sz="3" w:space="0" w:color="000000"/>
              <w:bottom w:val="single" w:sz="3" w:space="0" w:color="000000"/>
              <w:right w:val="single" w:sz="12" w:space="0" w:color="000000"/>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2.08</w:t>
            </w:r>
          </w:p>
        </w:tc>
      </w:tr>
      <w:tr w:rsidR="009A6868" w:rsidRPr="006B327F" w:rsidTr="0024252A">
        <w:trPr>
          <w:cantSplit/>
        </w:trPr>
        <w:tc>
          <w:tcPr>
            <w:tcW w:w="820" w:type="dxa"/>
            <w:vMerge/>
            <w:tcBorders>
              <w:top w:val="nil"/>
              <w:left w:val="single" w:sz="3" w:space="0" w:color="000000"/>
              <w:bottom w:val="single" w:sz="3" w:space="0" w:color="000000"/>
              <w:right w:val="nil"/>
            </w:tcBorders>
            <w:shd w:val="clear" w:color="auto" w:fill="1F497D" w:themeFill="text2"/>
            <w:tcMar>
              <w:left w:w="80" w:type="dxa"/>
              <w:right w:w="80" w:type="dxa"/>
            </w:tcMar>
            <w:vAlign w:val="center"/>
          </w:tcPr>
          <w:p w:rsidR="009A6868" w:rsidRPr="00C728E5" w:rsidRDefault="009A6868" w:rsidP="00920140">
            <w:pPr>
              <w:keepNext/>
              <w:keepLines/>
              <w:adjustRightInd w:val="0"/>
              <w:spacing w:before="40" w:after="40"/>
              <w:rPr>
                <w:color w:val="FFFFFF" w:themeColor="background1"/>
                <w:sz w:val="16"/>
                <w:szCs w:val="16"/>
              </w:rPr>
            </w:pPr>
          </w:p>
        </w:tc>
        <w:tc>
          <w:tcPr>
            <w:tcW w:w="604" w:type="dxa"/>
            <w:tcBorders>
              <w:top w:val="nil"/>
              <w:left w:val="single" w:sz="3" w:space="0" w:color="000000"/>
              <w:bottom w:val="single" w:sz="3" w:space="0" w:color="000000"/>
              <w:right w:val="nil"/>
            </w:tcBorders>
            <w:shd w:val="clear" w:color="auto" w:fill="1F497D" w:themeFill="text2"/>
            <w:tcMar>
              <w:left w:w="80" w:type="dxa"/>
              <w:right w:w="80" w:type="dxa"/>
            </w:tcMar>
            <w:vAlign w:val="center"/>
          </w:tcPr>
          <w:p w:rsidR="009A6868" w:rsidRPr="00C728E5" w:rsidRDefault="009A6868"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Jul</w:t>
            </w:r>
          </w:p>
        </w:tc>
        <w:tc>
          <w:tcPr>
            <w:tcW w:w="1006"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1.92</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1.43</w:t>
            </w:r>
          </w:p>
        </w:tc>
        <w:tc>
          <w:tcPr>
            <w:tcW w:w="72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C728E5">
            <w:pPr>
              <w:keepNext/>
              <w:keepLines/>
              <w:adjustRightInd w:val="0"/>
              <w:spacing w:before="40" w:after="40"/>
              <w:jc w:val="center"/>
              <w:rPr>
                <w:color w:val="000000"/>
                <w:sz w:val="16"/>
                <w:szCs w:val="16"/>
              </w:rPr>
            </w:pPr>
            <w:r w:rsidRPr="00C728E5">
              <w:rPr>
                <w:color w:val="000000"/>
                <w:sz w:val="16"/>
                <w:szCs w:val="16"/>
              </w:rPr>
              <w:t>0.486</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25.3%</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3.99</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1.47</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1.14</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0.333</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22.7%</w:t>
            </w:r>
          </w:p>
        </w:tc>
        <w:tc>
          <w:tcPr>
            <w:tcW w:w="810" w:type="dxa"/>
            <w:tcBorders>
              <w:top w:val="nil"/>
              <w:left w:val="single" w:sz="3" w:space="0" w:color="000000"/>
              <w:bottom w:val="single" w:sz="3" w:space="0" w:color="000000"/>
              <w:right w:val="single" w:sz="12" w:space="0" w:color="000000"/>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2.74</w:t>
            </w:r>
          </w:p>
        </w:tc>
      </w:tr>
      <w:tr w:rsidR="009A6868" w:rsidRPr="006B327F" w:rsidTr="0024252A">
        <w:trPr>
          <w:cantSplit/>
        </w:trPr>
        <w:tc>
          <w:tcPr>
            <w:tcW w:w="820" w:type="dxa"/>
            <w:vMerge/>
            <w:tcBorders>
              <w:top w:val="nil"/>
              <w:left w:val="single" w:sz="3" w:space="0" w:color="000000"/>
              <w:bottom w:val="single" w:sz="3" w:space="0" w:color="000000"/>
              <w:right w:val="nil"/>
            </w:tcBorders>
            <w:shd w:val="clear" w:color="auto" w:fill="1F497D" w:themeFill="text2"/>
            <w:tcMar>
              <w:left w:w="80" w:type="dxa"/>
              <w:right w:w="80" w:type="dxa"/>
            </w:tcMar>
            <w:vAlign w:val="center"/>
          </w:tcPr>
          <w:p w:rsidR="009A6868" w:rsidRPr="00C728E5" w:rsidRDefault="009A6868" w:rsidP="00920140">
            <w:pPr>
              <w:keepNext/>
              <w:keepLines/>
              <w:adjustRightInd w:val="0"/>
              <w:spacing w:before="40" w:after="40"/>
              <w:rPr>
                <w:color w:val="FFFFFF" w:themeColor="background1"/>
                <w:sz w:val="16"/>
                <w:szCs w:val="16"/>
              </w:rPr>
            </w:pPr>
          </w:p>
        </w:tc>
        <w:tc>
          <w:tcPr>
            <w:tcW w:w="604" w:type="dxa"/>
            <w:tcBorders>
              <w:top w:val="nil"/>
              <w:left w:val="single" w:sz="3" w:space="0" w:color="000000"/>
              <w:bottom w:val="single" w:sz="3" w:space="0" w:color="000000"/>
              <w:right w:val="nil"/>
            </w:tcBorders>
            <w:shd w:val="clear" w:color="auto" w:fill="1F497D" w:themeFill="text2"/>
            <w:tcMar>
              <w:left w:w="80" w:type="dxa"/>
              <w:right w:w="80" w:type="dxa"/>
            </w:tcMar>
            <w:vAlign w:val="center"/>
          </w:tcPr>
          <w:p w:rsidR="009A6868" w:rsidRPr="00C728E5" w:rsidRDefault="009A6868"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Aug</w:t>
            </w:r>
          </w:p>
        </w:tc>
        <w:tc>
          <w:tcPr>
            <w:tcW w:w="1006"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2.02</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1.51</w:t>
            </w:r>
          </w:p>
        </w:tc>
        <w:tc>
          <w:tcPr>
            <w:tcW w:w="72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C728E5">
            <w:pPr>
              <w:keepNext/>
              <w:keepLines/>
              <w:adjustRightInd w:val="0"/>
              <w:spacing w:before="40" w:after="40"/>
              <w:jc w:val="center"/>
              <w:rPr>
                <w:color w:val="000000"/>
                <w:sz w:val="16"/>
                <w:szCs w:val="16"/>
              </w:rPr>
            </w:pPr>
            <w:r w:rsidRPr="00C728E5">
              <w:rPr>
                <w:color w:val="000000"/>
                <w:sz w:val="16"/>
                <w:szCs w:val="16"/>
              </w:rPr>
              <w:t>0.510</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25.2%</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4.28</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1.59</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1.21</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0.375</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23.6%</w:t>
            </w:r>
          </w:p>
        </w:tc>
        <w:tc>
          <w:tcPr>
            <w:tcW w:w="810" w:type="dxa"/>
            <w:tcBorders>
              <w:top w:val="nil"/>
              <w:left w:val="single" w:sz="3" w:space="0" w:color="000000"/>
              <w:bottom w:val="single" w:sz="3" w:space="0" w:color="000000"/>
              <w:right w:val="single" w:sz="12" w:space="0" w:color="000000"/>
            </w:tcBorders>
            <w:shd w:val="clear" w:color="auto" w:fill="FFFFFF"/>
            <w:tcMar>
              <w:left w:w="80" w:type="dxa"/>
              <w:right w:w="80" w:type="dxa"/>
            </w:tcMar>
            <w:vAlign w:val="center"/>
          </w:tcPr>
          <w:p w:rsidR="009A6868" w:rsidRPr="00C728E5" w:rsidRDefault="009A6868" w:rsidP="00920140">
            <w:pPr>
              <w:keepNext/>
              <w:keepLines/>
              <w:adjustRightInd w:val="0"/>
              <w:spacing w:before="40" w:after="40"/>
              <w:jc w:val="center"/>
              <w:rPr>
                <w:color w:val="000000"/>
                <w:sz w:val="16"/>
                <w:szCs w:val="16"/>
              </w:rPr>
            </w:pPr>
            <w:r w:rsidRPr="00C728E5">
              <w:rPr>
                <w:color w:val="000000"/>
                <w:sz w:val="16"/>
                <w:szCs w:val="16"/>
              </w:rPr>
              <w:t>3.15</w:t>
            </w:r>
          </w:p>
        </w:tc>
      </w:tr>
    </w:tbl>
    <w:p w:rsidR="00920140" w:rsidRDefault="00920140" w:rsidP="00920140">
      <w:pPr>
        <w:spacing w:line="276" w:lineRule="auto"/>
        <w:sectPr w:rsidR="00920140" w:rsidSect="00C728E5">
          <w:footerReference w:type="default" r:id="rId20"/>
          <w:pgSz w:w="12240" w:h="15840"/>
          <w:pgMar w:top="1440" w:right="1440" w:bottom="1440" w:left="1440" w:header="720" w:footer="720" w:gutter="0"/>
          <w:cols w:space="720"/>
          <w:docGrid w:linePitch="360"/>
        </w:sectPr>
      </w:pPr>
    </w:p>
    <w:p w:rsidR="00920140" w:rsidRPr="00D147FA" w:rsidRDefault="00920140" w:rsidP="00920140">
      <w:pPr>
        <w:pStyle w:val="Heading3"/>
        <w:ind w:left="720"/>
        <w:rPr>
          <w:rFonts w:ascii="Times New Roman" w:hAnsi="Times New Roman" w:cs="Times New Roman"/>
        </w:rPr>
      </w:pPr>
      <w:bookmarkStart w:id="225" w:name="_Toc415749018"/>
      <w:bookmarkStart w:id="226" w:name="_Toc447179829"/>
      <w:r w:rsidRPr="00D147FA">
        <w:rPr>
          <w:rFonts w:ascii="Times New Roman" w:hAnsi="Times New Roman" w:cs="Times New Roman"/>
        </w:rPr>
        <w:lastRenderedPageBreak/>
        <w:t>SCTD Only</w:t>
      </w:r>
      <w:bookmarkEnd w:id="226"/>
    </w:p>
    <w:p w:rsidR="00920140" w:rsidRDefault="00920140" w:rsidP="00920140"/>
    <w:p w:rsidR="00920140" w:rsidRPr="00B777EF" w:rsidRDefault="00260B68" w:rsidP="00920140">
      <w:pPr>
        <w:spacing w:line="276" w:lineRule="auto"/>
        <w:ind w:firstLine="360"/>
        <w:rPr>
          <w:color w:val="000000" w:themeColor="text1"/>
        </w:rPr>
      </w:pPr>
      <w:r w:rsidRPr="00260B68">
        <w:rPr>
          <w:color w:val="000000" w:themeColor="text1"/>
          <w:sz w:val="22"/>
          <w:szCs w:val="22"/>
        </w:rPr>
        <w:t>Table 7-</w:t>
      </w:r>
      <w:r w:rsidR="0024252A">
        <w:rPr>
          <w:color w:val="000000" w:themeColor="text1"/>
          <w:sz w:val="22"/>
          <w:szCs w:val="22"/>
        </w:rPr>
        <w:t>8</w:t>
      </w:r>
      <w:r>
        <w:rPr>
          <w:color w:val="000000" w:themeColor="text1"/>
        </w:rPr>
        <w:t xml:space="preserve"> </w:t>
      </w:r>
      <w:r w:rsidR="00920140" w:rsidRPr="00B777EF">
        <w:rPr>
          <w:color w:val="000000" w:themeColor="text1"/>
        </w:rPr>
        <w:t xml:space="preserve">shows the </w:t>
      </w:r>
      <w:r w:rsidR="00920140" w:rsidRPr="00B777EF">
        <w:rPr>
          <w:i/>
          <w:color w:val="000000" w:themeColor="text1"/>
        </w:rPr>
        <w:t>ex ante</w:t>
      </w:r>
      <w:r w:rsidR="00920140" w:rsidRPr="00B777EF">
        <w:rPr>
          <w:color w:val="000000" w:themeColor="text1"/>
        </w:rPr>
        <w:t xml:space="preserve"> load impact estimates for the average customer only enrolled in the SCTD program for the various combinations of day types and weather scenarios for 2017.  For a 1-in-2 typical event day, the estimated load reduction for the average SCTD-only participant is 0.22 kW during the resource availability hour. For a 1-in-10 typical event day, the estimated load reduction is 0.31 kW. The average estimated aggregate load reductions are 1.29 MW (13.7%) and 1.81 MW (14.9%), respectively.  As the enrollment in the SCTD programs continues to grow, these aggregate estimates will increase.</w:t>
      </w:r>
    </w:p>
    <w:p w:rsidR="00920140" w:rsidRPr="00B777EF" w:rsidRDefault="00920140" w:rsidP="00920140">
      <w:pPr>
        <w:spacing w:line="276" w:lineRule="auto"/>
        <w:ind w:firstLine="360"/>
        <w:rPr>
          <w:color w:val="000000" w:themeColor="text1"/>
        </w:rPr>
      </w:pPr>
    </w:p>
    <w:p w:rsidR="00920140" w:rsidRDefault="00920140" w:rsidP="00920140">
      <w:pPr>
        <w:spacing w:line="276" w:lineRule="auto"/>
        <w:ind w:firstLine="360"/>
      </w:pPr>
    </w:p>
    <w:p w:rsidR="00920140" w:rsidRPr="00D20365" w:rsidRDefault="00920140" w:rsidP="00C728E5">
      <w:pPr>
        <w:pStyle w:val="Caption"/>
        <w:spacing w:after="120"/>
        <w:ind w:firstLine="1170"/>
        <w:rPr>
          <w:sz w:val="22"/>
          <w:szCs w:val="22"/>
        </w:rPr>
      </w:pPr>
      <w:bookmarkStart w:id="227" w:name="_Ref445988151"/>
      <w:r w:rsidRPr="00D20365">
        <w:rPr>
          <w:sz w:val="22"/>
          <w:szCs w:val="22"/>
        </w:rPr>
        <w:t xml:space="preserve">Table </w:t>
      </w:r>
      <w:r w:rsidRPr="00D20365">
        <w:rPr>
          <w:sz w:val="22"/>
          <w:szCs w:val="22"/>
        </w:rPr>
        <w:fldChar w:fldCharType="begin"/>
      </w:r>
      <w:r w:rsidRPr="00D20365">
        <w:rPr>
          <w:sz w:val="22"/>
          <w:szCs w:val="22"/>
        </w:rPr>
        <w:instrText xml:space="preserve"> STYLEREF 1 \s </w:instrText>
      </w:r>
      <w:r w:rsidRPr="00D20365">
        <w:rPr>
          <w:sz w:val="22"/>
          <w:szCs w:val="22"/>
        </w:rPr>
        <w:fldChar w:fldCharType="separate"/>
      </w:r>
      <w:r w:rsidR="008A6A2B">
        <w:rPr>
          <w:noProof/>
          <w:sz w:val="22"/>
          <w:szCs w:val="22"/>
        </w:rPr>
        <w:t>7</w:t>
      </w:r>
      <w:r w:rsidRPr="00D20365">
        <w:rPr>
          <w:sz w:val="22"/>
          <w:szCs w:val="22"/>
        </w:rPr>
        <w:fldChar w:fldCharType="end"/>
      </w:r>
      <w:r w:rsidRPr="00D20365">
        <w:rPr>
          <w:sz w:val="22"/>
          <w:szCs w:val="22"/>
        </w:rPr>
        <w:noBreakHyphen/>
      </w:r>
      <w:bookmarkEnd w:id="227"/>
      <w:r w:rsidR="0024252A">
        <w:rPr>
          <w:sz w:val="22"/>
          <w:szCs w:val="22"/>
        </w:rPr>
        <w:t>8</w:t>
      </w:r>
      <w:r w:rsidR="00260B68">
        <w:rPr>
          <w:sz w:val="22"/>
          <w:szCs w:val="22"/>
        </w:rPr>
        <w:t>:</w:t>
      </w:r>
      <w:r w:rsidRPr="00D20365">
        <w:rPr>
          <w:sz w:val="22"/>
          <w:szCs w:val="22"/>
        </w:rPr>
        <w:t xml:space="preserve"> 2017 Ex Ante Hourly Load Impact Results - SCTD Only</w:t>
      </w:r>
    </w:p>
    <w:tbl>
      <w:tblPr>
        <w:tblW w:w="10180" w:type="dxa"/>
        <w:jc w:val="center"/>
        <w:tblLayout w:type="fixed"/>
        <w:tblCellMar>
          <w:left w:w="0" w:type="dxa"/>
          <w:right w:w="0" w:type="dxa"/>
        </w:tblCellMar>
        <w:tblLook w:val="0000" w:firstRow="0" w:lastRow="0" w:firstColumn="0" w:lastColumn="0" w:noHBand="0" w:noVBand="0"/>
      </w:tblPr>
      <w:tblGrid>
        <w:gridCol w:w="820"/>
        <w:gridCol w:w="540"/>
        <w:gridCol w:w="1080"/>
        <w:gridCol w:w="990"/>
        <w:gridCol w:w="810"/>
        <w:gridCol w:w="900"/>
        <w:gridCol w:w="810"/>
        <w:gridCol w:w="900"/>
        <w:gridCol w:w="810"/>
        <w:gridCol w:w="810"/>
        <w:gridCol w:w="900"/>
        <w:gridCol w:w="810"/>
      </w:tblGrid>
      <w:tr w:rsidR="009A6868" w:rsidRPr="00303F88" w:rsidTr="00DD56C3">
        <w:trPr>
          <w:cantSplit/>
          <w:jc w:val="center"/>
        </w:trPr>
        <w:tc>
          <w:tcPr>
            <w:tcW w:w="820" w:type="dxa"/>
            <w:vMerge w:val="restart"/>
            <w:tcBorders>
              <w:top w:val="single" w:sz="12" w:space="0" w:color="000000"/>
              <w:left w:val="single" w:sz="6" w:space="0" w:color="000000"/>
              <w:bottom w:val="single" w:sz="12" w:space="0" w:color="000000"/>
              <w:right w:val="single" w:sz="6" w:space="0" w:color="000000"/>
            </w:tcBorders>
            <w:shd w:val="clear" w:color="auto" w:fill="1F497D" w:themeFill="text2"/>
            <w:vAlign w:val="bottom"/>
          </w:tcPr>
          <w:p w:rsidR="009A6868" w:rsidRPr="00C728E5" w:rsidRDefault="009A6868" w:rsidP="00920140">
            <w:pPr>
              <w:keepNext/>
              <w:keepLines/>
              <w:widowControl w:val="0"/>
              <w:adjustRightInd w:val="0"/>
              <w:spacing w:before="40" w:after="40"/>
              <w:rPr>
                <w:b/>
                <w:bCs/>
                <w:color w:val="FFFFFF" w:themeColor="background1"/>
                <w:sz w:val="16"/>
                <w:szCs w:val="16"/>
              </w:rPr>
            </w:pPr>
          </w:p>
        </w:tc>
        <w:tc>
          <w:tcPr>
            <w:tcW w:w="540" w:type="dxa"/>
            <w:vMerge w:val="restart"/>
            <w:tcBorders>
              <w:top w:val="single" w:sz="12" w:space="0" w:color="000000"/>
              <w:left w:val="single" w:sz="6" w:space="0" w:color="000000"/>
              <w:bottom w:val="single" w:sz="12" w:space="0" w:color="000000"/>
              <w:right w:val="single" w:sz="4" w:space="0" w:color="000000"/>
            </w:tcBorders>
            <w:shd w:val="clear" w:color="auto" w:fill="1F497D" w:themeFill="text2"/>
            <w:vAlign w:val="bottom"/>
          </w:tcPr>
          <w:p w:rsidR="009A6868" w:rsidRPr="00C728E5" w:rsidRDefault="009A6868" w:rsidP="00920140">
            <w:pPr>
              <w:keepNext/>
              <w:keepLines/>
              <w:widowControl w:val="0"/>
              <w:adjustRightInd w:val="0"/>
              <w:spacing w:before="40" w:after="40"/>
              <w:rPr>
                <w:b/>
                <w:bCs/>
                <w:color w:val="FFFFFF" w:themeColor="background1"/>
                <w:sz w:val="16"/>
                <w:szCs w:val="16"/>
              </w:rPr>
            </w:pPr>
          </w:p>
        </w:tc>
        <w:tc>
          <w:tcPr>
            <w:tcW w:w="4590" w:type="dxa"/>
            <w:gridSpan w:val="5"/>
            <w:tcBorders>
              <w:top w:val="single" w:sz="12" w:space="0" w:color="000000"/>
              <w:left w:val="single" w:sz="4" w:space="0" w:color="000000"/>
              <w:bottom w:val="single" w:sz="3"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widowControl w:val="0"/>
              <w:adjustRightInd w:val="0"/>
              <w:spacing w:before="40" w:after="40"/>
              <w:jc w:val="center"/>
              <w:rPr>
                <w:b/>
                <w:bCs/>
                <w:color w:val="FFFFFF" w:themeColor="background1"/>
                <w:sz w:val="16"/>
                <w:szCs w:val="16"/>
              </w:rPr>
            </w:pPr>
          </w:p>
        </w:tc>
        <w:tc>
          <w:tcPr>
            <w:tcW w:w="4230" w:type="dxa"/>
            <w:gridSpan w:val="5"/>
            <w:tcBorders>
              <w:top w:val="single" w:sz="12" w:space="0" w:color="000000"/>
              <w:left w:val="single" w:sz="4" w:space="0" w:color="000000"/>
              <w:bottom w:val="single" w:sz="3" w:space="0" w:color="000000"/>
              <w:right w:val="single" w:sz="12" w:space="0" w:color="000000"/>
            </w:tcBorders>
            <w:shd w:val="clear" w:color="auto" w:fill="1F497D" w:themeFill="text2"/>
            <w:tcMar>
              <w:left w:w="80" w:type="dxa"/>
              <w:right w:w="80" w:type="dxa"/>
            </w:tcMar>
            <w:vAlign w:val="bottom"/>
          </w:tcPr>
          <w:p w:rsidR="009A6868" w:rsidRPr="00C728E5" w:rsidRDefault="009A6868" w:rsidP="00920140">
            <w:pPr>
              <w:keepNext/>
              <w:keepLines/>
              <w:widowControl w:val="0"/>
              <w:adjustRightInd w:val="0"/>
              <w:spacing w:before="40" w:after="40"/>
              <w:jc w:val="center"/>
              <w:rPr>
                <w:b/>
                <w:bCs/>
                <w:color w:val="FFFFFF" w:themeColor="background1"/>
                <w:sz w:val="16"/>
                <w:szCs w:val="16"/>
              </w:rPr>
            </w:pPr>
          </w:p>
        </w:tc>
      </w:tr>
      <w:tr w:rsidR="009A6868" w:rsidRPr="00303F88" w:rsidTr="00DD56C3">
        <w:trPr>
          <w:cantSplit/>
          <w:jc w:val="center"/>
        </w:trPr>
        <w:tc>
          <w:tcPr>
            <w:tcW w:w="820" w:type="dxa"/>
            <w:vMerge/>
            <w:tcBorders>
              <w:top w:val="single" w:sz="12" w:space="0" w:color="000000"/>
              <w:left w:val="single" w:sz="6" w:space="0" w:color="000000"/>
              <w:bottom w:val="single" w:sz="12" w:space="0" w:color="000000"/>
              <w:right w:val="single" w:sz="6" w:space="0" w:color="000000"/>
            </w:tcBorders>
            <w:shd w:val="clear" w:color="auto" w:fill="1F497D" w:themeFill="text2"/>
            <w:vAlign w:val="center"/>
          </w:tcPr>
          <w:p w:rsidR="009A6868" w:rsidRPr="00C728E5" w:rsidRDefault="009A6868" w:rsidP="00920140">
            <w:pPr>
              <w:keepNext/>
              <w:keepLines/>
              <w:widowControl w:val="0"/>
              <w:adjustRightInd w:val="0"/>
              <w:spacing w:before="40" w:after="40"/>
              <w:rPr>
                <w:color w:val="FFFFFF" w:themeColor="background1"/>
                <w:sz w:val="16"/>
                <w:szCs w:val="16"/>
              </w:rPr>
            </w:pPr>
          </w:p>
        </w:tc>
        <w:tc>
          <w:tcPr>
            <w:tcW w:w="540" w:type="dxa"/>
            <w:vMerge/>
            <w:tcBorders>
              <w:top w:val="single" w:sz="12" w:space="0" w:color="000000"/>
              <w:left w:val="single" w:sz="6" w:space="0" w:color="000000"/>
              <w:bottom w:val="single" w:sz="12" w:space="0" w:color="000000"/>
              <w:right w:val="single" w:sz="4" w:space="0" w:color="000000"/>
            </w:tcBorders>
            <w:shd w:val="clear" w:color="auto" w:fill="1F497D" w:themeFill="text2"/>
            <w:vAlign w:val="center"/>
          </w:tcPr>
          <w:p w:rsidR="009A6868" w:rsidRPr="00C728E5" w:rsidRDefault="009A6868" w:rsidP="00920140">
            <w:pPr>
              <w:keepNext/>
              <w:keepLines/>
              <w:widowControl w:val="0"/>
              <w:adjustRightInd w:val="0"/>
              <w:spacing w:before="40" w:after="40"/>
              <w:rPr>
                <w:color w:val="FFFFFF" w:themeColor="background1"/>
                <w:sz w:val="16"/>
                <w:szCs w:val="16"/>
              </w:rPr>
            </w:pPr>
          </w:p>
        </w:tc>
        <w:tc>
          <w:tcPr>
            <w:tcW w:w="108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widowControl w:val="0"/>
              <w:adjustRightInd w:val="0"/>
              <w:spacing w:before="40" w:after="40"/>
              <w:jc w:val="center"/>
              <w:rPr>
                <w:b/>
                <w:bCs/>
                <w:color w:val="FFFFFF" w:themeColor="background1"/>
                <w:sz w:val="16"/>
                <w:szCs w:val="16"/>
              </w:rPr>
            </w:pPr>
            <w:r w:rsidRPr="00C728E5">
              <w:rPr>
                <w:b/>
                <w:bCs/>
                <w:color w:val="FFFFFF" w:themeColor="background1"/>
                <w:sz w:val="16"/>
                <w:szCs w:val="16"/>
              </w:rPr>
              <w:t>Average Hourly Reference Load (kWh)</w:t>
            </w:r>
          </w:p>
        </w:tc>
        <w:tc>
          <w:tcPr>
            <w:tcW w:w="99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widowControl w:val="0"/>
              <w:adjustRightInd w:val="0"/>
              <w:spacing w:before="40" w:after="40"/>
              <w:jc w:val="center"/>
              <w:rPr>
                <w:b/>
                <w:bCs/>
                <w:color w:val="FFFFFF" w:themeColor="background1"/>
                <w:sz w:val="16"/>
                <w:szCs w:val="16"/>
              </w:rPr>
            </w:pPr>
            <w:r w:rsidRPr="00C728E5">
              <w:rPr>
                <w:b/>
                <w:bCs/>
                <w:color w:val="FFFFFF" w:themeColor="background1"/>
                <w:sz w:val="16"/>
                <w:szCs w:val="16"/>
              </w:rPr>
              <w:t>Average Hourly Observed Load (kWh)</w:t>
            </w:r>
          </w:p>
        </w:tc>
        <w:tc>
          <w:tcPr>
            <w:tcW w:w="81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widowControl w:val="0"/>
              <w:adjustRightInd w:val="0"/>
              <w:spacing w:before="40" w:after="40"/>
              <w:jc w:val="center"/>
              <w:rPr>
                <w:b/>
                <w:bCs/>
                <w:color w:val="FFFFFF" w:themeColor="background1"/>
                <w:sz w:val="16"/>
                <w:szCs w:val="16"/>
              </w:rPr>
            </w:pPr>
            <w:r w:rsidRPr="00C728E5">
              <w:rPr>
                <w:b/>
                <w:bCs/>
                <w:color w:val="FFFFFF" w:themeColor="background1"/>
                <w:sz w:val="16"/>
                <w:szCs w:val="16"/>
              </w:rPr>
              <w:t>Average Hourly Impact (kWh)</w:t>
            </w:r>
          </w:p>
        </w:tc>
        <w:tc>
          <w:tcPr>
            <w:tcW w:w="90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widowControl w:val="0"/>
              <w:adjustRightInd w:val="0"/>
              <w:spacing w:before="40" w:after="40"/>
              <w:jc w:val="center"/>
              <w:rPr>
                <w:b/>
                <w:bCs/>
                <w:color w:val="FFFFFF" w:themeColor="background1"/>
                <w:sz w:val="16"/>
                <w:szCs w:val="16"/>
              </w:rPr>
            </w:pPr>
            <w:r w:rsidRPr="00C728E5">
              <w:rPr>
                <w:b/>
                <w:bCs/>
                <w:color w:val="FFFFFF" w:themeColor="background1"/>
                <w:sz w:val="16"/>
                <w:szCs w:val="16"/>
              </w:rPr>
              <w:t>Percent Load Reduction</w:t>
            </w:r>
          </w:p>
        </w:tc>
        <w:tc>
          <w:tcPr>
            <w:tcW w:w="81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widowControl w:val="0"/>
              <w:adjustRightInd w:val="0"/>
              <w:spacing w:before="40" w:after="40"/>
              <w:jc w:val="center"/>
              <w:rPr>
                <w:b/>
                <w:bCs/>
                <w:color w:val="FFFFFF" w:themeColor="background1"/>
                <w:sz w:val="16"/>
                <w:szCs w:val="16"/>
              </w:rPr>
            </w:pPr>
            <w:r w:rsidRPr="00C728E5">
              <w:rPr>
                <w:b/>
                <w:bCs/>
                <w:color w:val="FFFFFF" w:themeColor="background1"/>
                <w:sz w:val="16"/>
                <w:szCs w:val="16"/>
              </w:rPr>
              <w:t>Average Total Hourly Impact (MWh)</w:t>
            </w:r>
          </w:p>
        </w:tc>
        <w:tc>
          <w:tcPr>
            <w:tcW w:w="90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widowControl w:val="0"/>
              <w:adjustRightInd w:val="0"/>
              <w:spacing w:before="40" w:after="40"/>
              <w:jc w:val="center"/>
              <w:rPr>
                <w:b/>
                <w:bCs/>
                <w:color w:val="FFFFFF" w:themeColor="background1"/>
                <w:sz w:val="16"/>
                <w:szCs w:val="16"/>
              </w:rPr>
            </w:pPr>
            <w:r w:rsidRPr="00C728E5">
              <w:rPr>
                <w:b/>
                <w:bCs/>
                <w:color w:val="FFFFFF" w:themeColor="background1"/>
                <w:sz w:val="16"/>
                <w:szCs w:val="16"/>
              </w:rPr>
              <w:t>Average Hourly Reference Load (kWh)</w:t>
            </w:r>
          </w:p>
        </w:tc>
        <w:tc>
          <w:tcPr>
            <w:tcW w:w="81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widowControl w:val="0"/>
              <w:adjustRightInd w:val="0"/>
              <w:spacing w:before="40" w:after="40"/>
              <w:jc w:val="center"/>
              <w:rPr>
                <w:b/>
                <w:bCs/>
                <w:color w:val="FFFFFF" w:themeColor="background1"/>
                <w:sz w:val="16"/>
                <w:szCs w:val="16"/>
              </w:rPr>
            </w:pPr>
            <w:r w:rsidRPr="00C728E5">
              <w:rPr>
                <w:b/>
                <w:bCs/>
                <w:color w:val="FFFFFF" w:themeColor="background1"/>
                <w:sz w:val="16"/>
                <w:szCs w:val="16"/>
              </w:rPr>
              <w:t>Average Hourly Observed Load (kWh)</w:t>
            </w:r>
          </w:p>
        </w:tc>
        <w:tc>
          <w:tcPr>
            <w:tcW w:w="81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widowControl w:val="0"/>
              <w:adjustRightInd w:val="0"/>
              <w:spacing w:before="40" w:after="40"/>
              <w:jc w:val="center"/>
              <w:rPr>
                <w:b/>
                <w:bCs/>
                <w:color w:val="FFFFFF" w:themeColor="background1"/>
                <w:sz w:val="16"/>
                <w:szCs w:val="16"/>
              </w:rPr>
            </w:pPr>
            <w:r w:rsidRPr="00C728E5">
              <w:rPr>
                <w:b/>
                <w:bCs/>
                <w:color w:val="FFFFFF" w:themeColor="background1"/>
                <w:sz w:val="16"/>
                <w:szCs w:val="16"/>
              </w:rPr>
              <w:t>Average Hourly Impact (kWh)</w:t>
            </w:r>
          </w:p>
        </w:tc>
        <w:tc>
          <w:tcPr>
            <w:tcW w:w="900" w:type="dxa"/>
            <w:tcBorders>
              <w:top w:val="nil"/>
              <w:left w:val="single" w:sz="4" w:space="0" w:color="000000"/>
              <w:bottom w:val="single" w:sz="12" w:space="0" w:color="000000"/>
              <w:right w:val="single" w:sz="4" w:space="0" w:color="000000"/>
            </w:tcBorders>
            <w:shd w:val="clear" w:color="auto" w:fill="1F497D" w:themeFill="text2"/>
            <w:tcMar>
              <w:left w:w="80" w:type="dxa"/>
              <w:right w:w="80" w:type="dxa"/>
            </w:tcMar>
            <w:vAlign w:val="bottom"/>
          </w:tcPr>
          <w:p w:rsidR="009A6868" w:rsidRPr="00C728E5" w:rsidRDefault="009A6868" w:rsidP="00920140">
            <w:pPr>
              <w:keepNext/>
              <w:keepLines/>
              <w:widowControl w:val="0"/>
              <w:adjustRightInd w:val="0"/>
              <w:spacing w:before="40" w:after="40"/>
              <w:jc w:val="center"/>
              <w:rPr>
                <w:b/>
                <w:bCs/>
                <w:color w:val="FFFFFF" w:themeColor="background1"/>
                <w:sz w:val="16"/>
                <w:szCs w:val="16"/>
              </w:rPr>
            </w:pPr>
            <w:r w:rsidRPr="00C728E5">
              <w:rPr>
                <w:b/>
                <w:bCs/>
                <w:color w:val="FFFFFF" w:themeColor="background1"/>
                <w:sz w:val="16"/>
                <w:szCs w:val="16"/>
              </w:rPr>
              <w:t>Percent Load Reduction</w:t>
            </w:r>
          </w:p>
        </w:tc>
        <w:tc>
          <w:tcPr>
            <w:tcW w:w="810" w:type="dxa"/>
            <w:tcBorders>
              <w:top w:val="nil"/>
              <w:left w:val="single" w:sz="4" w:space="0" w:color="000000"/>
              <w:bottom w:val="single" w:sz="12" w:space="0" w:color="000000"/>
              <w:right w:val="single" w:sz="12" w:space="0" w:color="000000"/>
            </w:tcBorders>
            <w:shd w:val="clear" w:color="auto" w:fill="1F497D" w:themeFill="text2"/>
            <w:tcMar>
              <w:left w:w="80" w:type="dxa"/>
              <w:right w:w="80" w:type="dxa"/>
            </w:tcMar>
            <w:vAlign w:val="bottom"/>
          </w:tcPr>
          <w:p w:rsidR="009A6868" w:rsidRPr="00C728E5" w:rsidRDefault="009A6868" w:rsidP="00920140">
            <w:pPr>
              <w:keepNext/>
              <w:keepLines/>
              <w:widowControl w:val="0"/>
              <w:adjustRightInd w:val="0"/>
              <w:spacing w:before="40" w:after="40"/>
              <w:jc w:val="center"/>
              <w:rPr>
                <w:b/>
                <w:bCs/>
                <w:color w:val="FFFFFF" w:themeColor="background1"/>
                <w:sz w:val="16"/>
                <w:szCs w:val="16"/>
              </w:rPr>
            </w:pPr>
            <w:r w:rsidRPr="00C728E5">
              <w:rPr>
                <w:b/>
                <w:bCs/>
                <w:color w:val="FFFFFF" w:themeColor="background1"/>
                <w:sz w:val="16"/>
                <w:szCs w:val="16"/>
              </w:rPr>
              <w:t>Average Total Hourly Impact (MWh)</w:t>
            </w:r>
          </w:p>
        </w:tc>
      </w:tr>
      <w:tr w:rsidR="009A6868" w:rsidRPr="00303F88" w:rsidTr="00DD56C3">
        <w:trPr>
          <w:cantSplit/>
          <w:jc w:val="center"/>
        </w:trPr>
        <w:tc>
          <w:tcPr>
            <w:tcW w:w="820" w:type="dxa"/>
            <w:vMerge w:val="restart"/>
            <w:tcBorders>
              <w:top w:val="nil"/>
              <w:left w:val="single" w:sz="3" w:space="0" w:color="000000"/>
              <w:bottom w:val="single" w:sz="3" w:space="0" w:color="000000"/>
              <w:right w:val="nil"/>
            </w:tcBorders>
            <w:shd w:val="clear" w:color="auto" w:fill="1F497D" w:themeFill="text2"/>
            <w:tcMar>
              <w:left w:w="80" w:type="dxa"/>
              <w:right w:w="80" w:type="dxa"/>
            </w:tcMar>
            <w:vAlign w:val="center"/>
          </w:tcPr>
          <w:p w:rsidR="009A6868" w:rsidRPr="00C728E5" w:rsidRDefault="009A6868" w:rsidP="00920140">
            <w:pPr>
              <w:keepNext/>
              <w:keepLines/>
              <w:widowControl w:val="0"/>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540" w:type="dxa"/>
            <w:tcBorders>
              <w:top w:val="nil"/>
              <w:left w:val="single" w:sz="3" w:space="0" w:color="000000"/>
              <w:bottom w:val="single" w:sz="3" w:space="0" w:color="000000"/>
              <w:right w:val="nil"/>
            </w:tcBorders>
            <w:shd w:val="clear" w:color="auto" w:fill="1F497D" w:themeFill="text2"/>
            <w:tcMar>
              <w:left w:w="80" w:type="dxa"/>
              <w:right w:w="80" w:type="dxa"/>
            </w:tcMar>
            <w:vAlign w:val="center"/>
          </w:tcPr>
          <w:p w:rsidR="009A6868" w:rsidRPr="00C728E5" w:rsidRDefault="009A6868" w:rsidP="00920140">
            <w:pPr>
              <w:keepNext/>
              <w:keepLines/>
              <w:widowControl w:val="0"/>
              <w:adjustRightInd w:val="0"/>
              <w:spacing w:before="40" w:after="40"/>
              <w:rPr>
                <w:b/>
                <w:bCs/>
                <w:color w:val="FFFFFF" w:themeColor="background1"/>
                <w:sz w:val="16"/>
                <w:szCs w:val="16"/>
              </w:rPr>
            </w:pPr>
            <w:r w:rsidRPr="00C728E5">
              <w:rPr>
                <w:b/>
                <w:bCs/>
                <w:color w:val="FFFFFF" w:themeColor="background1"/>
                <w:sz w:val="16"/>
                <w:szCs w:val="16"/>
              </w:rPr>
              <w:t>Jun</w:t>
            </w:r>
          </w:p>
        </w:tc>
        <w:tc>
          <w:tcPr>
            <w:tcW w:w="108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1.77</w:t>
            </w:r>
          </w:p>
        </w:tc>
        <w:tc>
          <w:tcPr>
            <w:tcW w:w="99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1.51</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0.251</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14.2%</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1.43</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1.24</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1.08</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0.156</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12.5%</w:t>
            </w:r>
          </w:p>
        </w:tc>
        <w:tc>
          <w:tcPr>
            <w:tcW w:w="810" w:type="dxa"/>
            <w:tcBorders>
              <w:top w:val="nil"/>
              <w:left w:val="single" w:sz="3" w:space="0" w:color="000000"/>
              <w:bottom w:val="single" w:sz="3" w:space="0" w:color="000000"/>
              <w:right w:val="single" w:sz="12" w:space="0" w:color="000000"/>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0.88</w:t>
            </w:r>
          </w:p>
        </w:tc>
      </w:tr>
      <w:tr w:rsidR="009A6868" w:rsidRPr="00303F88" w:rsidTr="00DD56C3">
        <w:trPr>
          <w:cantSplit/>
          <w:jc w:val="center"/>
        </w:trPr>
        <w:tc>
          <w:tcPr>
            <w:tcW w:w="820" w:type="dxa"/>
            <w:vMerge/>
            <w:tcBorders>
              <w:top w:val="nil"/>
              <w:left w:val="single" w:sz="3" w:space="0" w:color="000000"/>
              <w:bottom w:val="single" w:sz="3" w:space="0" w:color="000000"/>
              <w:right w:val="nil"/>
            </w:tcBorders>
            <w:shd w:val="clear" w:color="auto" w:fill="1F497D" w:themeFill="text2"/>
            <w:tcMar>
              <w:left w:w="80" w:type="dxa"/>
              <w:right w:w="80" w:type="dxa"/>
            </w:tcMar>
            <w:vAlign w:val="center"/>
          </w:tcPr>
          <w:p w:rsidR="009A6868" w:rsidRPr="00C728E5" w:rsidRDefault="009A6868" w:rsidP="00920140">
            <w:pPr>
              <w:keepNext/>
              <w:keepLines/>
              <w:widowControl w:val="0"/>
              <w:adjustRightInd w:val="0"/>
              <w:spacing w:before="40" w:after="40"/>
              <w:rPr>
                <w:color w:val="FFFFFF" w:themeColor="background1"/>
                <w:sz w:val="16"/>
                <w:szCs w:val="16"/>
              </w:rPr>
            </w:pPr>
          </w:p>
        </w:tc>
        <w:tc>
          <w:tcPr>
            <w:tcW w:w="540" w:type="dxa"/>
            <w:tcBorders>
              <w:top w:val="nil"/>
              <w:left w:val="single" w:sz="3" w:space="0" w:color="000000"/>
              <w:bottom w:val="single" w:sz="3" w:space="0" w:color="000000"/>
              <w:right w:val="nil"/>
            </w:tcBorders>
            <w:shd w:val="clear" w:color="auto" w:fill="1F497D" w:themeFill="text2"/>
            <w:tcMar>
              <w:left w:w="80" w:type="dxa"/>
              <w:right w:w="80" w:type="dxa"/>
            </w:tcMar>
            <w:vAlign w:val="center"/>
          </w:tcPr>
          <w:p w:rsidR="009A6868" w:rsidRPr="00C728E5" w:rsidRDefault="009A6868" w:rsidP="00920140">
            <w:pPr>
              <w:keepNext/>
              <w:keepLines/>
              <w:widowControl w:val="0"/>
              <w:adjustRightInd w:val="0"/>
              <w:spacing w:before="40" w:after="40"/>
              <w:rPr>
                <w:b/>
                <w:bCs/>
                <w:color w:val="FFFFFF" w:themeColor="background1"/>
                <w:sz w:val="16"/>
                <w:szCs w:val="16"/>
              </w:rPr>
            </w:pPr>
            <w:r w:rsidRPr="00C728E5">
              <w:rPr>
                <w:b/>
                <w:bCs/>
                <w:color w:val="FFFFFF" w:themeColor="background1"/>
                <w:sz w:val="16"/>
                <w:szCs w:val="16"/>
              </w:rPr>
              <w:t>Jul</w:t>
            </w:r>
          </w:p>
        </w:tc>
        <w:tc>
          <w:tcPr>
            <w:tcW w:w="108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1.94</w:t>
            </w:r>
          </w:p>
        </w:tc>
        <w:tc>
          <w:tcPr>
            <w:tcW w:w="99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1.65</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0.292</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15.0%</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1.69</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1.50</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1.30</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0.197</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13.1%</w:t>
            </w:r>
          </w:p>
        </w:tc>
        <w:tc>
          <w:tcPr>
            <w:tcW w:w="810" w:type="dxa"/>
            <w:tcBorders>
              <w:top w:val="nil"/>
              <w:left w:val="single" w:sz="3" w:space="0" w:color="000000"/>
              <w:bottom w:val="single" w:sz="3" w:space="0" w:color="000000"/>
              <w:right w:val="single" w:sz="12" w:space="0" w:color="000000"/>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1.14</w:t>
            </w:r>
          </w:p>
        </w:tc>
      </w:tr>
      <w:tr w:rsidR="009A6868" w:rsidRPr="00303F88" w:rsidTr="00DD56C3">
        <w:trPr>
          <w:cantSplit/>
          <w:jc w:val="center"/>
        </w:trPr>
        <w:tc>
          <w:tcPr>
            <w:tcW w:w="820" w:type="dxa"/>
            <w:vMerge/>
            <w:tcBorders>
              <w:top w:val="nil"/>
              <w:left w:val="single" w:sz="3" w:space="0" w:color="000000"/>
              <w:bottom w:val="single" w:sz="3" w:space="0" w:color="000000"/>
              <w:right w:val="nil"/>
            </w:tcBorders>
            <w:shd w:val="clear" w:color="auto" w:fill="1F497D" w:themeFill="text2"/>
            <w:tcMar>
              <w:left w:w="80" w:type="dxa"/>
              <w:right w:w="80" w:type="dxa"/>
            </w:tcMar>
            <w:vAlign w:val="center"/>
          </w:tcPr>
          <w:p w:rsidR="009A6868" w:rsidRPr="00C728E5" w:rsidRDefault="009A6868" w:rsidP="00920140">
            <w:pPr>
              <w:keepNext/>
              <w:keepLines/>
              <w:widowControl w:val="0"/>
              <w:adjustRightInd w:val="0"/>
              <w:spacing w:before="40" w:after="40"/>
              <w:rPr>
                <w:color w:val="FFFFFF" w:themeColor="background1"/>
                <w:sz w:val="16"/>
                <w:szCs w:val="16"/>
              </w:rPr>
            </w:pPr>
          </w:p>
        </w:tc>
        <w:tc>
          <w:tcPr>
            <w:tcW w:w="540" w:type="dxa"/>
            <w:tcBorders>
              <w:top w:val="nil"/>
              <w:left w:val="single" w:sz="3" w:space="0" w:color="000000"/>
              <w:bottom w:val="single" w:sz="3" w:space="0" w:color="000000"/>
              <w:right w:val="nil"/>
            </w:tcBorders>
            <w:shd w:val="clear" w:color="auto" w:fill="1F497D" w:themeFill="text2"/>
            <w:tcMar>
              <w:left w:w="80" w:type="dxa"/>
              <w:right w:w="80" w:type="dxa"/>
            </w:tcMar>
            <w:vAlign w:val="center"/>
          </w:tcPr>
          <w:p w:rsidR="009A6868" w:rsidRPr="00C728E5" w:rsidRDefault="009A6868" w:rsidP="00920140">
            <w:pPr>
              <w:keepNext/>
              <w:keepLines/>
              <w:widowControl w:val="0"/>
              <w:adjustRightInd w:val="0"/>
              <w:spacing w:before="40" w:after="40"/>
              <w:rPr>
                <w:b/>
                <w:bCs/>
                <w:color w:val="FFFFFF" w:themeColor="background1"/>
                <w:sz w:val="16"/>
                <w:szCs w:val="16"/>
              </w:rPr>
            </w:pPr>
            <w:r w:rsidRPr="00C728E5">
              <w:rPr>
                <w:b/>
                <w:bCs/>
                <w:color w:val="FFFFFF" w:themeColor="background1"/>
                <w:sz w:val="16"/>
                <w:szCs w:val="16"/>
              </w:rPr>
              <w:t>Aug</w:t>
            </w:r>
          </w:p>
        </w:tc>
        <w:tc>
          <w:tcPr>
            <w:tcW w:w="108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2.05</w:t>
            </w:r>
          </w:p>
        </w:tc>
        <w:tc>
          <w:tcPr>
            <w:tcW w:w="99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1.74</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0.303</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14.8%</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1.80</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1.61</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1.39</w:t>
            </w:r>
          </w:p>
        </w:tc>
        <w:tc>
          <w:tcPr>
            <w:tcW w:w="81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0.223</w:t>
            </w:r>
          </w:p>
        </w:tc>
        <w:tc>
          <w:tcPr>
            <w:tcW w:w="900" w:type="dxa"/>
            <w:tcBorders>
              <w:top w:val="nil"/>
              <w:left w:val="single" w:sz="3" w:space="0" w:color="000000"/>
              <w:bottom w:val="single" w:sz="3" w:space="0" w:color="000000"/>
              <w:right w:val="nil"/>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13.9%</w:t>
            </w:r>
          </w:p>
        </w:tc>
        <w:tc>
          <w:tcPr>
            <w:tcW w:w="810" w:type="dxa"/>
            <w:tcBorders>
              <w:top w:val="nil"/>
              <w:left w:val="single" w:sz="3" w:space="0" w:color="000000"/>
              <w:bottom w:val="single" w:sz="3" w:space="0" w:color="000000"/>
              <w:right w:val="single" w:sz="12" w:space="0" w:color="000000"/>
            </w:tcBorders>
            <w:shd w:val="clear" w:color="auto" w:fill="FFFFFF"/>
            <w:tcMar>
              <w:left w:w="80" w:type="dxa"/>
              <w:right w:w="80" w:type="dxa"/>
            </w:tcMar>
            <w:vAlign w:val="center"/>
          </w:tcPr>
          <w:p w:rsidR="009A6868" w:rsidRPr="00C728E5" w:rsidRDefault="009A6868" w:rsidP="00920140">
            <w:pPr>
              <w:keepNext/>
              <w:keepLines/>
              <w:widowControl w:val="0"/>
              <w:adjustRightInd w:val="0"/>
              <w:spacing w:before="40" w:after="40"/>
              <w:jc w:val="center"/>
              <w:rPr>
                <w:color w:val="000000"/>
                <w:sz w:val="16"/>
                <w:szCs w:val="16"/>
              </w:rPr>
            </w:pPr>
            <w:r w:rsidRPr="00C728E5">
              <w:rPr>
                <w:color w:val="000000"/>
                <w:sz w:val="16"/>
                <w:szCs w:val="16"/>
              </w:rPr>
              <w:t>1.33</w:t>
            </w:r>
          </w:p>
        </w:tc>
      </w:tr>
    </w:tbl>
    <w:p w:rsidR="00920140" w:rsidRPr="00194E9C" w:rsidRDefault="00920140" w:rsidP="00920140">
      <w:pPr>
        <w:pStyle w:val="Heading3"/>
        <w:ind w:left="720"/>
        <w:rPr>
          <w:rFonts w:ascii="Times New Roman" w:hAnsi="Times New Roman" w:cs="Times New Roman"/>
        </w:rPr>
      </w:pPr>
      <w:bookmarkStart w:id="228" w:name="_Toc447179830"/>
      <w:r w:rsidRPr="00194E9C">
        <w:rPr>
          <w:rFonts w:ascii="Times New Roman" w:hAnsi="Times New Roman" w:cs="Times New Roman"/>
        </w:rPr>
        <w:t>Comparison of 2015 and 2014 Ex Ante Estimates</w:t>
      </w:r>
      <w:bookmarkEnd w:id="228"/>
    </w:p>
    <w:p w:rsidR="00920140" w:rsidRDefault="00920140" w:rsidP="00920140"/>
    <w:p w:rsidR="00920140" w:rsidRPr="00B777EF" w:rsidRDefault="00260B68" w:rsidP="00920140">
      <w:pPr>
        <w:spacing w:line="276" w:lineRule="auto"/>
        <w:ind w:firstLine="360"/>
        <w:rPr>
          <w:color w:val="000000" w:themeColor="text1"/>
        </w:rPr>
      </w:pPr>
      <w:r w:rsidRPr="00260B68">
        <w:rPr>
          <w:color w:val="000000" w:themeColor="text1"/>
          <w:sz w:val="22"/>
          <w:szCs w:val="22"/>
        </w:rPr>
        <w:t>Table 7-</w:t>
      </w:r>
      <w:r w:rsidR="0024252A">
        <w:rPr>
          <w:color w:val="000000" w:themeColor="text1"/>
          <w:sz w:val="22"/>
          <w:szCs w:val="22"/>
        </w:rPr>
        <w:t>9</w:t>
      </w:r>
      <w:r w:rsidR="00920140" w:rsidRPr="00260B68">
        <w:rPr>
          <w:color w:val="000000" w:themeColor="text1"/>
          <w:sz w:val="22"/>
          <w:szCs w:val="22"/>
        </w:rPr>
        <w:fldChar w:fldCharType="begin"/>
      </w:r>
      <w:r w:rsidR="00920140" w:rsidRPr="00260B68">
        <w:rPr>
          <w:color w:val="000000" w:themeColor="text1"/>
          <w:sz w:val="22"/>
          <w:szCs w:val="22"/>
        </w:rPr>
        <w:instrText xml:space="preserve"> REF _Ref445988198 \h </w:instrText>
      </w:r>
      <w:r>
        <w:rPr>
          <w:color w:val="000000" w:themeColor="text1"/>
          <w:sz w:val="22"/>
          <w:szCs w:val="22"/>
        </w:rPr>
        <w:instrText xml:space="preserve"> \* MERGEFORMAT </w:instrText>
      </w:r>
      <w:r w:rsidR="00920140" w:rsidRPr="00260B68">
        <w:rPr>
          <w:color w:val="000000" w:themeColor="text1"/>
          <w:sz w:val="22"/>
          <w:szCs w:val="22"/>
        </w:rPr>
      </w:r>
      <w:r w:rsidR="00920140" w:rsidRPr="00260B68">
        <w:rPr>
          <w:color w:val="000000" w:themeColor="text1"/>
          <w:sz w:val="22"/>
          <w:szCs w:val="22"/>
        </w:rPr>
        <w:fldChar w:fldCharType="end"/>
      </w:r>
      <w:r w:rsidR="00920140" w:rsidRPr="00B777EF">
        <w:rPr>
          <w:color w:val="000000" w:themeColor="text1"/>
        </w:rPr>
        <w:t xml:space="preserve"> shows the comparisons between the ex ante estimates in the current evaluation and those reported in the previous evaluation for the forecast year 2017.  The current </w:t>
      </w:r>
      <w:r w:rsidR="00920140" w:rsidRPr="00B777EF">
        <w:rPr>
          <w:i/>
          <w:iCs/>
          <w:color w:val="000000" w:themeColor="text1"/>
        </w:rPr>
        <w:t xml:space="preserve">ex ante </w:t>
      </w:r>
      <w:r w:rsidR="00920140" w:rsidRPr="00B777EF">
        <w:rPr>
          <w:color w:val="000000" w:themeColor="text1"/>
        </w:rPr>
        <w:t>estimates are lower for the PTR-only group – the current estimates are 0.04 kW for a 1-in-2 event day and 0.05 kW for a 1-in-10 event day, while the previous estimates were 0.07 kW and 0.09 kW, respectively.  The percentage load reductions are also lower, from approximately 6% in the previous analysis to approximately 4% in the current analysis for a 1-in-10 year.  This may be largely due to the lower modeled impacts for the PTR events in the current evaluation cycle. Two out of the four events this year were called on a Friday, which generally shows smaller impacts than other weekday events. In addition, one of these Friday events was the third consecutive event day, which may also lend itself to customer fatigue and therefore less load shedding or shifting.</w:t>
      </w:r>
    </w:p>
    <w:p w:rsidR="00920140" w:rsidRPr="00B777EF" w:rsidRDefault="00920140" w:rsidP="00920140">
      <w:pPr>
        <w:spacing w:line="276" w:lineRule="auto"/>
        <w:ind w:firstLine="360"/>
        <w:rPr>
          <w:color w:val="000000" w:themeColor="text1"/>
        </w:rPr>
      </w:pPr>
    </w:p>
    <w:p w:rsidR="00920140" w:rsidRPr="00B777EF" w:rsidRDefault="00920140" w:rsidP="00920140">
      <w:pPr>
        <w:spacing w:line="276" w:lineRule="auto"/>
        <w:ind w:firstLine="360"/>
        <w:rPr>
          <w:color w:val="000000" w:themeColor="text1"/>
        </w:rPr>
      </w:pPr>
      <w:r w:rsidRPr="00B777EF">
        <w:rPr>
          <w:color w:val="000000" w:themeColor="text1"/>
        </w:rPr>
        <w:t>The estimates for the group dually enrolled in Summer Saver are not entirely comparable because the current evaluation focused on quantifying the incremental impact of the PTR program for those dually enrolled in Summer Saver over and above those enrolled in Summer Saver alone. This ensures that there is no double counting of the Summer Saver impacts as they are covered by a separate evaluation. Subsequent evaluations will use this incremental approach, which will allow for a more meaningful comparison of PTR ex ante estimates.</w:t>
      </w:r>
    </w:p>
    <w:p w:rsidR="00920140" w:rsidRPr="00B777EF" w:rsidRDefault="00920140" w:rsidP="00920140">
      <w:pPr>
        <w:spacing w:line="276" w:lineRule="auto"/>
        <w:ind w:firstLine="360"/>
        <w:rPr>
          <w:color w:val="000000" w:themeColor="text1"/>
        </w:rPr>
      </w:pPr>
    </w:p>
    <w:p w:rsidR="00920140" w:rsidRPr="00491EB6" w:rsidRDefault="00920140" w:rsidP="00920140">
      <w:pPr>
        <w:spacing w:line="276" w:lineRule="auto"/>
        <w:ind w:firstLine="360"/>
        <w:rPr>
          <w:b/>
        </w:rPr>
      </w:pPr>
      <w:r w:rsidRPr="00B777EF">
        <w:rPr>
          <w:color w:val="000000" w:themeColor="text1"/>
        </w:rPr>
        <w:t xml:space="preserve">The estimates for the SCTD participants in the current analysis are similar to the previous analysis, but slightly lower in absolute terms. For the dually enrolled participants, the previous analysis found estimates of 0.43 kW on 1-in-2 event days and 0.60 kW on 1-in-10 event days. The current analysis projects 0.36 kW on 1-in-2 event days and 0.51 kW on 1-in-10 event days. The percentage load reduction estimates under the current analysis are higher. For example, in the 1-in-2 year, the previous results had load reductions of 21.3%, while the current estimates are 23.4%. For the SCTD-only participants, the current forecasts are lower in both absolute and percentage terms. The previous analysis found estimates of 0.34 kW (15.8%) on 1-in-2 event days and 0.46 kW (17.1%) on 1-in-10 event days. The current analysis projects 0.22 kW (13.7%) on 1-in-2 event days and 0.30 kW (14.9%) on 1-in-10 event days. </w:t>
      </w:r>
      <w:r w:rsidRPr="00491EB6">
        <w:rPr>
          <w:b/>
        </w:rPr>
        <w:br w:type="page"/>
      </w:r>
    </w:p>
    <w:p w:rsidR="00920140" w:rsidRPr="0050448B" w:rsidRDefault="00920140" w:rsidP="00920140">
      <w:pPr>
        <w:pStyle w:val="Caption"/>
        <w:spacing w:after="240"/>
        <w:jc w:val="center"/>
      </w:pPr>
      <w:bookmarkStart w:id="229" w:name="_Ref445988198"/>
      <w:r w:rsidRPr="0050448B">
        <w:lastRenderedPageBreak/>
        <w:t xml:space="preserve">Table </w:t>
      </w:r>
      <w:r w:rsidR="0024252A">
        <w:fldChar w:fldCharType="begin"/>
      </w:r>
      <w:r w:rsidR="0024252A">
        <w:instrText xml:space="preserve"> STYLEREF 1 \s </w:instrText>
      </w:r>
      <w:r w:rsidR="0024252A">
        <w:fldChar w:fldCharType="separate"/>
      </w:r>
      <w:r w:rsidR="008A6A2B">
        <w:rPr>
          <w:noProof/>
        </w:rPr>
        <w:t>7</w:t>
      </w:r>
      <w:r w:rsidR="0024252A">
        <w:rPr>
          <w:noProof/>
        </w:rPr>
        <w:fldChar w:fldCharType="end"/>
      </w:r>
      <w:r>
        <w:noBreakHyphen/>
      </w:r>
      <w:bookmarkEnd w:id="229"/>
      <w:r w:rsidR="0024252A">
        <w:t>9</w:t>
      </w:r>
      <w:r w:rsidR="00260B68">
        <w:t>:</w:t>
      </w:r>
      <w:r w:rsidRPr="0050448B">
        <w:t xml:space="preserve"> Comparison of 2015 and 2014 Ex Ante Estimates – Forecast Year 2017</w:t>
      </w:r>
    </w:p>
    <w:tbl>
      <w:tblPr>
        <w:tblW w:w="9360" w:type="dxa"/>
        <w:jc w:val="center"/>
        <w:tblInd w:w="-164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1050"/>
        <w:gridCol w:w="630"/>
        <w:gridCol w:w="888"/>
        <w:gridCol w:w="882"/>
        <w:gridCol w:w="853"/>
        <w:gridCol w:w="755"/>
        <w:gridCol w:w="900"/>
        <w:gridCol w:w="882"/>
        <w:gridCol w:w="853"/>
        <w:gridCol w:w="755"/>
        <w:gridCol w:w="912"/>
      </w:tblGrid>
      <w:tr w:rsidR="00920140" w:rsidRPr="00A70075" w:rsidTr="00D17E6A">
        <w:trPr>
          <w:cantSplit/>
          <w:jc w:val="center"/>
        </w:trPr>
        <w:tc>
          <w:tcPr>
            <w:tcW w:w="1050" w:type="dxa"/>
            <w:vMerge w:val="restart"/>
            <w:tcBorders>
              <w:top w:val="single" w:sz="12" w:space="0" w:color="000000"/>
              <w:bottom w:val="single" w:sz="6" w:space="0" w:color="000000"/>
            </w:tcBorders>
            <w:shd w:val="clear" w:color="auto" w:fill="1F497D" w:themeFill="text2"/>
            <w:tcMar>
              <w:left w:w="60" w:type="dxa"/>
              <w:right w:w="60" w:type="dxa"/>
            </w:tcMar>
            <w:vAlign w:val="bottom"/>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Participant Segment</w:t>
            </w:r>
          </w:p>
        </w:tc>
        <w:tc>
          <w:tcPr>
            <w:tcW w:w="630" w:type="dxa"/>
            <w:vMerge w:val="restart"/>
            <w:tcBorders>
              <w:top w:val="single" w:sz="12" w:space="0" w:color="000000"/>
              <w:bottom w:val="single" w:sz="6" w:space="0" w:color="000000"/>
            </w:tcBorders>
            <w:shd w:val="clear" w:color="auto" w:fill="1F497D" w:themeFill="text2"/>
            <w:vAlign w:val="bottom"/>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Weather Year</w:t>
            </w:r>
          </w:p>
        </w:tc>
        <w:tc>
          <w:tcPr>
            <w:tcW w:w="888" w:type="dxa"/>
            <w:vMerge w:val="restart"/>
            <w:tcBorders>
              <w:top w:val="single" w:sz="12" w:space="0" w:color="000000"/>
              <w:bottom w:val="single" w:sz="6" w:space="0" w:color="000000"/>
            </w:tcBorders>
            <w:shd w:val="clear" w:color="auto" w:fill="1F497D" w:themeFill="text2"/>
            <w:vAlign w:val="bottom"/>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Day / Type</w:t>
            </w:r>
          </w:p>
        </w:tc>
        <w:tc>
          <w:tcPr>
            <w:tcW w:w="3390" w:type="dxa"/>
            <w:gridSpan w:val="4"/>
            <w:tcBorders>
              <w:top w:val="single" w:sz="12" w:space="0" w:color="000000"/>
              <w:bottom w:val="single" w:sz="6" w:space="0" w:color="000000"/>
            </w:tcBorders>
            <w:shd w:val="clear" w:color="auto" w:fill="1F497D" w:themeFill="text2"/>
            <w:tcMar>
              <w:left w:w="60" w:type="dxa"/>
              <w:right w:w="60" w:type="dxa"/>
            </w:tcMar>
            <w:vAlign w:val="bottom"/>
          </w:tcPr>
          <w:p w:rsidR="00920140" w:rsidRPr="004E3878" w:rsidRDefault="00920140" w:rsidP="00920140">
            <w:pPr>
              <w:keepNext/>
              <w:keepLines/>
              <w:adjustRightInd w:val="0"/>
              <w:spacing w:before="40" w:after="40"/>
              <w:jc w:val="center"/>
              <w:rPr>
                <w:b/>
                <w:bCs/>
                <w:color w:val="FFFFFF" w:themeColor="background1"/>
                <w:sz w:val="16"/>
                <w:szCs w:val="16"/>
              </w:rPr>
            </w:pPr>
            <w:r w:rsidRPr="004E3878">
              <w:rPr>
                <w:b/>
                <w:bCs/>
                <w:color w:val="FFFFFF" w:themeColor="background1"/>
                <w:sz w:val="16"/>
                <w:szCs w:val="16"/>
              </w:rPr>
              <w:t>Current</w:t>
            </w:r>
          </w:p>
        </w:tc>
        <w:tc>
          <w:tcPr>
            <w:tcW w:w="3402" w:type="dxa"/>
            <w:gridSpan w:val="4"/>
            <w:tcBorders>
              <w:top w:val="single" w:sz="12" w:space="0" w:color="000000"/>
              <w:bottom w:val="single" w:sz="6" w:space="0" w:color="000000"/>
            </w:tcBorders>
            <w:shd w:val="clear" w:color="auto" w:fill="1F497D" w:themeFill="text2"/>
            <w:tcMar>
              <w:left w:w="60" w:type="dxa"/>
              <w:right w:w="60" w:type="dxa"/>
            </w:tcMar>
            <w:vAlign w:val="bottom"/>
          </w:tcPr>
          <w:p w:rsidR="00920140" w:rsidRPr="004E3878" w:rsidRDefault="00920140" w:rsidP="00920140">
            <w:pPr>
              <w:keepNext/>
              <w:keepLines/>
              <w:adjustRightInd w:val="0"/>
              <w:spacing w:before="40" w:after="40"/>
              <w:jc w:val="center"/>
              <w:rPr>
                <w:b/>
                <w:bCs/>
                <w:color w:val="FFFFFF" w:themeColor="background1"/>
                <w:sz w:val="16"/>
                <w:szCs w:val="16"/>
              </w:rPr>
            </w:pPr>
            <w:r w:rsidRPr="004E3878">
              <w:rPr>
                <w:b/>
                <w:bCs/>
                <w:color w:val="FFFFFF" w:themeColor="background1"/>
                <w:sz w:val="16"/>
                <w:szCs w:val="16"/>
              </w:rPr>
              <w:t>Previous</w:t>
            </w:r>
          </w:p>
        </w:tc>
      </w:tr>
      <w:tr w:rsidR="00920140" w:rsidRPr="00A70075" w:rsidTr="00D17E6A">
        <w:trPr>
          <w:cantSplit/>
          <w:jc w:val="center"/>
        </w:trPr>
        <w:tc>
          <w:tcPr>
            <w:tcW w:w="1050" w:type="dxa"/>
            <w:vMerge/>
            <w:tcBorders>
              <w:top w:val="single" w:sz="6" w:space="0" w:color="000000"/>
              <w:bottom w:val="single" w:sz="12" w:space="0" w:color="000000"/>
            </w:tcBorders>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630" w:type="dxa"/>
            <w:vMerge/>
            <w:tcBorders>
              <w:top w:val="single" w:sz="6" w:space="0" w:color="000000"/>
              <w:bottom w:val="single" w:sz="12" w:space="0" w:color="000000"/>
            </w:tcBorders>
            <w:shd w:val="clear" w:color="auto" w:fill="1F497D" w:themeFill="text2"/>
            <w:vAlign w:val="center"/>
          </w:tcPr>
          <w:p w:rsidR="00920140" w:rsidRPr="004E3878" w:rsidRDefault="00920140" w:rsidP="00920140">
            <w:pPr>
              <w:keepNext/>
              <w:keepLines/>
              <w:adjustRightInd w:val="0"/>
              <w:spacing w:before="40" w:after="40"/>
              <w:rPr>
                <w:color w:val="FFFFFF" w:themeColor="background1"/>
                <w:sz w:val="16"/>
                <w:szCs w:val="16"/>
              </w:rPr>
            </w:pPr>
          </w:p>
        </w:tc>
        <w:tc>
          <w:tcPr>
            <w:tcW w:w="888" w:type="dxa"/>
            <w:vMerge/>
            <w:tcBorders>
              <w:top w:val="single" w:sz="6" w:space="0" w:color="000000"/>
              <w:bottom w:val="single" w:sz="12" w:space="0" w:color="000000"/>
            </w:tcBorders>
            <w:shd w:val="clear" w:color="auto" w:fill="1F497D" w:themeFill="text2"/>
            <w:vAlign w:val="center"/>
          </w:tcPr>
          <w:p w:rsidR="00920140" w:rsidRPr="004E3878" w:rsidRDefault="00920140" w:rsidP="00920140">
            <w:pPr>
              <w:keepNext/>
              <w:keepLines/>
              <w:adjustRightInd w:val="0"/>
              <w:spacing w:before="40" w:after="40"/>
              <w:rPr>
                <w:color w:val="FFFFFF" w:themeColor="background1"/>
                <w:sz w:val="16"/>
                <w:szCs w:val="16"/>
              </w:rPr>
            </w:pPr>
          </w:p>
        </w:tc>
        <w:tc>
          <w:tcPr>
            <w:tcW w:w="882" w:type="dxa"/>
            <w:tcBorders>
              <w:top w:val="single" w:sz="6" w:space="0" w:color="000000"/>
              <w:bottom w:val="single" w:sz="12" w:space="0" w:color="000000"/>
            </w:tcBorders>
            <w:shd w:val="clear" w:color="auto" w:fill="1F497D" w:themeFill="text2"/>
            <w:tcMar>
              <w:left w:w="60" w:type="dxa"/>
              <w:right w:w="60" w:type="dxa"/>
            </w:tcMar>
            <w:vAlign w:val="bottom"/>
          </w:tcPr>
          <w:p w:rsidR="00920140" w:rsidRPr="004E3878" w:rsidRDefault="00920140" w:rsidP="00920140">
            <w:pPr>
              <w:keepNext/>
              <w:keepLines/>
              <w:adjustRightInd w:val="0"/>
              <w:spacing w:before="40" w:after="40"/>
              <w:jc w:val="center"/>
              <w:rPr>
                <w:b/>
                <w:bCs/>
                <w:color w:val="FFFFFF" w:themeColor="background1"/>
                <w:sz w:val="16"/>
                <w:szCs w:val="16"/>
              </w:rPr>
            </w:pPr>
            <w:r w:rsidRPr="004E3878">
              <w:rPr>
                <w:b/>
                <w:bCs/>
                <w:color w:val="FFFFFF" w:themeColor="background1"/>
                <w:sz w:val="16"/>
                <w:szCs w:val="16"/>
              </w:rPr>
              <w:t>Average Hourly Reference Load</w:t>
            </w:r>
          </w:p>
        </w:tc>
        <w:tc>
          <w:tcPr>
            <w:tcW w:w="853" w:type="dxa"/>
            <w:tcBorders>
              <w:top w:val="single" w:sz="6" w:space="0" w:color="000000"/>
              <w:bottom w:val="single" w:sz="12" w:space="0" w:color="000000"/>
            </w:tcBorders>
            <w:shd w:val="clear" w:color="auto" w:fill="1F497D" w:themeFill="text2"/>
            <w:tcMar>
              <w:left w:w="60" w:type="dxa"/>
              <w:right w:w="60" w:type="dxa"/>
            </w:tcMar>
            <w:vAlign w:val="bottom"/>
          </w:tcPr>
          <w:p w:rsidR="00920140" w:rsidRPr="004E3878" w:rsidRDefault="00920140" w:rsidP="00920140">
            <w:pPr>
              <w:keepNext/>
              <w:keepLines/>
              <w:adjustRightInd w:val="0"/>
              <w:spacing w:before="40" w:after="40"/>
              <w:jc w:val="center"/>
              <w:rPr>
                <w:b/>
                <w:bCs/>
                <w:color w:val="FFFFFF" w:themeColor="background1"/>
                <w:sz w:val="16"/>
                <w:szCs w:val="16"/>
              </w:rPr>
            </w:pPr>
            <w:r w:rsidRPr="004E3878">
              <w:rPr>
                <w:b/>
                <w:bCs/>
                <w:color w:val="FFFFFF" w:themeColor="background1"/>
                <w:sz w:val="16"/>
                <w:szCs w:val="16"/>
              </w:rPr>
              <w:t>Average Hourly Observed Load</w:t>
            </w:r>
          </w:p>
        </w:tc>
        <w:tc>
          <w:tcPr>
            <w:tcW w:w="755" w:type="dxa"/>
            <w:tcBorders>
              <w:top w:val="single" w:sz="6" w:space="0" w:color="000000"/>
              <w:bottom w:val="single" w:sz="12" w:space="0" w:color="000000"/>
            </w:tcBorders>
            <w:shd w:val="clear" w:color="auto" w:fill="1F497D" w:themeFill="text2"/>
            <w:tcMar>
              <w:left w:w="60" w:type="dxa"/>
              <w:right w:w="60" w:type="dxa"/>
            </w:tcMar>
            <w:vAlign w:val="bottom"/>
          </w:tcPr>
          <w:p w:rsidR="00920140" w:rsidRPr="004E3878" w:rsidRDefault="00920140" w:rsidP="00920140">
            <w:pPr>
              <w:keepNext/>
              <w:keepLines/>
              <w:adjustRightInd w:val="0"/>
              <w:spacing w:before="40" w:after="40"/>
              <w:jc w:val="center"/>
              <w:rPr>
                <w:b/>
                <w:bCs/>
                <w:color w:val="FFFFFF" w:themeColor="background1"/>
                <w:sz w:val="16"/>
                <w:szCs w:val="16"/>
              </w:rPr>
            </w:pPr>
            <w:r w:rsidRPr="004E3878">
              <w:rPr>
                <w:b/>
                <w:bCs/>
                <w:color w:val="FFFFFF" w:themeColor="background1"/>
                <w:sz w:val="16"/>
                <w:szCs w:val="16"/>
              </w:rPr>
              <w:t>Average Hourly Impact</w:t>
            </w:r>
          </w:p>
        </w:tc>
        <w:tc>
          <w:tcPr>
            <w:tcW w:w="900" w:type="dxa"/>
            <w:tcBorders>
              <w:top w:val="single" w:sz="6" w:space="0" w:color="000000"/>
              <w:bottom w:val="single" w:sz="12" w:space="0" w:color="000000"/>
            </w:tcBorders>
            <w:shd w:val="clear" w:color="auto" w:fill="1F497D" w:themeFill="text2"/>
            <w:tcMar>
              <w:left w:w="60" w:type="dxa"/>
              <w:right w:w="60" w:type="dxa"/>
            </w:tcMar>
            <w:vAlign w:val="bottom"/>
          </w:tcPr>
          <w:p w:rsidR="00920140" w:rsidRPr="004E3878" w:rsidRDefault="00920140" w:rsidP="00920140">
            <w:pPr>
              <w:keepNext/>
              <w:keepLines/>
              <w:adjustRightInd w:val="0"/>
              <w:spacing w:before="40" w:after="40"/>
              <w:jc w:val="center"/>
              <w:rPr>
                <w:b/>
                <w:bCs/>
                <w:color w:val="FFFFFF" w:themeColor="background1"/>
                <w:sz w:val="16"/>
                <w:szCs w:val="16"/>
              </w:rPr>
            </w:pPr>
            <w:r w:rsidRPr="004E3878">
              <w:rPr>
                <w:b/>
                <w:bCs/>
                <w:color w:val="FFFFFF" w:themeColor="background1"/>
                <w:sz w:val="16"/>
                <w:szCs w:val="16"/>
              </w:rPr>
              <w:t>Percent Load Reduction</w:t>
            </w:r>
          </w:p>
        </w:tc>
        <w:tc>
          <w:tcPr>
            <w:tcW w:w="882" w:type="dxa"/>
            <w:tcBorders>
              <w:top w:val="single" w:sz="6" w:space="0" w:color="000000"/>
              <w:bottom w:val="single" w:sz="12" w:space="0" w:color="000000"/>
            </w:tcBorders>
            <w:shd w:val="clear" w:color="auto" w:fill="1F497D" w:themeFill="text2"/>
            <w:tcMar>
              <w:left w:w="60" w:type="dxa"/>
              <w:right w:w="60" w:type="dxa"/>
            </w:tcMar>
            <w:vAlign w:val="bottom"/>
          </w:tcPr>
          <w:p w:rsidR="00920140" w:rsidRPr="004E3878" w:rsidRDefault="00920140" w:rsidP="00920140">
            <w:pPr>
              <w:keepNext/>
              <w:keepLines/>
              <w:adjustRightInd w:val="0"/>
              <w:spacing w:before="40" w:after="40"/>
              <w:jc w:val="center"/>
              <w:rPr>
                <w:b/>
                <w:bCs/>
                <w:color w:val="FFFFFF" w:themeColor="background1"/>
                <w:sz w:val="16"/>
                <w:szCs w:val="16"/>
              </w:rPr>
            </w:pPr>
            <w:r w:rsidRPr="004E3878">
              <w:rPr>
                <w:b/>
                <w:bCs/>
                <w:color w:val="FFFFFF" w:themeColor="background1"/>
                <w:sz w:val="16"/>
                <w:szCs w:val="16"/>
              </w:rPr>
              <w:t>Average Hourly Reference Load</w:t>
            </w:r>
          </w:p>
        </w:tc>
        <w:tc>
          <w:tcPr>
            <w:tcW w:w="853" w:type="dxa"/>
            <w:tcBorders>
              <w:top w:val="single" w:sz="6" w:space="0" w:color="000000"/>
              <w:bottom w:val="single" w:sz="12" w:space="0" w:color="000000"/>
            </w:tcBorders>
            <w:shd w:val="clear" w:color="auto" w:fill="1F497D" w:themeFill="text2"/>
            <w:tcMar>
              <w:left w:w="60" w:type="dxa"/>
              <w:right w:w="60" w:type="dxa"/>
            </w:tcMar>
            <w:vAlign w:val="bottom"/>
          </w:tcPr>
          <w:p w:rsidR="00920140" w:rsidRPr="004E3878" w:rsidRDefault="00920140" w:rsidP="00920140">
            <w:pPr>
              <w:keepNext/>
              <w:keepLines/>
              <w:adjustRightInd w:val="0"/>
              <w:spacing w:before="40" w:after="40"/>
              <w:jc w:val="center"/>
              <w:rPr>
                <w:b/>
                <w:bCs/>
                <w:color w:val="FFFFFF" w:themeColor="background1"/>
                <w:sz w:val="16"/>
                <w:szCs w:val="16"/>
              </w:rPr>
            </w:pPr>
            <w:r w:rsidRPr="004E3878">
              <w:rPr>
                <w:b/>
                <w:bCs/>
                <w:color w:val="FFFFFF" w:themeColor="background1"/>
                <w:sz w:val="16"/>
                <w:szCs w:val="16"/>
              </w:rPr>
              <w:t>Average Hourly Observed Load</w:t>
            </w:r>
          </w:p>
        </w:tc>
        <w:tc>
          <w:tcPr>
            <w:tcW w:w="755" w:type="dxa"/>
            <w:tcBorders>
              <w:top w:val="single" w:sz="6" w:space="0" w:color="000000"/>
              <w:bottom w:val="single" w:sz="12" w:space="0" w:color="000000"/>
            </w:tcBorders>
            <w:shd w:val="clear" w:color="auto" w:fill="1F497D" w:themeFill="text2"/>
            <w:tcMar>
              <w:left w:w="60" w:type="dxa"/>
              <w:right w:w="60" w:type="dxa"/>
            </w:tcMar>
            <w:vAlign w:val="bottom"/>
          </w:tcPr>
          <w:p w:rsidR="00920140" w:rsidRPr="004E3878" w:rsidRDefault="00920140" w:rsidP="00920140">
            <w:pPr>
              <w:keepNext/>
              <w:keepLines/>
              <w:adjustRightInd w:val="0"/>
              <w:spacing w:before="40" w:after="40"/>
              <w:jc w:val="center"/>
              <w:rPr>
                <w:b/>
                <w:bCs/>
                <w:color w:val="FFFFFF" w:themeColor="background1"/>
                <w:sz w:val="16"/>
                <w:szCs w:val="16"/>
              </w:rPr>
            </w:pPr>
            <w:r w:rsidRPr="004E3878">
              <w:rPr>
                <w:b/>
                <w:bCs/>
                <w:color w:val="FFFFFF" w:themeColor="background1"/>
                <w:sz w:val="16"/>
                <w:szCs w:val="16"/>
              </w:rPr>
              <w:t>Average Hourly Impact</w:t>
            </w:r>
          </w:p>
        </w:tc>
        <w:tc>
          <w:tcPr>
            <w:tcW w:w="912" w:type="dxa"/>
            <w:tcBorders>
              <w:top w:val="single" w:sz="6" w:space="0" w:color="000000"/>
              <w:bottom w:val="single" w:sz="12" w:space="0" w:color="000000"/>
            </w:tcBorders>
            <w:shd w:val="clear" w:color="auto" w:fill="1F497D" w:themeFill="text2"/>
            <w:tcMar>
              <w:left w:w="60" w:type="dxa"/>
              <w:right w:w="60" w:type="dxa"/>
            </w:tcMar>
            <w:vAlign w:val="bottom"/>
          </w:tcPr>
          <w:p w:rsidR="00920140" w:rsidRPr="004E3878" w:rsidRDefault="00920140" w:rsidP="00920140">
            <w:pPr>
              <w:keepNext/>
              <w:keepLines/>
              <w:adjustRightInd w:val="0"/>
              <w:spacing w:before="40" w:after="40"/>
              <w:jc w:val="center"/>
              <w:rPr>
                <w:b/>
                <w:bCs/>
                <w:color w:val="FFFFFF" w:themeColor="background1"/>
                <w:sz w:val="16"/>
                <w:szCs w:val="16"/>
              </w:rPr>
            </w:pPr>
            <w:r w:rsidRPr="004E3878">
              <w:rPr>
                <w:b/>
                <w:bCs/>
                <w:color w:val="FFFFFF" w:themeColor="background1"/>
                <w:sz w:val="16"/>
                <w:szCs w:val="16"/>
              </w:rPr>
              <w:t>Percent Load Reduction</w:t>
            </w:r>
          </w:p>
        </w:tc>
      </w:tr>
      <w:tr w:rsidR="00920140" w:rsidRPr="00A70075" w:rsidTr="00D17E6A">
        <w:trPr>
          <w:cantSplit/>
          <w:jc w:val="center"/>
        </w:trPr>
        <w:tc>
          <w:tcPr>
            <w:tcW w:w="1050" w:type="dxa"/>
            <w:vMerge w:val="restart"/>
            <w:tcBorders>
              <w:top w:val="single" w:sz="12" w:space="0" w:color="000000"/>
            </w:tcBorders>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PTR Only</w:t>
            </w:r>
          </w:p>
        </w:tc>
        <w:tc>
          <w:tcPr>
            <w:tcW w:w="630" w:type="dxa"/>
            <w:vMerge w:val="restart"/>
            <w:tcBorders>
              <w:top w:val="single" w:sz="12" w:space="0" w:color="000000"/>
            </w:tcBorders>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1-in-10</w:t>
            </w:r>
          </w:p>
        </w:tc>
        <w:tc>
          <w:tcPr>
            <w:tcW w:w="888" w:type="dxa"/>
            <w:tcBorders>
              <w:top w:val="single" w:sz="12" w:space="0" w:color="000000"/>
            </w:tcBorders>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Monthly System Peak Day</w:t>
            </w:r>
          </w:p>
        </w:tc>
        <w:tc>
          <w:tcPr>
            <w:tcW w:w="882" w:type="dxa"/>
            <w:tcBorders>
              <w:top w:val="single" w:sz="12" w:space="0" w:color="000000"/>
            </w:tcBorders>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1.43</w:t>
            </w:r>
          </w:p>
        </w:tc>
        <w:tc>
          <w:tcPr>
            <w:tcW w:w="853" w:type="dxa"/>
            <w:tcBorders>
              <w:top w:val="single" w:sz="12" w:space="0" w:color="000000"/>
            </w:tcBorders>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1.38</w:t>
            </w:r>
          </w:p>
        </w:tc>
        <w:tc>
          <w:tcPr>
            <w:tcW w:w="755" w:type="dxa"/>
            <w:tcBorders>
              <w:top w:val="single" w:sz="12" w:space="0" w:color="000000"/>
            </w:tcBorders>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0.05</w:t>
            </w:r>
          </w:p>
        </w:tc>
        <w:tc>
          <w:tcPr>
            <w:tcW w:w="900" w:type="dxa"/>
            <w:tcBorders>
              <w:top w:val="single" w:sz="12" w:space="0" w:color="000000"/>
            </w:tcBorders>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3.8%</w:t>
            </w:r>
          </w:p>
        </w:tc>
        <w:tc>
          <w:tcPr>
            <w:tcW w:w="882" w:type="dxa"/>
            <w:tcBorders>
              <w:top w:val="single" w:sz="12" w:space="0" w:color="000000"/>
            </w:tcBorders>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1.59</w:t>
            </w:r>
          </w:p>
        </w:tc>
        <w:tc>
          <w:tcPr>
            <w:tcW w:w="853" w:type="dxa"/>
            <w:tcBorders>
              <w:top w:val="single" w:sz="12" w:space="0" w:color="000000"/>
            </w:tcBorders>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1.50</w:t>
            </w:r>
          </w:p>
        </w:tc>
        <w:tc>
          <w:tcPr>
            <w:tcW w:w="755" w:type="dxa"/>
            <w:tcBorders>
              <w:top w:val="single" w:sz="12" w:space="0" w:color="000000"/>
            </w:tcBorders>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0.09</w:t>
            </w:r>
          </w:p>
        </w:tc>
        <w:tc>
          <w:tcPr>
            <w:tcW w:w="912" w:type="dxa"/>
            <w:tcBorders>
              <w:top w:val="single" w:sz="12" w:space="0" w:color="000000"/>
            </w:tcBorders>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5.8%</w:t>
            </w:r>
          </w:p>
        </w:tc>
      </w:tr>
      <w:tr w:rsidR="00920140" w:rsidRPr="00A70075" w:rsidTr="00D17E6A">
        <w:trPr>
          <w:cantSplit/>
          <w:jc w:val="center"/>
        </w:trPr>
        <w:tc>
          <w:tcPr>
            <w:tcW w:w="105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63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888" w:type="dxa"/>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Typical Event Day</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1.42</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1.36</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0.05</w:t>
            </w:r>
          </w:p>
        </w:tc>
        <w:tc>
          <w:tcPr>
            <w:tcW w:w="900"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3.8%</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1.57</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1.48</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0.09</w:t>
            </w:r>
          </w:p>
        </w:tc>
        <w:tc>
          <w:tcPr>
            <w:tcW w:w="91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5.8%</w:t>
            </w:r>
          </w:p>
        </w:tc>
      </w:tr>
      <w:tr w:rsidR="00920140" w:rsidRPr="00A70075" w:rsidTr="00D17E6A">
        <w:trPr>
          <w:cantSplit/>
          <w:jc w:val="center"/>
        </w:trPr>
        <w:tc>
          <w:tcPr>
            <w:tcW w:w="105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630" w:type="dxa"/>
            <w:vMerge w:val="restart"/>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1-in-2</w:t>
            </w:r>
          </w:p>
        </w:tc>
        <w:tc>
          <w:tcPr>
            <w:tcW w:w="888" w:type="dxa"/>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Monthly System Peak Day</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1.20</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1.16</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0.04</w:t>
            </w:r>
          </w:p>
        </w:tc>
        <w:tc>
          <w:tcPr>
            <w:tcW w:w="900"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3.4%</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1.39</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1.32</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0.07</w:t>
            </w:r>
          </w:p>
        </w:tc>
        <w:tc>
          <w:tcPr>
            <w:tcW w:w="91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5.0%</w:t>
            </w:r>
          </w:p>
        </w:tc>
      </w:tr>
      <w:tr w:rsidR="00920140" w:rsidRPr="00A70075" w:rsidTr="00D17E6A">
        <w:trPr>
          <w:cantSplit/>
          <w:jc w:val="center"/>
        </w:trPr>
        <w:tc>
          <w:tcPr>
            <w:tcW w:w="105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63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888" w:type="dxa"/>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Typical Event Day</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1.17</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1.13</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0.04</w:t>
            </w:r>
          </w:p>
        </w:tc>
        <w:tc>
          <w:tcPr>
            <w:tcW w:w="900"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3.3%</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1.37</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1.30</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0.07</w:t>
            </w:r>
          </w:p>
        </w:tc>
        <w:tc>
          <w:tcPr>
            <w:tcW w:w="91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4.8%</w:t>
            </w:r>
          </w:p>
        </w:tc>
      </w:tr>
      <w:tr w:rsidR="00920140" w:rsidRPr="00A70075" w:rsidTr="00D17E6A">
        <w:trPr>
          <w:cantSplit/>
          <w:jc w:val="center"/>
        </w:trPr>
        <w:tc>
          <w:tcPr>
            <w:tcW w:w="1050" w:type="dxa"/>
            <w:vMerge w:val="restart"/>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PTR/SS</w:t>
            </w:r>
          </w:p>
        </w:tc>
        <w:tc>
          <w:tcPr>
            <w:tcW w:w="630" w:type="dxa"/>
            <w:vMerge w:val="restart"/>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1-in-10</w:t>
            </w:r>
          </w:p>
        </w:tc>
        <w:tc>
          <w:tcPr>
            <w:tcW w:w="888" w:type="dxa"/>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Monthly System Peak Day</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1.77</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1.54</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0.23</w:t>
            </w:r>
          </w:p>
        </w:tc>
        <w:tc>
          <w:tcPr>
            <w:tcW w:w="900"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13.1%</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2.31</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1.66</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0.66</w:t>
            </w:r>
          </w:p>
        </w:tc>
        <w:tc>
          <w:tcPr>
            <w:tcW w:w="91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28.4%</w:t>
            </w:r>
          </w:p>
        </w:tc>
      </w:tr>
      <w:tr w:rsidR="00920140" w:rsidRPr="00A70075" w:rsidTr="00D17E6A">
        <w:trPr>
          <w:cantSplit/>
          <w:jc w:val="center"/>
        </w:trPr>
        <w:tc>
          <w:tcPr>
            <w:tcW w:w="105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63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888" w:type="dxa"/>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Typical Event Day</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1.79</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1.55</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0.23</w:t>
            </w:r>
          </w:p>
        </w:tc>
        <w:tc>
          <w:tcPr>
            <w:tcW w:w="900"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13.1%</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2.30</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1.65</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0.64</w:t>
            </w:r>
          </w:p>
        </w:tc>
        <w:tc>
          <w:tcPr>
            <w:tcW w:w="91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28.0%</w:t>
            </w:r>
          </w:p>
        </w:tc>
      </w:tr>
      <w:tr w:rsidR="00920140" w:rsidRPr="00A70075" w:rsidTr="00D17E6A">
        <w:trPr>
          <w:cantSplit/>
          <w:jc w:val="center"/>
        </w:trPr>
        <w:tc>
          <w:tcPr>
            <w:tcW w:w="105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630" w:type="dxa"/>
            <w:vMerge w:val="restart"/>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1-in-2</w:t>
            </w:r>
          </w:p>
        </w:tc>
        <w:tc>
          <w:tcPr>
            <w:tcW w:w="888" w:type="dxa"/>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Monthly System Peak Day</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1.42</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1.26</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0.17</w:t>
            </w:r>
          </w:p>
        </w:tc>
        <w:tc>
          <w:tcPr>
            <w:tcW w:w="900"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11.7%</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1.94</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1.47</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0.48</w:t>
            </w:r>
          </w:p>
        </w:tc>
        <w:tc>
          <w:tcPr>
            <w:tcW w:w="91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24.5%</w:t>
            </w:r>
          </w:p>
        </w:tc>
      </w:tr>
      <w:tr w:rsidR="00920140" w:rsidRPr="00A70075" w:rsidTr="00D17E6A">
        <w:trPr>
          <w:cantSplit/>
          <w:jc w:val="center"/>
        </w:trPr>
        <w:tc>
          <w:tcPr>
            <w:tcW w:w="105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63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888" w:type="dxa"/>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Typical Event Day</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1.41</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1.24</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0.16</w:t>
            </w:r>
          </w:p>
        </w:tc>
        <w:tc>
          <w:tcPr>
            <w:tcW w:w="900"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11.7%</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1.91</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1.44</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0.47</w:t>
            </w:r>
          </w:p>
        </w:tc>
        <w:tc>
          <w:tcPr>
            <w:tcW w:w="91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24.4%</w:t>
            </w:r>
          </w:p>
        </w:tc>
      </w:tr>
      <w:tr w:rsidR="00920140" w:rsidRPr="00A70075" w:rsidTr="00D17E6A">
        <w:trPr>
          <w:cantSplit/>
          <w:jc w:val="center"/>
        </w:trPr>
        <w:tc>
          <w:tcPr>
            <w:tcW w:w="1050" w:type="dxa"/>
            <w:vMerge w:val="restart"/>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PTR/SCTD</w:t>
            </w:r>
          </w:p>
        </w:tc>
        <w:tc>
          <w:tcPr>
            <w:tcW w:w="630" w:type="dxa"/>
            <w:vMerge w:val="restart"/>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1-in-10</w:t>
            </w:r>
          </w:p>
        </w:tc>
        <w:tc>
          <w:tcPr>
            <w:tcW w:w="888" w:type="dxa"/>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Monthly System Peak Day</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2.02</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1.51</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0.51</w:t>
            </w:r>
          </w:p>
        </w:tc>
        <w:tc>
          <w:tcPr>
            <w:tcW w:w="900"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25.2%</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2.64</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2.03</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0.61</w:t>
            </w:r>
          </w:p>
        </w:tc>
        <w:tc>
          <w:tcPr>
            <w:tcW w:w="91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23.1%</w:t>
            </w:r>
          </w:p>
        </w:tc>
      </w:tr>
      <w:tr w:rsidR="00920140" w:rsidRPr="00A70075" w:rsidTr="00D17E6A">
        <w:trPr>
          <w:cantSplit/>
          <w:jc w:val="center"/>
        </w:trPr>
        <w:tc>
          <w:tcPr>
            <w:tcW w:w="105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63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888" w:type="dxa"/>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Typical Event Day</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2.02</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1.51</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0.51</w:t>
            </w:r>
          </w:p>
        </w:tc>
        <w:tc>
          <w:tcPr>
            <w:tcW w:w="900"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25.3%</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2.62</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2.01</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0.60</w:t>
            </w:r>
          </w:p>
        </w:tc>
        <w:tc>
          <w:tcPr>
            <w:tcW w:w="91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23.1%</w:t>
            </w:r>
          </w:p>
        </w:tc>
      </w:tr>
      <w:tr w:rsidR="00920140" w:rsidRPr="00A70075" w:rsidTr="00D17E6A">
        <w:trPr>
          <w:cantSplit/>
          <w:jc w:val="center"/>
        </w:trPr>
        <w:tc>
          <w:tcPr>
            <w:tcW w:w="105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630" w:type="dxa"/>
            <w:vMerge w:val="restart"/>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1-in-2</w:t>
            </w:r>
          </w:p>
        </w:tc>
        <w:tc>
          <w:tcPr>
            <w:tcW w:w="888" w:type="dxa"/>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Monthly System Peak Day</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1.59</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1.21</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0.38</w:t>
            </w:r>
          </w:p>
        </w:tc>
        <w:tc>
          <w:tcPr>
            <w:tcW w:w="900"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23.6%</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2.09</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1.64</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0.45</w:t>
            </w:r>
          </w:p>
        </w:tc>
        <w:tc>
          <w:tcPr>
            <w:tcW w:w="91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21.5%</w:t>
            </w:r>
          </w:p>
        </w:tc>
      </w:tr>
      <w:tr w:rsidR="00920140" w:rsidRPr="00A70075" w:rsidTr="00D17E6A">
        <w:trPr>
          <w:cantSplit/>
          <w:jc w:val="center"/>
        </w:trPr>
        <w:tc>
          <w:tcPr>
            <w:tcW w:w="105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63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888" w:type="dxa"/>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Typical Event Day</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1.55</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1.19</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0.36</w:t>
            </w:r>
          </w:p>
        </w:tc>
        <w:tc>
          <w:tcPr>
            <w:tcW w:w="900"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23.4%</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2.04</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1.60</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0.43</w:t>
            </w:r>
          </w:p>
        </w:tc>
        <w:tc>
          <w:tcPr>
            <w:tcW w:w="91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21.3%</w:t>
            </w:r>
          </w:p>
        </w:tc>
      </w:tr>
      <w:tr w:rsidR="00920140" w:rsidRPr="00A70075" w:rsidTr="00D17E6A">
        <w:trPr>
          <w:cantSplit/>
          <w:jc w:val="center"/>
        </w:trPr>
        <w:tc>
          <w:tcPr>
            <w:tcW w:w="1050" w:type="dxa"/>
            <w:vMerge w:val="restart"/>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SCTD Only</w:t>
            </w:r>
          </w:p>
        </w:tc>
        <w:tc>
          <w:tcPr>
            <w:tcW w:w="630" w:type="dxa"/>
            <w:vMerge w:val="restart"/>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1-in-10</w:t>
            </w:r>
          </w:p>
        </w:tc>
        <w:tc>
          <w:tcPr>
            <w:tcW w:w="888" w:type="dxa"/>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Monthly System Peak Day</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2.05</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1.74</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0.30</w:t>
            </w:r>
          </w:p>
        </w:tc>
        <w:tc>
          <w:tcPr>
            <w:tcW w:w="900"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14.8%</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2.74</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2.27</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0.47</w:t>
            </w:r>
          </w:p>
        </w:tc>
        <w:tc>
          <w:tcPr>
            <w:tcW w:w="91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17.2%</w:t>
            </w:r>
          </w:p>
        </w:tc>
      </w:tr>
      <w:tr w:rsidR="00920140" w:rsidRPr="00A70075" w:rsidTr="00D17E6A">
        <w:trPr>
          <w:cantSplit/>
          <w:jc w:val="center"/>
        </w:trPr>
        <w:tc>
          <w:tcPr>
            <w:tcW w:w="105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63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888" w:type="dxa"/>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Typical Event Day</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2.04</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1.74</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0.30</w:t>
            </w:r>
          </w:p>
        </w:tc>
        <w:tc>
          <w:tcPr>
            <w:tcW w:w="900"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14.9%</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2.72</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2.25</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0.46</w:t>
            </w:r>
          </w:p>
        </w:tc>
        <w:tc>
          <w:tcPr>
            <w:tcW w:w="91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17.1%</w:t>
            </w:r>
          </w:p>
        </w:tc>
      </w:tr>
      <w:tr w:rsidR="00920140" w:rsidRPr="00A70075" w:rsidTr="00D17E6A">
        <w:trPr>
          <w:cantSplit/>
          <w:jc w:val="center"/>
        </w:trPr>
        <w:tc>
          <w:tcPr>
            <w:tcW w:w="105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630" w:type="dxa"/>
            <w:vMerge w:val="restart"/>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1-in-2</w:t>
            </w:r>
          </w:p>
        </w:tc>
        <w:tc>
          <w:tcPr>
            <w:tcW w:w="888" w:type="dxa"/>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Monthly System Peak Day</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1.61</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1.39</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0.22</w:t>
            </w:r>
          </w:p>
        </w:tc>
        <w:tc>
          <w:tcPr>
            <w:tcW w:w="900"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13.9%</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2.19</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1.84</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0.35</w:t>
            </w:r>
          </w:p>
        </w:tc>
        <w:tc>
          <w:tcPr>
            <w:tcW w:w="91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15.8%</w:t>
            </w:r>
          </w:p>
        </w:tc>
      </w:tr>
      <w:tr w:rsidR="00920140" w:rsidRPr="00A70075" w:rsidTr="00D17E6A">
        <w:trPr>
          <w:cantSplit/>
          <w:jc w:val="center"/>
        </w:trPr>
        <w:tc>
          <w:tcPr>
            <w:tcW w:w="105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630" w:type="dxa"/>
            <w:vMerge/>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color w:val="FFFFFF" w:themeColor="background1"/>
                <w:sz w:val="16"/>
                <w:szCs w:val="16"/>
              </w:rPr>
            </w:pPr>
          </w:p>
        </w:tc>
        <w:tc>
          <w:tcPr>
            <w:tcW w:w="888" w:type="dxa"/>
            <w:shd w:val="clear" w:color="auto" w:fill="1F497D" w:themeFill="text2"/>
            <w:tcMar>
              <w:left w:w="60" w:type="dxa"/>
              <w:right w:w="60" w:type="dxa"/>
            </w:tcMar>
            <w:vAlign w:val="center"/>
          </w:tcPr>
          <w:p w:rsidR="00920140" w:rsidRPr="004E3878" w:rsidRDefault="00920140" w:rsidP="00920140">
            <w:pPr>
              <w:keepNext/>
              <w:keepLines/>
              <w:adjustRightInd w:val="0"/>
              <w:spacing w:before="40" w:after="40"/>
              <w:rPr>
                <w:b/>
                <w:bCs/>
                <w:color w:val="FFFFFF" w:themeColor="background1"/>
                <w:sz w:val="16"/>
                <w:szCs w:val="16"/>
              </w:rPr>
            </w:pPr>
            <w:r w:rsidRPr="004E3878">
              <w:rPr>
                <w:b/>
                <w:bCs/>
                <w:color w:val="FFFFFF" w:themeColor="background1"/>
                <w:sz w:val="16"/>
                <w:szCs w:val="16"/>
              </w:rPr>
              <w:t>Typical Event Day</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1.58</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1.36</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0.22</w:t>
            </w:r>
          </w:p>
        </w:tc>
        <w:tc>
          <w:tcPr>
            <w:tcW w:w="900"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13.7%</w:t>
            </w:r>
          </w:p>
        </w:tc>
        <w:tc>
          <w:tcPr>
            <w:tcW w:w="88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2.13</w:t>
            </w:r>
          </w:p>
        </w:tc>
        <w:tc>
          <w:tcPr>
            <w:tcW w:w="853"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1.79</w:t>
            </w:r>
          </w:p>
        </w:tc>
        <w:tc>
          <w:tcPr>
            <w:tcW w:w="755"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0.34</w:t>
            </w:r>
          </w:p>
        </w:tc>
        <w:tc>
          <w:tcPr>
            <w:tcW w:w="912" w:type="dxa"/>
            <w:shd w:val="clear" w:color="auto" w:fill="FFFFFF"/>
            <w:tcMar>
              <w:left w:w="60" w:type="dxa"/>
              <w:right w:w="60" w:type="dxa"/>
            </w:tcMar>
            <w:vAlign w:val="center"/>
          </w:tcPr>
          <w:p w:rsidR="00920140" w:rsidRPr="00662220" w:rsidRDefault="00920140" w:rsidP="00920140">
            <w:pPr>
              <w:keepNext/>
              <w:keepLines/>
              <w:adjustRightInd w:val="0"/>
              <w:spacing w:before="40" w:after="40"/>
              <w:jc w:val="center"/>
              <w:rPr>
                <w:color w:val="000000"/>
                <w:sz w:val="16"/>
                <w:szCs w:val="16"/>
              </w:rPr>
            </w:pPr>
            <w:r w:rsidRPr="00662220">
              <w:rPr>
                <w:color w:val="000000"/>
                <w:sz w:val="16"/>
                <w:szCs w:val="16"/>
              </w:rPr>
              <w:t>15.8%</w:t>
            </w:r>
          </w:p>
        </w:tc>
      </w:tr>
    </w:tbl>
    <w:p w:rsidR="00920140" w:rsidRPr="00194E9C" w:rsidRDefault="00920140" w:rsidP="00920140"/>
    <w:p w:rsidR="00920140" w:rsidRPr="004527E9" w:rsidRDefault="00920140" w:rsidP="00920140">
      <w:pPr>
        <w:pStyle w:val="Heading2"/>
        <w:rPr>
          <w:rFonts w:ascii="Times New Roman" w:hAnsi="Times New Roman" w:cs="Times New Roman"/>
        </w:rPr>
      </w:pPr>
      <w:bookmarkStart w:id="230" w:name="_Toc415749020"/>
      <w:bookmarkStart w:id="231" w:name="_Toc447179831"/>
      <w:bookmarkEnd w:id="225"/>
      <w:r w:rsidRPr="004527E9">
        <w:rPr>
          <w:rFonts w:ascii="Times New Roman" w:hAnsi="Times New Roman" w:cs="Times New Roman"/>
        </w:rPr>
        <w:t>Relationship between Ex Post and Ex Ante Estimates</w:t>
      </w:r>
      <w:bookmarkEnd w:id="230"/>
      <w:bookmarkEnd w:id="231"/>
    </w:p>
    <w:p w:rsidR="00920140" w:rsidRDefault="00920140" w:rsidP="00920140">
      <w:pPr>
        <w:pStyle w:val="BodyParagraph"/>
        <w:spacing w:after="0" w:line="276" w:lineRule="auto"/>
        <w:ind w:firstLine="360"/>
        <w:rPr>
          <w:rFonts w:ascii="Times New Roman" w:hAnsi="Times New Roman"/>
          <w:color w:val="FF0000"/>
          <w:sz w:val="24"/>
          <w:szCs w:val="24"/>
        </w:rPr>
      </w:pPr>
    </w:p>
    <w:p w:rsidR="00920140" w:rsidRPr="00B777EF" w:rsidRDefault="00260B68" w:rsidP="00920140">
      <w:pPr>
        <w:spacing w:line="276" w:lineRule="auto"/>
        <w:ind w:firstLine="360"/>
        <w:rPr>
          <w:color w:val="000000" w:themeColor="text1"/>
        </w:rPr>
      </w:pPr>
      <w:r w:rsidRPr="00260B68">
        <w:rPr>
          <w:color w:val="000000" w:themeColor="text1"/>
          <w:sz w:val="22"/>
          <w:szCs w:val="22"/>
        </w:rPr>
        <w:t>Table 7-1</w:t>
      </w:r>
      <w:r w:rsidR="0024252A">
        <w:rPr>
          <w:color w:val="000000" w:themeColor="text1"/>
          <w:sz w:val="22"/>
          <w:szCs w:val="22"/>
        </w:rPr>
        <w:t>0</w:t>
      </w:r>
      <w:r>
        <w:rPr>
          <w:color w:val="000000" w:themeColor="text1"/>
        </w:rPr>
        <w:t xml:space="preserve"> sh</w:t>
      </w:r>
      <w:r w:rsidR="00920140" w:rsidRPr="00B777EF">
        <w:rPr>
          <w:color w:val="000000" w:themeColor="text1"/>
        </w:rPr>
        <w:t xml:space="preserve">ows comparisons between the </w:t>
      </w:r>
      <w:r w:rsidR="00920140" w:rsidRPr="00B777EF">
        <w:rPr>
          <w:i/>
          <w:color w:val="000000" w:themeColor="text1"/>
        </w:rPr>
        <w:t>ex ante</w:t>
      </w:r>
      <w:r w:rsidR="00920140" w:rsidRPr="00B777EF">
        <w:rPr>
          <w:color w:val="000000" w:themeColor="text1"/>
        </w:rPr>
        <w:t xml:space="preserve"> and </w:t>
      </w:r>
      <w:r w:rsidR="00920140" w:rsidRPr="00B777EF">
        <w:rPr>
          <w:i/>
          <w:color w:val="000000" w:themeColor="text1"/>
        </w:rPr>
        <w:t>ex post</w:t>
      </w:r>
      <w:r w:rsidR="00920140" w:rsidRPr="00B777EF">
        <w:rPr>
          <w:color w:val="000000" w:themeColor="text1"/>
        </w:rPr>
        <w:t xml:space="preserve"> estimates from this evaluation.  For all of the groups, and similar to the previous evaluation, it seems that the weather in 2015 was particularly hot, and thus the results are more aligned with 1-in-10 weather conditions.</w:t>
      </w:r>
    </w:p>
    <w:p w:rsidR="00920140" w:rsidRDefault="00920140" w:rsidP="00FB1BD8">
      <w:pPr>
        <w:pStyle w:val="Default"/>
        <w:spacing w:line="276" w:lineRule="auto"/>
        <w:ind w:firstLine="360"/>
        <w:sectPr w:rsidR="00920140" w:rsidSect="00920140">
          <w:pgSz w:w="12240" w:h="15840"/>
          <w:pgMar w:top="1440" w:right="1440" w:bottom="1440" w:left="1440" w:header="720" w:footer="720" w:gutter="0"/>
          <w:cols w:space="720"/>
          <w:docGrid w:linePitch="360"/>
        </w:sectPr>
      </w:pPr>
      <w:bookmarkStart w:id="232" w:name="_Ref414443451"/>
      <w:r w:rsidRPr="00B777EF">
        <w:rPr>
          <w:color w:val="000000" w:themeColor="text1"/>
        </w:rPr>
        <w:lastRenderedPageBreak/>
        <w:t xml:space="preserve">For the overall PTR-only group, the </w:t>
      </w:r>
      <w:r w:rsidRPr="00B777EF">
        <w:rPr>
          <w:i/>
          <w:iCs/>
          <w:color w:val="000000" w:themeColor="text1"/>
        </w:rPr>
        <w:t xml:space="preserve">ex post </w:t>
      </w:r>
      <w:r w:rsidRPr="00B777EF">
        <w:rPr>
          <w:color w:val="000000" w:themeColor="text1"/>
        </w:rPr>
        <w:t xml:space="preserve">results show an average event hour load reduction of 0.06 kW, while the 1-in-10 </w:t>
      </w:r>
      <w:r w:rsidRPr="00B777EF">
        <w:rPr>
          <w:i/>
          <w:iCs/>
          <w:color w:val="000000" w:themeColor="text1"/>
        </w:rPr>
        <w:t xml:space="preserve">ex ante </w:t>
      </w:r>
      <w:r w:rsidRPr="00B777EF">
        <w:rPr>
          <w:color w:val="000000" w:themeColor="text1"/>
        </w:rPr>
        <w:t xml:space="preserve">estimates show average event hour load reductions of 0.05 kW, both around 4% of the reference load. The predicted 1-in-10 average event hour load reductions for the overall PTR-Summer Saver dually enrolled group (0.27 kW, or 13.8%) are very similar, but slightly higher than the </w:t>
      </w:r>
      <w:r w:rsidRPr="00B777EF">
        <w:rPr>
          <w:i/>
          <w:iCs/>
          <w:color w:val="000000" w:themeColor="text1"/>
        </w:rPr>
        <w:t xml:space="preserve">ex post </w:t>
      </w:r>
      <w:r w:rsidRPr="00B777EF">
        <w:rPr>
          <w:color w:val="000000" w:themeColor="text1"/>
        </w:rPr>
        <w:t xml:space="preserve">impacts (0.23 kW, or 13.1%). The same relationship exists for the 50% and 100% cycling sub-groups. For the dually enrolled PTR-SCTD group, the </w:t>
      </w:r>
      <w:r w:rsidRPr="00B777EF">
        <w:rPr>
          <w:i/>
          <w:iCs/>
          <w:color w:val="000000" w:themeColor="text1"/>
        </w:rPr>
        <w:t xml:space="preserve">ex post </w:t>
      </w:r>
      <w:r w:rsidRPr="00B777EF">
        <w:rPr>
          <w:color w:val="000000" w:themeColor="text1"/>
        </w:rPr>
        <w:t xml:space="preserve">and 1-in-10 </w:t>
      </w:r>
      <w:r w:rsidRPr="00B777EF">
        <w:rPr>
          <w:i/>
          <w:iCs/>
          <w:color w:val="000000" w:themeColor="text1"/>
        </w:rPr>
        <w:t xml:space="preserve">ex ante </w:t>
      </w:r>
      <w:r w:rsidRPr="00B777EF">
        <w:rPr>
          <w:color w:val="000000" w:themeColor="text1"/>
        </w:rPr>
        <w:t xml:space="preserve">estimates are essentially identical, at 0.52 and 0.51 kW, respectively. These represent approximately 22% and 25% of the reference load. The estimates for the load control sub-groups are also similar. The 4 degree setback group’s 1-in-10 </w:t>
      </w:r>
      <w:r w:rsidRPr="00B777EF">
        <w:rPr>
          <w:i/>
          <w:iCs/>
          <w:color w:val="000000" w:themeColor="text1"/>
        </w:rPr>
        <w:t xml:space="preserve">ex ante </w:t>
      </w:r>
      <w:r w:rsidRPr="00B777EF">
        <w:rPr>
          <w:color w:val="000000" w:themeColor="text1"/>
        </w:rPr>
        <w:t xml:space="preserve">estimate 0.01 kW lower than the </w:t>
      </w:r>
      <w:r w:rsidRPr="00B777EF">
        <w:rPr>
          <w:i/>
          <w:iCs/>
          <w:color w:val="000000" w:themeColor="text1"/>
        </w:rPr>
        <w:t xml:space="preserve">ex post </w:t>
      </w:r>
      <w:r w:rsidRPr="00B777EF">
        <w:rPr>
          <w:color w:val="000000" w:themeColor="text1"/>
        </w:rPr>
        <w:t xml:space="preserve">estimate, while the 50% cycling group’s is the same. As with the other groups, the SCTD-only </w:t>
      </w:r>
      <w:r w:rsidRPr="00B777EF">
        <w:rPr>
          <w:i/>
          <w:iCs/>
          <w:color w:val="000000" w:themeColor="text1"/>
        </w:rPr>
        <w:t xml:space="preserve">ex post </w:t>
      </w:r>
      <w:r w:rsidRPr="00B777EF">
        <w:rPr>
          <w:color w:val="000000" w:themeColor="text1"/>
        </w:rPr>
        <w:t xml:space="preserve">estimates are similar to the 1-in-10 </w:t>
      </w:r>
      <w:r w:rsidRPr="00B777EF">
        <w:rPr>
          <w:i/>
          <w:iCs/>
          <w:color w:val="000000" w:themeColor="text1"/>
        </w:rPr>
        <w:t xml:space="preserve">ex ante </w:t>
      </w:r>
      <w:r w:rsidRPr="00B777EF">
        <w:rPr>
          <w:color w:val="000000" w:themeColor="text1"/>
        </w:rPr>
        <w:t xml:space="preserve">estimates. The overall event hour load reduction estimate is 0.28 kW (11.9%) for the </w:t>
      </w:r>
      <w:r w:rsidRPr="00B777EF">
        <w:rPr>
          <w:i/>
          <w:iCs/>
          <w:color w:val="000000" w:themeColor="text1"/>
        </w:rPr>
        <w:t xml:space="preserve">ex post </w:t>
      </w:r>
      <w:r w:rsidRPr="00B777EF">
        <w:rPr>
          <w:color w:val="000000" w:themeColor="text1"/>
        </w:rPr>
        <w:t xml:space="preserve">and 0.30 kW (14.9%) for the 1-in-10 </w:t>
      </w:r>
      <w:r w:rsidRPr="00B777EF">
        <w:rPr>
          <w:i/>
          <w:iCs/>
          <w:color w:val="000000" w:themeColor="text1"/>
        </w:rPr>
        <w:t>ex ante</w:t>
      </w:r>
      <w:r w:rsidRPr="00B777EF">
        <w:rPr>
          <w:color w:val="000000" w:themeColor="text1"/>
        </w:rPr>
        <w:t xml:space="preserve">. The 50% cycling sub-group has lower </w:t>
      </w:r>
      <w:r w:rsidRPr="00B777EF">
        <w:rPr>
          <w:i/>
          <w:iCs/>
          <w:color w:val="000000" w:themeColor="text1"/>
        </w:rPr>
        <w:t xml:space="preserve">ex post </w:t>
      </w:r>
      <w:r w:rsidRPr="00B777EF">
        <w:rPr>
          <w:color w:val="000000" w:themeColor="text1"/>
        </w:rPr>
        <w:t xml:space="preserve">estimates, with averages of 0.20 kW (8.9%) for </w:t>
      </w:r>
      <w:r w:rsidRPr="00B777EF">
        <w:rPr>
          <w:i/>
          <w:iCs/>
          <w:color w:val="000000" w:themeColor="text1"/>
        </w:rPr>
        <w:t xml:space="preserve">ex post </w:t>
      </w:r>
      <w:r w:rsidRPr="00B777EF">
        <w:rPr>
          <w:color w:val="000000" w:themeColor="text1"/>
        </w:rPr>
        <w:t xml:space="preserve">and 0.24 (12.1%) for the 1-in-10 </w:t>
      </w:r>
      <w:r w:rsidRPr="00B777EF">
        <w:rPr>
          <w:i/>
          <w:iCs/>
          <w:color w:val="000000" w:themeColor="text1"/>
        </w:rPr>
        <w:t xml:space="preserve">ex ante </w:t>
      </w:r>
      <w:r w:rsidRPr="00B777EF">
        <w:rPr>
          <w:color w:val="000000" w:themeColor="text1"/>
        </w:rPr>
        <w:t xml:space="preserve">estimate. The 4 degree setback has </w:t>
      </w:r>
      <w:r w:rsidRPr="00B777EF">
        <w:rPr>
          <w:i/>
          <w:iCs/>
          <w:color w:val="000000" w:themeColor="text1"/>
        </w:rPr>
        <w:t xml:space="preserve">ex post </w:t>
      </w:r>
      <w:r w:rsidRPr="00B777EF">
        <w:rPr>
          <w:color w:val="000000" w:themeColor="text1"/>
        </w:rPr>
        <w:t xml:space="preserve">estimate of 0.34 kW, compared to the </w:t>
      </w:r>
      <w:r w:rsidRPr="00B777EF">
        <w:rPr>
          <w:i/>
          <w:iCs/>
          <w:color w:val="000000" w:themeColor="text1"/>
        </w:rPr>
        <w:t xml:space="preserve">ex ante </w:t>
      </w:r>
      <w:r w:rsidRPr="00B777EF">
        <w:rPr>
          <w:color w:val="000000" w:themeColor="text1"/>
        </w:rPr>
        <w:t>average of 0.35 for the 1-in-10 typical event day.</w:t>
      </w:r>
      <w:r w:rsidR="00FB1BD8">
        <w:t xml:space="preserve"> </w:t>
      </w:r>
    </w:p>
    <w:p w:rsidR="00920140" w:rsidRPr="00D34839" w:rsidRDefault="00920140" w:rsidP="00C728E5">
      <w:pPr>
        <w:pStyle w:val="Caption"/>
        <w:spacing w:after="120"/>
        <w:jc w:val="center"/>
        <w:rPr>
          <w:sz w:val="22"/>
          <w:szCs w:val="22"/>
        </w:rPr>
      </w:pPr>
      <w:bookmarkStart w:id="233" w:name="_Ref445988314"/>
      <w:bookmarkEnd w:id="232"/>
      <w:r w:rsidRPr="00D34839">
        <w:rPr>
          <w:sz w:val="22"/>
          <w:szCs w:val="22"/>
        </w:rPr>
        <w:lastRenderedPageBreak/>
        <w:t xml:space="preserve">Table </w:t>
      </w:r>
      <w:r w:rsidRPr="00D34839">
        <w:rPr>
          <w:sz w:val="22"/>
          <w:szCs w:val="22"/>
        </w:rPr>
        <w:fldChar w:fldCharType="begin"/>
      </w:r>
      <w:r w:rsidRPr="00D34839">
        <w:rPr>
          <w:sz w:val="22"/>
          <w:szCs w:val="22"/>
        </w:rPr>
        <w:instrText xml:space="preserve"> STYLEREF 1 \s </w:instrText>
      </w:r>
      <w:r w:rsidRPr="00D34839">
        <w:rPr>
          <w:sz w:val="22"/>
          <w:szCs w:val="22"/>
        </w:rPr>
        <w:fldChar w:fldCharType="separate"/>
      </w:r>
      <w:r w:rsidR="008A6A2B">
        <w:rPr>
          <w:noProof/>
          <w:sz w:val="22"/>
          <w:szCs w:val="22"/>
        </w:rPr>
        <w:t>7</w:t>
      </w:r>
      <w:r w:rsidRPr="00D34839">
        <w:rPr>
          <w:noProof/>
          <w:sz w:val="22"/>
          <w:szCs w:val="22"/>
        </w:rPr>
        <w:fldChar w:fldCharType="end"/>
      </w:r>
      <w:r w:rsidRPr="00D34839">
        <w:rPr>
          <w:sz w:val="22"/>
          <w:szCs w:val="22"/>
        </w:rPr>
        <w:noBreakHyphen/>
      </w:r>
      <w:r w:rsidRPr="00D34839">
        <w:rPr>
          <w:sz w:val="22"/>
          <w:szCs w:val="22"/>
        </w:rPr>
        <w:fldChar w:fldCharType="begin"/>
      </w:r>
      <w:r w:rsidRPr="00D34839">
        <w:rPr>
          <w:sz w:val="22"/>
          <w:szCs w:val="22"/>
        </w:rPr>
        <w:instrText xml:space="preserve"> SEQ Table \* ARABIC \s 1 </w:instrText>
      </w:r>
      <w:r w:rsidRPr="00D34839">
        <w:rPr>
          <w:sz w:val="22"/>
          <w:szCs w:val="22"/>
        </w:rPr>
        <w:fldChar w:fldCharType="separate"/>
      </w:r>
      <w:r w:rsidR="008A6A2B">
        <w:rPr>
          <w:noProof/>
          <w:sz w:val="22"/>
          <w:szCs w:val="22"/>
        </w:rPr>
        <w:t>1</w:t>
      </w:r>
      <w:r w:rsidRPr="00D34839">
        <w:rPr>
          <w:noProof/>
          <w:sz w:val="22"/>
          <w:szCs w:val="22"/>
        </w:rPr>
        <w:fldChar w:fldCharType="end"/>
      </w:r>
      <w:bookmarkEnd w:id="233"/>
      <w:r w:rsidR="0024252A">
        <w:rPr>
          <w:noProof/>
          <w:sz w:val="22"/>
          <w:szCs w:val="22"/>
        </w:rPr>
        <w:t>0</w:t>
      </w:r>
      <w:r w:rsidR="00260B68">
        <w:rPr>
          <w:noProof/>
          <w:sz w:val="22"/>
          <w:szCs w:val="22"/>
        </w:rPr>
        <w:t>:</w:t>
      </w:r>
      <w:r w:rsidRPr="00D34839">
        <w:rPr>
          <w:sz w:val="22"/>
          <w:szCs w:val="22"/>
        </w:rPr>
        <w:t xml:space="preserve"> Comparison of Ex Ante and Ex Post Estimates</w:t>
      </w:r>
    </w:p>
    <w:tbl>
      <w:tblPr>
        <w:tblW w:w="915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960"/>
        <w:gridCol w:w="720"/>
        <w:gridCol w:w="810"/>
        <w:gridCol w:w="2160"/>
        <w:gridCol w:w="900"/>
        <w:gridCol w:w="900"/>
        <w:gridCol w:w="900"/>
        <w:gridCol w:w="990"/>
        <w:gridCol w:w="810"/>
      </w:tblGrid>
      <w:tr w:rsidR="00920140" w:rsidRPr="00D7369B" w:rsidTr="00C728E5">
        <w:trPr>
          <w:cantSplit/>
        </w:trPr>
        <w:tc>
          <w:tcPr>
            <w:tcW w:w="960" w:type="dxa"/>
            <w:tcBorders>
              <w:top w:val="single" w:sz="12" w:space="0" w:color="000000"/>
              <w:bottom w:val="single" w:sz="12" w:space="0" w:color="000000"/>
            </w:tcBorders>
            <w:shd w:val="clear" w:color="auto" w:fill="1F497D" w:themeFill="text2"/>
            <w:tcMar>
              <w:left w:w="60" w:type="dxa"/>
              <w:right w:w="60" w:type="dxa"/>
            </w:tcMar>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Participant Segment</w:t>
            </w:r>
          </w:p>
        </w:tc>
        <w:tc>
          <w:tcPr>
            <w:tcW w:w="720" w:type="dxa"/>
            <w:tcBorders>
              <w:top w:val="single" w:sz="12" w:space="0" w:color="000000"/>
              <w:bottom w:val="single" w:sz="12" w:space="0" w:color="000000"/>
            </w:tcBorders>
            <w:shd w:val="clear" w:color="auto" w:fill="1F497D" w:themeFill="text2"/>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Control Strategy</w:t>
            </w:r>
          </w:p>
        </w:tc>
        <w:tc>
          <w:tcPr>
            <w:tcW w:w="810" w:type="dxa"/>
            <w:tcBorders>
              <w:top w:val="single" w:sz="12" w:space="0" w:color="000000"/>
              <w:bottom w:val="single" w:sz="12" w:space="0" w:color="000000"/>
            </w:tcBorders>
            <w:shd w:val="clear" w:color="auto" w:fill="1F497D" w:themeFill="text2"/>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Weather Year</w:t>
            </w:r>
          </w:p>
        </w:tc>
        <w:tc>
          <w:tcPr>
            <w:tcW w:w="2160" w:type="dxa"/>
            <w:tcBorders>
              <w:top w:val="single" w:sz="12" w:space="0" w:color="000000"/>
              <w:bottom w:val="single" w:sz="12" w:space="0" w:color="000000"/>
            </w:tcBorders>
            <w:shd w:val="clear" w:color="auto" w:fill="1F497D" w:themeFill="text2"/>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Day / Type</w:t>
            </w:r>
          </w:p>
        </w:tc>
        <w:tc>
          <w:tcPr>
            <w:tcW w:w="900" w:type="dxa"/>
            <w:tcBorders>
              <w:top w:val="single" w:sz="12" w:space="0" w:color="000000"/>
              <w:bottom w:val="single" w:sz="12" w:space="0" w:color="000000"/>
            </w:tcBorders>
            <w:shd w:val="clear" w:color="auto" w:fill="1F497D" w:themeFill="text2"/>
            <w:tcMar>
              <w:left w:w="60" w:type="dxa"/>
              <w:right w:w="60" w:type="dxa"/>
            </w:tcMar>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Average Hourly Reference Load</w:t>
            </w:r>
          </w:p>
        </w:tc>
        <w:tc>
          <w:tcPr>
            <w:tcW w:w="900" w:type="dxa"/>
            <w:tcBorders>
              <w:top w:val="single" w:sz="12" w:space="0" w:color="000000"/>
              <w:bottom w:val="single" w:sz="12" w:space="0" w:color="000000"/>
            </w:tcBorders>
            <w:shd w:val="clear" w:color="auto" w:fill="1F497D" w:themeFill="text2"/>
            <w:tcMar>
              <w:left w:w="60" w:type="dxa"/>
              <w:right w:w="60" w:type="dxa"/>
            </w:tcMar>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Average Hourly Observed Load</w:t>
            </w:r>
          </w:p>
        </w:tc>
        <w:tc>
          <w:tcPr>
            <w:tcW w:w="900" w:type="dxa"/>
            <w:tcBorders>
              <w:top w:val="single" w:sz="12" w:space="0" w:color="000000"/>
              <w:bottom w:val="single" w:sz="12" w:space="0" w:color="000000"/>
            </w:tcBorders>
            <w:shd w:val="clear" w:color="auto" w:fill="1F497D" w:themeFill="text2"/>
            <w:tcMar>
              <w:left w:w="60" w:type="dxa"/>
              <w:right w:w="60" w:type="dxa"/>
            </w:tcMar>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Average Hourly Impact</w:t>
            </w:r>
          </w:p>
        </w:tc>
        <w:tc>
          <w:tcPr>
            <w:tcW w:w="990" w:type="dxa"/>
            <w:tcBorders>
              <w:top w:val="single" w:sz="12" w:space="0" w:color="000000"/>
              <w:bottom w:val="single" w:sz="12" w:space="0" w:color="000000"/>
            </w:tcBorders>
            <w:shd w:val="clear" w:color="auto" w:fill="1F497D" w:themeFill="text2"/>
            <w:tcMar>
              <w:left w:w="60" w:type="dxa"/>
              <w:right w:w="60" w:type="dxa"/>
            </w:tcMar>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Percent Load Reduction</w:t>
            </w:r>
          </w:p>
        </w:tc>
        <w:tc>
          <w:tcPr>
            <w:tcW w:w="810" w:type="dxa"/>
            <w:tcBorders>
              <w:top w:val="single" w:sz="12" w:space="0" w:color="000000"/>
              <w:bottom w:val="single" w:sz="12" w:space="0" w:color="000000"/>
            </w:tcBorders>
            <w:shd w:val="clear" w:color="auto" w:fill="1F497D" w:themeFill="text2"/>
            <w:tcMar>
              <w:left w:w="60" w:type="dxa"/>
              <w:right w:w="60" w:type="dxa"/>
            </w:tcMar>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Average °F</w:t>
            </w:r>
          </w:p>
        </w:tc>
      </w:tr>
      <w:tr w:rsidR="00920140" w:rsidRPr="00D7369B" w:rsidTr="00C728E5">
        <w:trPr>
          <w:cantSplit/>
        </w:trPr>
        <w:tc>
          <w:tcPr>
            <w:tcW w:w="960" w:type="dxa"/>
            <w:vMerge w:val="restart"/>
            <w:tcBorders>
              <w:top w:val="single" w:sz="12" w:space="0" w:color="000000"/>
            </w:tcBorders>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PTR Only</w:t>
            </w:r>
          </w:p>
        </w:tc>
        <w:tc>
          <w:tcPr>
            <w:tcW w:w="720" w:type="dxa"/>
            <w:vMerge w:val="restart"/>
            <w:tcBorders>
              <w:top w:val="single" w:sz="12" w:space="0" w:color="000000"/>
            </w:tcBorders>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p>
        </w:tc>
        <w:tc>
          <w:tcPr>
            <w:tcW w:w="810" w:type="dxa"/>
            <w:vMerge w:val="restart"/>
            <w:tcBorders>
              <w:top w:val="single" w:sz="12" w:space="0" w:color="000000"/>
            </w:tcBorders>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1-In-10</w:t>
            </w:r>
          </w:p>
        </w:tc>
        <w:tc>
          <w:tcPr>
            <w:tcW w:w="2160" w:type="dxa"/>
            <w:tcBorders>
              <w:top w:val="single" w:sz="12" w:space="0" w:color="000000"/>
            </w:tcBorders>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tcBorders>
              <w:top w:val="single" w:sz="12" w:space="0" w:color="000000"/>
            </w:tcBorders>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1.43</w:t>
            </w:r>
          </w:p>
        </w:tc>
        <w:tc>
          <w:tcPr>
            <w:tcW w:w="900" w:type="dxa"/>
            <w:tcBorders>
              <w:top w:val="single" w:sz="12" w:space="0" w:color="000000"/>
            </w:tcBorders>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1.38</w:t>
            </w:r>
          </w:p>
        </w:tc>
        <w:tc>
          <w:tcPr>
            <w:tcW w:w="900" w:type="dxa"/>
            <w:tcBorders>
              <w:top w:val="single" w:sz="12" w:space="0" w:color="000000"/>
            </w:tcBorders>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0.05</w:t>
            </w:r>
          </w:p>
        </w:tc>
        <w:tc>
          <w:tcPr>
            <w:tcW w:w="990" w:type="dxa"/>
            <w:tcBorders>
              <w:top w:val="single" w:sz="12" w:space="0" w:color="000000"/>
            </w:tcBorders>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3.8%</w:t>
            </w:r>
          </w:p>
        </w:tc>
        <w:tc>
          <w:tcPr>
            <w:tcW w:w="810" w:type="dxa"/>
            <w:tcBorders>
              <w:top w:val="single" w:sz="12" w:space="0" w:color="000000"/>
            </w:tcBorders>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86.97</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1.42</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1.36</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0.05</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3.8%</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86.59</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1-In-2</w:t>
            </w: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1.20</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1.16</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0.04</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3.4%</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81.37</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1.17</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1.13</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0.04</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3.3%</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80.59</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w:t>
            </w: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 Average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1.59</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1.52</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0.06</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4.0%</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90.94</w:t>
            </w:r>
          </w:p>
        </w:tc>
      </w:tr>
      <w:tr w:rsidR="00920140" w:rsidRPr="00D7369B" w:rsidTr="00C728E5">
        <w:trPr>
          <w:cantSplit/>
        </w:trPr>
        <w:tc>
          <w:tcPr>
            <w:tcW w:w="96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PTR/SS</w:t>
            </w:r>
          </w:p>
        </w:tc>
        <w:tc>
          <w:tcPr>
            <w:tcW w:w="72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100</w:t>
            </w:r>
          </w:p>
        </w:tc>
        <w:tc>
          <w:tcPr>
            <w:tcW w:w="81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1-In-10</w:t>
            </w: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1.63</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1.31</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0.32</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19.7%</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89.01</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1.64</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1.32</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0.32</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19.6%</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89.18</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1-In-2</w:t>
            </w: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1.33</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1.10</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0.23</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17.5%</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82.45</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1.31</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1.08</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0.23</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17.4%</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82.05</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w:t>
            </w: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 Average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1.80</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1.42</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0.37</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20.9%</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93.06</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50</w:t>
            </w:r>
          </w:p>
        </w:tc>
        <w:tc>
          <w:tcPr>
            <w:tcW w:w="81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1-In-10</w:t>
            </w: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2.01</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1.95</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0.06</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2.8%</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90.10</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2.04</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1.98</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0.06</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3.0%</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90.57</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1-In-2</w:t>
            </w: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1.58</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1.54</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0.04</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2.7%</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83.03</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1.57</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1.53</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0.04</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2.6%</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82.83</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w:t>
            </w: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 Average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2.20</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2.14</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0.07</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3.0%</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93.80</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ALL</w:t>
            </w:r>
          </w:p>
        </w:tc>
        <w:tc>
          <w:tcPr>
            <w:tcW w:w="81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1-In-10</w:t>
            </w: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1.77</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1.54</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0.23</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13.1%</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89.40</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1.79</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1.55</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0.23</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13.1%</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89.69</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1-In-2</w:t>
            </w: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1.42</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1.26</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0.17</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11.7%</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82.66</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1.41</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1.24</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0.16</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11.7%</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82.33</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w:t>
            </w: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 Average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1.95</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1.68</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0.27</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13.8%</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93.33</w:t>
            </w:r>
          </w:p>
        </w:tc>
      </w:tr>
      <w:tr w:rsidR="00920140" w:rsidRPr="00D7369B" w:rsidTr="00C728E5">
        <w:trPr>
          <w:cantSplit/>
        </w:trPr>
        <w:tc>
          <w:tcPr>
            <w:tcW w:w="96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PTR/SCTD</w:t>
            </w:r>
          </w:p>
        </w:tc>
        <w:tc>
          <w:tcPr>
            <w:tcW w:w="72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4 Degree Setback</w:t>
            </w:r>
          </w:p>
        </w:tc>
        <w:tc>
          <w:tcPr>
            <w:tcW w:w="81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1-In-10</w:t>
            </w: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2.07</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1.50</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0.57</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27.4%</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88.27</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2.06</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1.50</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0.57</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27.5%</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88.24</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1-In-2</w:t>
            </w: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1.62</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1.21</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0.42</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25.7%</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82.06</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1.59</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1.18</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0.40</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25.4%</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81.52</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w:t>
            </w: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 Average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2.40</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1.82</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0.58</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24.0%</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92.34</w:t>
            </w:r>
          </w:p>
        </w:tc>
      </w:tr>
      <w:tr w:rsidR="00920140" w:rsidRPr="00D7369B" w:rsidTr="00C728E5">
        <w:trPr>
          <w:cantSplit/>
        </w:trPr>
        <w:tc>
          <w:tcPr>
            <w:tcW w:w="96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72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50% Cycle</w:t>
            </w:r>
          </w:p>
        </w:tc>
        <w:tc>
          <w:tcPr>
            <w:tcW w:w="81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1-In-10</w:t>
            </w:r>
          </w:p>
        </w:tc>
        <w:tc>
          <w:tcPr>
            <w:tcW w:w="216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1.97</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1.53</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0.44</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22.1%</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88.35</w:t>
            </w:r>
          </w:p>
        </w:tc>
      </w:tr>
    </w:tbl>
    <w:p w:rsidR="00920140" w:rsidRDefault="00920140" w:rsidP="00920140">
      <w:pPr>
        <w:pStyle w:val="Caption"/>
        <w:sectPr w:rsidR="00920140" w:rsidSect="00C728E5">
          <w:pgSz w:w="12240" w:h="15840"/>
          <w:pgMar w:top="1440" w:right="1440" w:bottom="1440" w:left="1440" w:header="720" w:footer="720" w:gutter="0"/>
          <w:cols w:space="720"/>
          <w:docGrid w:linePitch="360"/>
        </w:sectPr>
      </w:pPr>
    </w:p>
    <w:p w:rsidR="00920140" w:rsidRPr="00640F77" w:rsidRDefault="00260B68" w:rsidP="00C728E5">
      <w:pPr>
        <w:pStyle w:val="Caption"/>
        <w:spacing w:after="120"/>
        <w:jc w:val="center"/>
        <w:rPr>
          <w:sz w:val="22"/>
          <w:szCs w:val="22"/>
        </w:rPr>
      </w:pPr>
      <w:r>
        <w:rPr>
          <w:sz w:val="22"/>
          <w:szCs w:val="22"/>
        </w:rPr>
        <w:lastRenderedPageBreak/>
        <w:t>Table 7-1</w:t>
      </w:r>
      <w:r w:rsidR="0024252A">
        <w:rPr>
          <w:sz w:val="22"/>
          <w:szCs w:val="22"/>
        </w:rPr>
        <w:t>0</w:t>
      </w:r>
      <w:r>
        <w:rPr>
          <w:sz w:val="22"/>
          <w:szCs w:val="22"/>
        </w:rPr>
        <w:t>:</w:t>
      </w:r>
      <w:r w:rsidR="00920140" w:rsidRPr="00640F77">
        <w:rPr>
          <w:sz w:val="22"/>
          <w:szCs w:val="22"/>
        </w:rPr>
        <w:fldChar w:fldCharType="begin"/>
      </w:r>
      <w:r w:rsidR="00920140" w:rsidRPr="00640F77">
        <w:rPr>
          <w:sz w:val="22"/>
          <w:szCs w:val="22"/>
        </w:rPr>
        <w:instrText xml:space="preserve"> REF _Ref445988314 \h </w:instrText>
      </w:r>
      <w:r w:rsidR="00920140">
        <w:rPr>
          <w:sz w:val="22"/>
          <w:szCs w:val="22"/>
        </w:rPr>
        <w:instrText xml:space="preserve"> \* MERGEFORMAT </w:instrText>
      </w:r>
      <w:r w:rsidR="00920140" w:rsidRPr="00640F77">
        <w:rPr>
          <w:sz w:val="22"/>
          <w:szCs w:val="22"/>
        </w:rPr>
      </w:r>
      <w:r w:rsidR="00920140" w:rsidRPr="00640F77">
        <w:rPr>
          <w:sz w:val="22"/>
          <w:szCs w:val="22"/>
        </w:rPr>
        <w:fldChar w:fldCharType="end"/>
      </w:r>
      <w:r w:rsidR="00920140" w:rsidRPr="00640F77">
        <w:rPr>
          <w:sz w:val="22"/>
          <w:szCs w:val="22"/>
        </w:rPr>
        <w:t xml:space="preserve"> (Cont’d) Comparison of Ex Ante and Ex Post Estimates</w:t>
      </w:r>
    </w:p>
    <w:tbl>
      <w:tblPr>
        <w:tblW w:w="915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1050"/>
        <w:gridCol w:w="810"/>
        <w:gridCol w:w="900"/>
        <w:gridCol w:w="2070"/>
        <w:gridCol w:w="900"/>
        <w:gridCol w:w="810"/>
        <w:gridCol w:w="900"/>
        <w:gridCol w:w="990"/>
        <w:gridCol w:w="720"/>
      </w:tblGrid>
      <w:tr w:rsidR="00920140" w:rsidRPr="00D7369B" w:rsidTr="00C728E5">
        <w:trPr>
          <w:cantSplit/>
        </w:trPr>
        <w:tc>
          <w:tcPr>
            <w:tcW w:w="1050" w:type="dxa"/>
            <w:tcBorders>
              <w:top w:val="single" w:sz="12" w:space="0" w:color="000000"/>
              <w:bottom w:val="single" w:sz="12" w:space="0" w:color="000000"/>
            </w:tcBorders>
            <w:shd w:val="clear" w:color="auto" w:fill="1F497D" w:themeFill="text2"/>
            <w:tcMar>
              <w:left w:w="60" w:type="dxa"/>
              <w:right w:w="60" w:type="dxa"/>
            </w:tcMar>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Participant Segment</w:t>
            </w:r>
          </w:p>
        </w:tc>
        <w:tc>
          <w:tcPr>
            <w:tcW w:w="810" w:type="dxa"/>
            <w:tcBorders>
              <w:top w:val="single" w:sz="12" w:space="0" w:color="000000"/>
              <w:bottom w:val="single" w:sz="12" w:space="0" w:color="000000"/>
            </w:tcBorders>
            <w:shd w:val="clear" w:color="auto" w:fill="1F497D" w:themeFill="text2"/>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Control Strategy</w:t>
            </w:r>
          </w:p>
        </w:tc>
        <w:tc>
          <w:tcPr>
            <w:tcW w:w="900" w:type="dxa"/>
            <w:tcBorders>
              <w:top w:val="single" w:sz="12" w:space="0" w:color="000000"/>
              <w:bottom w:val="single" w:sz="12" w:space="0" w:color="000000"/>
            </w:tcBorders>
            <w:shd w:val="clear" w:color="auto" w:fill="1F497D" w:themeFill="text2"/>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Weather Year</w:t>
            </w:r>
          </w:p>
        </w:tc>
        <w:tc>
          <w:tcPr>
            <w:tcW w:w="2070" w:type="dxa"/>
            <w:tcBorders>
              <w:top w:val="single" w:sz="12" w:space="0" w:color="000000"/>
              <w:bottom w:val="single" w:sz="12" w:space="0" w:color="000000"/>
            </w:tcBorders>
            <w:shd w:val="clear" w:color="auto" w:fill="1F497D" w:themeFill="text2"/>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Day / Type</w:t>
            </w:r>
          </w:p>
        </w:tc>
        <w:tc>
          <w:tcPr>
            <w:tcW w:w="900" w:type="dxa"/>
            <w:tcBorders>
              <w:top w:val="single" w:sz="12" w:space="0" w:color="000000"/>
              <w:bottom w:val="single" w:sz="12" w:space="0" w:color="000000"/>
            </w:tcBorders>
            <w:shd w:val="clear" w:color="auto" w:fill="1F497D" w:themeFill="text2"/>
            <w:tcMar>
              <w:left w:w="60" w:type="dxa"/>
              <w:right w:w="60" w:type="dxa"/>
            </w:tcMar>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Average Hourly Reference Load</w:t>
            </w:r>
          </w:p>
        </w:tc>
        <w:tc>
          <w:tcPr>
            <w:tcW w:w="810" w:type="dxa"/>
            <w:tcBorders>
              <w:top w:val="single" w:sz="12" w:space="0" w:color="000000"/>
              <w:bottom w:val="single" w:sz="12" w:space="0" w:color="000000"/>
            </w:tcBorders>
            <w:shd w:val="clear" w:color="auto" w:fill="1F497D" w:themeFill="text2"/>
            <w:tcMar>
              <w:left w:w="60" w:type="dxa"/>
              <w:right w:w="60" w:type="dxa"/>
            </w:tcMar>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Average Hourly Observed Load</w:t>
            </w:r>
          </w:p>
        </w:tc>
        <w:tc>
          <w:tcPr>
            <w:tcW w:w="900" w:type="dxa"/>
            <w:tcBorders>
              <w:top w:val="single" w:sz="12" w:space="0" w:color="000000"/>
              <w:bottom w:val="single" w:sz="12" w:space="0" w:color="000000"/>
            </w:tcBorders>
            <w:shd w:val="clear" w:color="auto" w:fill="1F497D" w:themeFill="text2"/>
            <w:tcMar>
              <w:left w:w="60" w:type="dxa"/>
              <w:right w:w="60" w:type="dxa"/>
            </w:tcMar>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Average Hourly Impact</w:t>
            </w:r>
          </w:p>
        </w:tc>
        <w:tc>
          <w:tcPr>
            <w:tcW w:w="990" w:type="dxa"/>
            <w:tcBorders>
              <w:top w:val="single" w:sz="12" w:space="0" w:color="000000"/>
              <w:bottom w:val="single" w:sz="12" w:space="0" w:color="000000"/>
            </w:tcBorders>
            <w:shd w:val="clear" w:color="auto" w:fill="1F497D" w:themeFill="text2"/>
            <w:tcMar>
              <w:left w:w="60" w:type="dxa"/>
              <w:right w:w="60" w:type="dxa"/>
            </w:tcMar>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Percent Load Reduction</w:t>
            </w:r>
          </w:p>
        </w:tc>
        <w:tc>
          <w:tcPr>
            <w:tcW w:w="720" w:type="dxa"/>
            <w:tcBorders>
              <w:top w:val="single" w:sz="12" w:space="0" w:color="000000"/>
              <w:bottom w:val="single" w:sz="12" w:space="0" w:color="000000"/>
            </w:tcBorders>
            <w:shd w:val="clear" w:color="auto" w:fill="1F497D" w:themeFill="text2"/>
            <w:tcMar>
              <w:left w:w="60" w:type="dxa"/>
              <w:right w:w="60" w:type="dxa"/>
            </w:tcMar>
            <w:vAlign w:val="bottom"/>
          </w:tcPr>
          <w:p w:rsidR="00920140" w:rsidRPr="00C728E5" w:rsidRDefault="00920140" w:rsidP="00D17E6A">
            <w:pPr>
              <w:keepNext/>
              <w:keepLines/>
              <w:adjustRightInd w:val="0"/>
              <w:spacing w:before="40" w:after="40"/>
              <w:jc w:val="center"/>
              <w:rPr>
                <w:b/>
                <w:bCs/>
                <w:color w:val="FFFFFF" w:themeColor="background1"/>
                <w:sz w:val="16"/>
                <w:szCs w:val="16"/>
              </w:rPr>
            </w:pPr>
            <w:r w:rsidRPr="00C728E5">
              <w:rPr>
                <w:b/>
                <w:bCs/>
                <w:color w:val="FFFFFF" w:themeColor="background1"/>
                <w:sz w:val="16"/>
                <w:szCs w:val="16"/>
              </w:rPr>
              <w:t>Average °F</w:t>
            </w:r>
          </w:p>
        </w:tc>
      </w:tr>
      <w:tr w:rsidR="00920140" w:rsidRPr="00D7369B" w:rsidTr="00C728E5">
        <w:trPr>
          <w:cantSplit/>
        </w:trPr>
        <w:tc>
          <w:tcPr>
            <w:tcW w:w="105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r w:rsidRPr="00C728E5">
              <w:rPr>
                <w:b/>
                <w:bCs/>
                <w:color w:val="FFFFFF" w:themeColor="background1"/>
                <w:sz w:val="16"/>
                <w:szCs w:val="16"/>
              </w:rPr>
              <w:t>PTR/SCTD</w:t>
            </w:r>
          </w:p>
        </w:tc>
        <w:tc>
          <w:tcPr>
            <w:tcW w:w="81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1.96</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1.53</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0.44</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22.2%</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88.35</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1-In-2</w:t>
            </w: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1.54</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1.22</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0.32</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20.7%</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82.10</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1.51</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1.20</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0.31</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20.5%</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81.58</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w:t>
            </w: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 Average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2.29</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1.85</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0.44</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19.2%</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92.49</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ALL</w:t>
            </w:r>
          </w:p>
        </w:tc>
        <w:tc>
          <w:tcPr>
            <w:tcW w:w="90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1-In-10</w:t>
            </w: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2.02</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1.51</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0.51</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25.2%</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88.30</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2.02</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1.51</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0.51</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25.3%</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88.28</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1-In-2</w:t>
            </w: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1.59</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1.21</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0.38</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23.6%</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82.07</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1.55</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1.19</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0.36</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23.4%</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81.54</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w:t>
            </w: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 Average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2.35</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1.83</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0.52</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22.0%</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92.40</w:t>
            </w:r>
          </w:p>
        </w:tc>
      </w:tr>
      <w:tr w:rsidR="00920140" w:rsidRPr="00D7369B" w:rsidTr="00C728E5">
        <w:trPr>
          <w:cantSplit/>
        </w:trPr>
        <w:tc>
          <w:tcPr>
            <w:tcW w:w="105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SCTD Only</w:t>
            </w:r>
          </w:p>
        </w:tc>
        <w:tc>
          <w:tcPr>
            <w:tcW w:w="81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4 Degree Setback</w:t>
            </w:r>
          </w:p>
        </w:tc>
        <w:tc>
          <w:tcPr>
            <w:tcW w:w="90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1-In-10</w:t>
            </w: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2.09</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1.74</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0.35</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16.9%</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88.39</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2.09</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1.73</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0.35</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17.0%</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88.39</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1-In-2</w:t>
            </w: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1.65</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1.39</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0.26</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15.8%</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82.12</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1.62</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1.36</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0.25</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15.6%</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81.60</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w:t>
            </w: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 Average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2.42</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2.08</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0.34</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14.0%</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92.38</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50% Cycle</w:t>
            </w:r>
          </w:p>
        </w:tc>
        <w:tc>
          <w:tcPr>
            <w:tcW w:w="90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1-In-10</w:t>
            </w: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1.98</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1.75</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0.24</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12.0%</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88.41</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1.98</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1.74</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0.24</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12.1%</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88.43</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1-In-2</w:t>
            </w: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1.56</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1.39</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0.18</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11.2%</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82.13</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1.53</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1.36</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0.17</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11.1%</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81.62</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w:t>
            </w: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 Average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2.29</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2.08</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0.20</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8.9%</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92.27</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ALL</w:t>
            </w:r>
          </w:p>
        </w:tc>
        <w:tc>
          <w:tcPr>
            <w:tcW w:w="90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1-In-10</w:t>
            </w: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2.05</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1.74</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0.30</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14.8%</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88.40</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2.04</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1.74</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0.30</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14.9%</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88.42</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vMerge w:val="restart"/>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1-In-2</w:t>
            </w: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Monthly System Peak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1.61</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1.39</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0.22</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13.9%</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82.13</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Typical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1.58</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1.36</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0.22</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13.7%</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81.62</w:t>
            </w:r>
          </w:p>
        </w:tc>
      </w:tr>
      <w:tr w:rsidR="00920140" w:rsidRPr="00D7369B" w:rsidTr="00C728E5">
        <w:trPr>
          <w:cantSplit/>
        </w:trPr>
        <w:tc>
          <w:tcPr>
            <w:tcW w:w="105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810" w:type="dxa"/>
            <w:vMerge/>
            <w:shd w:val="clear" w:color="auto" w:fill="1F497D" w:themeFill="text2"/>
            <w:tcMar>
              <w:left w:w="60" w:type="dxa"/>
              <w:right w:w="60" w:type="dxa"/>
            </w:tcMar>
          </w:tcPr>
          <w:p w:rsidR="00920140" w:rsidRPr="00C728E5" w:rsidRDefault="00920140" w:rsidP="00920140">
            <w:pPr>
              <w:keepNext/>
              <w:keepLines/>
              <w:adjustRightInd w:val="0"/>
              <w:spacing w:before="40" w:after="40"/>
              <w:rPr>
                <w:color w:val="FFFFFF" w:themeColor="background1"/>
                <w:sz w:val="16"/>
                <w:szCs w:val="16"/>
              </w:rPr>
            </w:pPr>
          </w:p>
        </w:tc>
        <w:tc>
          <w:tcPr>
            <w:tcW w:w="90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w:t>
            </w:r>
          </w:p>
        </w:tc>
        <w:tc>
          <w:tcPr>
            <w:tcW w:w="2070" w:type="dxa"/>
            <w:shd w:val="clear" w:color="auto" w:fill="1F497D" w:themeFill="text2"/>
            <w:tcMar>
              <w:left w:w="60" w:type="dxa"/>
              <w:right w:w="60" w:type="dxa"/>
            </w:tcMar>
          </w:tcPr>
          <w:p w:rsidR="00920140" w:rsidRPr="00C728E5" w:rsidRDefault="00920140" w:rsidP="00920140">
            <w:pPr>
              <w:keepNext/>
              <w:keepLines/>
              <w:adjustRightInd w:val="0"/>
              <w:spacing w:before="40" w:after="40"/>
              <w:rPr>
                <w:b/>
                <w:bCs/>
                <w:color w:val="FFFFFF" w:themeColor="background1"/>
                <w:sz w:val="16"/>
                <w:szCs w:val="16"/>
              </w:rPr>
            </w:pPr>
            <w:r w:rsidRPr="00C728E5">
              <w:rPr>
                <w:b/>
                <w:bCs/>
                <w:color w:val="FFFFFF" w:themeColor="background1"/>
                <w:sz w:val="16"/>
                <w:szCs w:val="16"/>
              </w:rPr>
              <w:t>Ex Post Average Event Day</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2.36</w:t>
            </w:r>
          </w:p>
        </w:tc>
        <w:tc>
          <w:tcPr>
            <w:tcW w:w="81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2.08</w:t>
            </w:r>
          </w:p>
        </w:tc>
        <w:tc>
          <w:tcPr>
            <w:tcW w:w="90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0.28</w:t>
            </w:r>
          </w:p>
        </w:tc>
        <w:tc>
          <w:tcPr>
            <w:tcW w:w="99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11.9%</w:t>
            </w:r>
          </w:p>
        </w:tc>
        <w:tc>
          <w:tcPr>
            <w:tcW w:w="720" w:type="dxa"/>
            <w:shd w:val="clear" w:color="auto" w:fill="FFFFFF"/>
            <w:tcMar>
              <w:left w:w="60" w:type="dxa"/>
              <w:right w:w="60" w:type="dxa"/>
            </w:tcMar>
            <w:vAlign w:val="bottom"/>
          </w:tcPr>
          <w:p w:rsidR="00920140" w:rsidRPr="00C728E5" w:rsidRDefault="00920140" w:rsidP="00D17E6A">
            <w:pPr>
              <w:keepNext/>
              <w:keepLines/>
              <w:adjustRightInd w:val="0"/>
              <w:spacing w:before="40" w:after="40"/>
              <w:jc w:val="center"/>
              <w:rPr>
                <w:color w:val="000000"/>
                <w:sz w:val="16"/>
                <w:szCs w:val="16"/>
              </w:rPr>
            </w:pPr>
            <w:r w:rsidRPr="00C728E5">
              <w:rPr>
                <w:color w:val="000000"/>
                <w:sz w:val="16"/>
                <w:szCs w:val="16"/>
              </w:rPr>
              <w:t>92.34</w:t>
            </w:r>
          </w:p>
        </w:tc>
      </w:tr>
    </w:tbl>
    <w:p w:rsidR="00920140" w:rsidRDefault="00920140" w:rsidP="00920140">
      <w:pPr>
        <w:pStyle w:val="Heading1"/>
        <w:numPr>
          <w:ilvl w:val="0"/>
          <w:numId w:val="0"/>
        </w:numPr>
        <w:spacing w:after="0" w:line="276" w:lineRule="auto"/>
        <w:sectPr w:rsidR="00920140" w:rsidSect="00C728E5">
          <w:pgSz w:w="12240" w:h="15840"/>
          <w:pgMar w:top="1440" w:right="1440" w:bottom="1440" w:left="1440" w:header="720" w:footer="720" w:gutter="0"/>
          <w:cols w:space="720"/>
          <w:docGrid w:linePitch="360"/>
        </w:sectPr>
      </w:pPr>
    </w:p>
    <w:p w:rsidR="00EA17E5" w:rsidRPr="0075092E" w:rsidRDefault="00EA17E5" w:rsidP="00AF5088">
      <w:pPr>
        <w:pStyle w:val="Heading1"/>
        <w:spacing w:after="0" w:line="276" w:lineRule="auto"/>
        <w:rPr>
          <w:rFonts w:ascii="Times New Roman" w:hAnsi="Times New Roman" w:cs="Times New Roman"/>
          <w:color w:val="000000" w:themeColor="text1"/>
        </w:rPr>
      </w:pPr>
      <w:bookmarkStart w:id="234" w:name="_Toc289248375"/>
      <w:bookmarkStart w:id="235" w:name="_Toc447179832"/>
      <w:r w:rsidRPr="0075092E">
        <w:rPr>
          <w:rFonts w:ascii="Times New Roman" w:hAnsi="Times New Roman" w:cs="Times New Roman"/>
          <w:color w:val="000000" w:themeColor="text1"/>
        </w:rPr>
        <w:lastRenderedPageBreak/>
        <w:t>Permanent Load Shifting</w:t>
      </w:r>
      <w:bookmarkEnd w:id="235"/>
    </w:p>
    <w:p w:rsidR="00ED7741" w:rsidRPr="0075092E" w:rsidRDefault="008D3623" w:rsidP="00AF5088">
      <w:pPr>
        <w:pStyle w:val="Heading2"/>
        <w:spacing w:after="0" w:line="276" w:lineRule="auto"/>
        <w:rPr>
          <w:rFonts w:ascii="Times New Roman" w:hAnsi="Times New Roman" w:cs="Times New Roman"/>
          <w:color w:val="000000" w:themeColor="text1"/>
        </w:rPr>
      </w:pPr>
      <w:bookmarkStart w:id="236" w:name="_Toc351990602"/>
      <w:bookmarkStart w:id="237" w:name="_Toc352084183"/>
      <w:bookmarkStart w:id="238" w:name="_Toc447179833"/>
      <w:r w:rsidRPr="0075092E">
        <w:rPr>
          <w:rFonts w:ascii="Times New Roman" w:hAnsi="Times New Roman" w:cs="Times New Roman"/>
          <w:color w:val="000000" w:themeColor="text1"/>
        </w:rPr>
        <w:t xml:space="preserve">PLS </w:t>
      </w:r>
      <w:r w:rsidR="00ED7741" w:rsidRPr="0075092E">
        <w:rPr>
          <w:rFonts w:ascii="Times New Roman" w:hAnsi="Times New Roman" w:cs="Times New Roman"/>
          <w:color w:val="000000" w:themeColor="text1"/>
        </w:rPr>
        <w:t>Program Overview</w:t>
      </w:r>
      <w:bookmarkEnd w:id="236"/>
      <w:bookmarkEnd w:id="237"/>
      <w:bookmarkEnd w:id="238"/>
    </w:p>
    <w:p w:rsidR="00ED7741" w:rsidRPr="0075092E" w:rsidRDefault="00ED7741" w:rsidP="00AF5088">
      <w:pPr>
        <w:pStyle w:val="ListParagraph"/>
        <w:spacing w:line="276" w:lineRule="auto"/>
        <w:ind w:left="-144"/>
        <w:rPr>
          <w:color w:val="000000" w:themeColor="text1"/>
        </w:rPr>
      </w:pPr>
    </w:p>
    <w:p w:rsidR="00D060AD" w:rsidRPr="00B777EF" w:rsidRDefault="00D060AD" w:rsidP="00B073DC">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The PLS program provides a one-time incentive payment ($875/kW) to customers who install qualifying PLS technology on chilled water cooling units (which differ substantially from typical central air conditioning units).  Incentives will be determined based on the designed peak load shift capability of the system and the installation must undergo a feasibility study by a qualified engineer.  The load shift is typically accomplished completely through substituting overnight chiller load for daytime chiller load.  All customers are eligible for the program, including residential, commercial, industrial, agricultural, direct access and Community Choice Aggregation customers.</w:t>
      </w:r>
    </w:p>
    <w:p w:rsidR="00D060AD" w:rsidRPr="00B777EF" w:rsidRDefault="00212601" w:rsidP="00B073DC">
      <w:pPr>
        <w:pStyle w:val="BodyBeforeBullet"/>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In order t</w:t>
      </w:r>
      <w:r w:rsidR="00D060AD" w:rsidRPr="00B777EF">
        <w:rPr>
          <w:rFonts w:ascii="Times New Roman" w:hAnsi="Times New Roman"/>
          <w:color w:val="000000" w:themeColor="text1"/>
          <w:sz w:val="24"/>
          <w:szCs w:val="24"/>
        </w:rPr>
        <w:t>o qualify for the PLS program incentive payment, customers must go through the program application and verification process, which includes all of the stages that are required for customers to apply for, and receive a verified incentive amount.  These stages are:</w:t>
      </w:r>
    </w:p>
    <w:p w:rsidR="00212601" w:rsidRPr="00B777EF" w:rsidRDefault="00212601" w:rsidP="00B073DC">
      <w:pPr>
        <w:pStyle w:val="Bullets"/>
        <w:numPr>
          <w:ilvl w:val="0"/>
          <w:numId w:val="0"/>
        </w:numPr>
        <w:spacing w:after="0" w:line="276" w:lineRule="auto"/>
        <w:ind w:firstLine="360"/>
        <w:rPr>
          <w:color w:val="000000" w:themeColor="text1"/>
        </w:rPr>
      </w:pPr>
    </w:p>
    <w:p w:rsidR="00D060AD" w:rsidRPr="00B777EF" w:rsidRDefault="00D060AD" w:rsidP="00B9660B">
      <w:pPr>
        <w:pStyle w:val="Bullets"/>
        <w:numPr>
          <w:ilvl w:val="0"/>
          <w:numId w:val="10"/>
        </w:numPr>
        <w:spacing w:after="0" w:line="276" w:lineRule="auto"/>
        <w:ind w:left="0" w:firstLine="360"/>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Customer submits application</w:t>
      </w:r>
    </w:p>
    <w:p w:rsidR="00D060AD" w:rsidRPr="00B777EF" w:rsidRDefault="00D060AD" w:rsidP="00B9660B">
      <w:pPr>
        <w:pStyle w:val="Bullets"/>
        <w:numPr>
          <w:ilvl w:val="0"/>
          <w:numId w:val="10"/>
        </w:numPr>
        <w:spacing w:after="0" w:line="276" w:lineRule="auto"/>
        <w:ind w:left="0" w:firstLine="360"/>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IOU approves application and sets aside incentive funds</w:t>
      </w:r>
    </w:p>
    <w:p w:rsidR="00D060AD" w:rsidRPr="00B777EF" w:rsidRDefault="00D060AD" w:rsidP="00B9660B">
      <w:pPr>
        <w:pStyle w:val="Bullets"/>
        <w:numPr>
          <w:ilvl w:val="0"/>
          <w:numId w:val="10"/>
        </w:numPr>
        <w:spacing w:after="0" w:line="276" w:lineRule="auto"/>
        <w:ind w:left="0" w:firstLine="360"/>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Customer submits feasibility study</w:t>
      </w:r>
    </w:p>
    <w:p w:rsidR="00D060AD" w:rsidRPr="00B777EF" w:rsidRDefault="00D060AD" w:rsidP="00B9660B">
      <w:pPr>
        <w:pStyle w:val="Bullets"/>
        <w:numPr>
          <w:ilvl w:val="0"/>
          <w:numId w:val="10"/>
        </w:numPr>
        <w:spacing w:after="0" w:line="276" w:lineRule="auto"/>
        <w:ind w:left="0" w:firstLine="360"/>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IOU reviews feasibility study</w:t>
      </w:r>
    </w:p>
    <w:p w:rsidR="00D060AD" w:rsidRPr="00B777EF" w:rsidRDefault="00D060AD" w:rsidP="00B9660B">
      <w:pPr>
        <w:pStyle w:val="Bullets"/>
        <w:numPr>
          <w:ilvl w:val="0"/>
          <w:numId w:val="10"/>
        </w:numPr>
        <w:spacing w:after="0" w:line="276" w:lineRule="auto"/>
        <w:ind w:left="0" w:firstLine="360"/>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IOU conducts pre-installation inspection</w:t>
      </w:r>
    </w:p>
    <w:p w:rsidR="00D060AD" w:rsidRPr="00B777EF" w:rsidRDefault="00D060AD" w:rsidP="00B9660B">
      <w:pPr>
        <w:pStyle w:val="Bullets"/>
        <w:numPr>
          <w:ilvl w:val="0"/>
          <w:numId w:val="10"/>
        </w:numPr>
        <w:spacing w:after="0" w:line="276" w:lineRule="auto"/>
        <w:ind w:left="0" w:firstLine="360"/>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IOU and customer sign agreement</w:t>
      </w:r>
    </w:p>
    <w:p w:rsidR="00D060AD" w:rsidRPr="00B777EF" w:rsidRDefault="00D060AD" w:rsidP="00B9660B">
      <w:pPr>
        <w:pStyle w:val="Bullets"/>
        <w:numPr>
          <w:ilvl w:val="0"/>
          <w:numId w:val="10"/>
        </w:numPr>
        <w:spacing w:after="0" w:line="276" w:lineRule="auto"/>
        <w:ind w:left="0" w:firstLine="360"/>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Customer installs PLS system</w:t>
      </w:r>
    </w:p>
    <w:p w:rsidR="00D060AD" w:rsidRPr="00B777EF" w:rsidRDefault="00D060AD" w:rsidP="00B9660B">
      <w:pPr>
        <w:pStyle w:val="Bullets"/>
        <w:numPr>
          <w:ilvl w:val="0"/>
          <w:numId w:val="10"/>
        </w:numPr>
        <w:spacing w:after="0" w:line="276" w:lineRule="auto"/>
        <w:ind w:left="0" w:firstLine="360"/>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IOU conducts post-installation inspection</w:t>
      </w:r>
    </w:p>
    <w:p w:rsidR="00D060AD" w:rsidRPr="00B777EF" w:rsidRDefault="00D060AD" w:rsidP="00B9660B">
      <w:pPr>
        <w:pStyle w:val="BulletLast"/>
        <w:numPr>
          <w:ilvl w:val="0"/>
          <w:numId w:val="10"/>
        </w:numPr>
        <w:spacing w:after="0" w:line="276" w:lineRule="auto"/>
        <w:ind w:left="0" w:firstLine="360"/>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Customer receives PLS program incentive</w:t>
      </w:r>
    </w:p>
    <w:p w:rsidR="00D060AD" w:rsidRPr="00B777EF" w:rsidRDefault="00D060AD" w:rsidP="00B073DC">
      <w:pPr>
        <w:pStyle w:val="BodyParagraph"/>
        <w:spacing w:after="0" w:line="276" w:lineRule="auto"/>
        <w:ind w:firstLine="360"/>
        <w:rPr>
          <w:rFonts w:ascii="Times New Roman" w:hAnsi="Times New Roman"/>
          <w:color w:val="000000" w:themeColor="text1"/>
          <w:sz w:val="24"/>
          <w:szCs w:val="24"/>
        </w:rPr>
      </w:pPr>
    </w:p>
    <w:p w:rsidR="00D060AD" w:rsidRPr="00B777EF" w:rsidRDefault="00D060AD" w:rsidP="00B073DC">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After a customer submits an application and the utility approves the application, customers participating in the program must provide, in advance of installation, an engineering feasibility study. This study will include an estimated cooling profile.  Energy models will be used to determine a customer's cooling load profile over a year (8,760 hours).  To accomplish this, building simulation models will be used to determine hourly cooling needs over the course of a year, based on building specifications, regional temperatures, occupancy and other inputs.  Both retrofit and new construction customers will be subjected to the energy modeling process, unless utility approved cooling usage data is available.</w:t>
      </w:r>
    </w:p>
    <w:p w:rsidR="00B37736" w:rsidRPr="00B777EF" w:rsidRDefault="00B37736" w:rsidP="00B073DC">
      <w:pPr>
        <w:pStyle w:val="BodyParagraph"/>
        <w:spacing w:after="0" w:line="276" w:lineRule="auto"/>
        <w:ind w:firstLine="360"/>
        <w:rPr>
          <w:rFonts w:ascii="Times New Roman" w:hAnsi="Times New Roman"/>
          <w:color w:val="000000" w:themeColor="text1"/>
          <w:sz w:val="24"/>
          <w:szCs w:val="24"/>
        </w:rPr>
      </w:pPr>
    </w:p>
    <w:p w:rsidR="00D060AD" w:rsidRPr="00B777EF" w:rsidRDefault="00D060AD" w:rsidP="00B073DC">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The total incentive amount will be determined using a customer’s peak load shift on their maximum cooling demand day (based on the on-peak hours).  A conversion factor will be used to convert the cooling load shift tons to electricity load shift (kW).  This methodology will be used for both full and partial storage systems.  The incentive levels for the program are $875/kW for all IOUs.  </w:t>
      </w:r>
    </w:p>
    <w:p w:rsidR="00D060AD" w:rsidRPr="00B777EF" w:rsidRDefault="00D060AD" w:rsidP="00B073DC">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lastRenderedPageBreak/>
        <w:t xml:space="preserve">The incentive payments are intended to offset the cost of installation and thereby make the system more attractive financially.  Under the program rules, the incentive cannot exceed 50% of the installation cost for a given customer, and the incentive for a given site cannot exceed $1.5M.  Customers’ incentives will be determined as the least of (1) the incentive reservation amount calculated from the system design, (2) 50% of the actual final installed project cost or (3) $1.5M.  In addition, customers will be required to be on a time-of-use (TOU) rate for the first five years after installation.  </w:t>
      </w:r>
    </w:p>
    <w:p w:rsidR="00D060AD" w:rsidRPr="00B777EF" w:rsidRDefault="00D060AD" w:rsidP="00B073DC">
      <w:pPr>
        <w:pStyle w:val="BodyParagraph"/>
        <w:spacing w:after="0" w:line="276" w:lineRule="auto"/>
        <w:ind w:firstLine="360"/>
        <w:rPr>
          <w:rFonts w:ascii="Times New Roman" w:hAnsi="Times New Roman"/>
          <w:color w:val="000000" w:themeColor="text1"/>
          <w:sz w:val="24"/>
          <w:szCs w:val="24"/>
        </w:rPr>
      </w:pPr>
    </w:p>
    <w:p w:rsidR="00D060AD" w:rsidRPr="00B777EF" w:rsidRDefault="00D060AD" w:rsidP="00B073DC">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Customers are required to run the PLS system during all weekday peak periods during summer months (May1 –October 31) from 11am through 6pm. PLS program participants may also shift load during non-summer months, in case cooling is needed during those months.  For process cooling installations, cooling may be needed year round.  </w:t>
      </w:r>
    </w:p>
    <w:p w:rsidR="004A4563" w:rsidRPr="00B777EF" w:rsidRDefault="004A4563" w:rsidP="00AF5088">
      <w:pPr>
        <w:pStyle w:val="Heading2"/>
        <w:spacing w:after="0" w:line="276" w:lineRule="auto"/>
        <w:rPr>
          <w:rFonts w:ascii="Times New Roman" w:hAnsi="Times New Roman" w:cs="Times New Roman"/>
          <w:color w:val="000000" w:themeColor="text1"/>
        </w:rPr>
      </w:pPr>
      <w:bookmarkStart w:id="239" w:name="_Toc447179834"/>
      <w:r w:rsidRPr="00B777EF">
        <w:rPr>
          <w:rFonts w:ascii="Times New Roman" w:hAnsi="Times New Roman" w:cs="Times New Roman"/>
          <w:color w:val="000000" w:themeColor="text1"/>
        </w:rPr>
        <w:t xml:space="preserve">PLS Ex-Ante </w:t>
      </w:r>
      <w:r w:rsidR="001F1158" w:rsidRPr="00B777EF">
        <w:rPr>
          <w:rFonts w:ascii="Times New Roman" w:hAnsi="Times New Roman" w:cs="Times New Roman"/>
          <w:color w:val="000000" w:themeColor="text1"/>
        </w:rPr>
        <w:t xml:space="preserve">Evaluation </w:t>
      </w:r>
      <w:r w:rsidR="00493445" w:rsidRPr="00B777EF">
        <w:rPr>
          <w:rFonts w:ascii="Times New Roman" w:hAnsi="Times New Roman" w:cs="Times New Roman"/>
          <w:color w:val="000000" w:themeColor="text1"/>
        </w:rPr>
        <w:t>M</w:t>
      </w:r>
      <w:r w:rsidRPr="00B777EF">
        <w:rPr>
          <w:rFonts w:ascii="Times New Roman" w:hAnsi="Times New Roman" w:cs="Times New Roman"/>
          <w:color w:val="000000" w:themeColor="text1"/>
        </w:rPr>
        <w:t>ethodology</w:t>
      </w:r>
      <w:bookmarkEnd w:id="239"/>
    </w:p>
    <w:p w:rsidR="00ED7741" w:rsidRPr="00B777EF" w:rsidRDefault="00ED7741" w:rsidP="00AF5088">
      <w:pPr>
        <w:pStyle w:val="BodyParagraph"/>
        <w:spacing w:after="0" w:line="276" w:lineRule="auto"/>
        <w:ind w:firstLine="360"/>
        <w:rPr>
          <w:rFonts w:ascii="Times New Roman" w:hAnsi="Times New Roman"/>
          <w:b/>
          <w:color w:val="000000" w:themeColor="text1"/>
          <w:sz w:val="24"/>
          <w:szCs w:val="24"/>
        </w:rPr>
      </w:pPr>
    </w:p>
    <w:p w:rsidR="004B5613" w:rsidRPr="00B777EF" w:rsidRDefault="00925AC6" w:rsidP="00421EED">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The PLS program evaluation used two different methodologies for estimating </w:t>
      </w:r>
      <w:r w:rsidR="00E46994"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load impacts for </w:t>
      </w:r>
      <w:r w:rsidR="005854B2" w:rsidRPr="00B777EF">
        <w:rPr>
          <w:rFonts w:ascii="Times New Roman" w:hAnsi="Times New Roman"/>
          <w:color w:val="000000" w:themeColor="text1"/>
          <w:sz w:val="24"/>
          <w:szCs w:val="24"/>
        </w:rPr>
        <w:t xml:space="preserve">unidentified projects and </w:t>
      </w:r>
      <w:r w:rsidRPr="00B777EF">
        <w:rPr>
          <w:rFonts w:ascii="Times New Roman" w:hAnsi="Times New Roman"/>
          <w:color w:val="000000" w:themeColor="text1"/>
          <w:sz w:val="24"/>
          <w:szCs w:val="24"/>
        </w:rPr>
        <w:t xml:space="preserve">identified projects.  </w:t>
      </w:r>
    </w:p>
    <w:p w:rsidR="00925AC6" w:rsidRPr="00B777EF" w:rsidRDefault="00925AC6" w:rsidP="00421EED">
      <w:pPr>
        <w:pStyle w:val="BodyParagraph"/>
        <w:spacing w:after="0" w:line="276" w:lineRule="auto"/>
        <w:ind w:firstLine="360"/>
        <w:rPr>
          <w:rFonts w:ascii="Times New Roman" w:hAnsi="Times New Roman"/>
          <w:color w:val="000000" w:themeColor="text1"/>
          <w:sz w:val="24"/>
          <w:szCs w:val="24"/>
        </w:rPr>
      </w:pPr>
    </w:p>
    <w:p w:rsidR="004B5613" w:rsidRPr="00B777EF" w:rsidRDefault="004B5613" w:rsidP="00421EED">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i/>
          <w:color w:val="000000" w:themeColor="text1"/>
          <w:sz w:val="24"/>
          <w:szCs w:val="24"/>
        </w:rPr>
        <w:t>Unidentified projects:</w:t>
      </w:r>
      <w:r w:rsidRPr="00B777EF">
        <w:rPr>
          <w:rFonts w:ascii="Times New Roman" w:hAnsi="Times New Roman"/>
          <w:color w:val="000000" w:themeColor="text1"/>
          <w:sz w:val="24"/>
          <w:szCs w:val="24"/>
        </w:rPr>
        <w:t xml:space="preserve"> </w:t>
      </w:r>
      <w:r w:rsidR="00D23FCC" w:rsidRPr="00B777EF">
        <w:rPr>
          <w:rFonts w:ascii="Times New Roman" w:hAnsi="Times New Roman"/>
          <w:color w:val="000000" w:themeColor="text1"/>
          <w:sz w:val="24"/>
          <w:szCs w:val="24"/>
        </w:rPr>
        <w:t>In addition to customers who have already submitted application it is expected that new customer will apply as well (unidentified projects). Load impacts for unidentified projects are based on assumptions developed with the utility PLS program managers and EM&amp;V staff. T</w:t>
      </w:r>
      <w:r w:rsidRPr="00B777EF">
        <w:rPr>
          <w:rFonts w:ascii="Times New Roman" w:hAnsi="Times New Roman"/>
          <w:color w:val="000000" w:themeColor="text1"/>
          <w:sz w:val="24"/>
          <w:szCs w:val="24"/>
        </w:rPr>
        <w:t>he main uncertainty is the number and size of projects that will be included in the program, a range of scenarios was generated for each IOU in order to capture the uncertainty related to market adoption of PLS technologies.</w:t>
      </w:r>
    </w:p>
    <w:p w:rsidR="004B5613" w:rsidRPr="00B777EF" w:rsidRDefault="004B5613" w:rsidP="00421EED">
      <w:pPr>
        <w:pStyle w:val="BodyParagraph"/>
        <w:spacing w:after="0" w:line="276" w:lineRule="auto"/>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Figure </w:t>
      </w:r>
      <w:r w:rsidR="00136E4F" w:rsidRPr="00B777EF">
        <w:rPr>
          <w:rFonts w:ascii="Times New Roman" w:hAnsi="Times New Roman"/>
          <w:color w:val="000000" w:themeColor="text1"/>
          <w:sz w:val="24"/>
          <w:szCs w:val="24"/>
        </w:rPr>
        <w:t>8</w:t>
      </w:r>
      <w:r w:rsidRPr="00B777EF">
        <w:rPr>
          <w:rFonts w:ascii="Times New Roman" w:hAnsi="Times New Roman"/>
          <w:color w:val="000000" w:themeColor="text1"/>
          <w:sz w:val="24"/>
          <w:szCs w:val="24"/>
        </w:rPr>
        <w:t xml:space="preserve">-1 summarizes the methodology for estimating </w:t>
      </w:r>
      <w:r w:rsidR="00E46994"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load impacts for unidentified PLS projects.  The three steps for estimating </w:t>
      </w:r>
      <w:r w:rsidR="00E46994"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load impacts for unidentified projects are:</w:t>
      </w:r>
    </w:p>
    <w:p w:rsidR="009C3973" w:rsidRPr="00B777EF" w:rsidRDefault="009C3973" w:rsidP="00421EED">
      <w:pPr>
        <w:pStyle w:val="BodyParagraph"/>
        <w:spacing w:after="0" w:line="276" w:lineRule="auto"/>
        <w:rPr>
          <w:rFonts w:ascii="Times New Roman" w:hAnsi="Times New Roman"/>
          <w:color w:val="000000" w:themeColor="text1"/>
          <w:sz w:val="24"/>
          <w:szCs w:val="24"/>
        </w:rPr>
      </w:pPr>
    </w:p>
    <w:p w:rsidR="000D5959" w:rsidRPr="00B777EF" w:rsidRDefault="004B5613" w:rsidP="008223AC">
      <w:pPr>
        <w:pStyle w:val="ListParagraph"/>
        <w:numPr>
          <w:ilvl w:val="0"/>
          <w:numId w:val="11"/>
        </w:numPr>
        <w:rPr>
          <w:color w:val="000000" w:themeColor="text1"/>
        </w:rPr>
      </w:pPr>
      <w:r w:rsidRPr="00B777EF">
        <w:rPr>
          <w:b/>
          <w:color w:val="000000" w:themeColor="text1"/>
        </w:rPr>
        <w:t xml:space="preserve">Step 1 </w:t>
      </w:r>
      <w:r w:rsidR="008223AC" w:rsidRPr="00B777EF">
        <w:rPr>
          <w:color w:val="000000" w:themeColor="text1"/>
        </w:rPr>
        <w:t>involves forecasting the available amount of incentive dollars that will be spent on unidentified projects for each IOU. The first key input for this calculation was the total PLS incentive budget for each IOU. The budget that has been awarded to operational projects or committed to identified projects was subtracted from the total incentive budget amount. Then, the remaining budget for unidentified projects was multiplied by the percentage of each IOU’s budget that will be committed to projects by the end of 2016, under the low, base case and high scenarios.  This produced the forecast of incentives available to be spent on unidentified projects.</w:t>
      </w:r>
    </w:p>
    <w:p w:rsidR="004B5613" w:rsidRPr="00B777EF" w:rsidRDefault="004B5613" w:rsidP="000D5959">
      <w:pPr>
        <w:pStyle w:val="BodyParagraph"/>
        <w:spacing w:after="0" w:line="276" w:lineRule="auto"/>
        <w:ind w:left="720"/>
        <w:rPr>
          <w:rFonts w:ascii="Times New Roman" w:hAnsi="Times New Roman"/>
          <w:color w:val="000000" w:themeColor="text1"/>
          <w:sz w:val="24"/>
          <w:szCs w:val="24"/>
        </w:rPr>
      </w:pPr>
    </w:p>
    <w:p w:rsidR="008223AC" w:rsidRPr="00B777EF" w:rsidRDefault="000D5959" w:rsidP="008223AC">
      <w:pPr>
        <w:pStyle w:val="Bullets"/>
        <w:rPr>
          <w:rFonts w:ascii="Times New Roman" w:hAnsi="Times New Roman" w:cs="Times New Roman"/>
          <w:color w:val="000000" w:themeColor="text1"/>
          <w:sz w:val="24"/>
          <w:szCs w:val="24"/>
        </w:rPr>
      </w:pPr>
      <w:r w:rsidRPr="00B777EF">
        <w:rPr>
          <w:rFonts w:ascii="Times New Roman" w:hAnsi="Times New Roman" w:cs="Times New Roman"/>
          <w:b/>
          <w:color w:val="000000" w:themeColor="text1"/>
          <w:sz w:val="24"/>
          <w:szCs w:val="24"/>
        </w:rPr>
        <w:t xml:space="preserve">Step 2 </w:t>
      </w:r>
      <w:r w:rsidR="008223AC" w:rsidRPr="00B777EF">
        <w:rPr>
          <w:rFonts w:ascii="Times New Roman" w:hAnsi="Times New Roman" w:cs="Times New Roman"/>
          <w:color w:val="000000" w:themeColor="text1"/>
          <w:sz w:val="24"/>
          <w:szCs w:val="24"/>
        </w:rPr>
        <w:t xml:space="preserve">converts the incentive dollar forecast into the ex ante load impact estimates. To do this, the forecast of incentive dollars spent on unidentified projects was divided by the incentive amount per kW load shift ($875/kW). This kW load shift amount represents the peak load shift  that can be expected under hot, maximum cooling load, weather conditions. The kW load shift was multiplied by the ex ante conversion factors, which converted the load shift under the incentive payment, maximum cooling load and weather </w:t>
      </w:r>
      <w:r w:rsidR="008223AC" w:rsidRPr="00B777EF">
        <w:rPr>
          <w:rFonts w:ascii="Times New Roman" w:hAnsi="Times New Roman" w:cs="Times New Roman"/>
          <w:color w:val="000000" w:themeColor="text1"/>
          <w:sz w:val="24"/>
          <w:szCs w:val="24"/>
        </w:rPr>
        <w:lastRenderedPageBreak/>
        <w:t>conditions to the ex ante load impact estimates for monthly system peak days and average weekdays under 1-in-2 year and 1-in-10 year weather conditions (as per the California DR Load Impact Protocols). The conversion factors were re-estimated for the PY2014 evaluation based on updated building simulation models and newly developed 1-in-2 and 1-in-10 year weather data that addressed the new requirement for reporting results for the CAISO system peak in addition to the IOU system peak.</w:t>
      </w:r>
    </w:p>
    <w:p w:rsidR="00D23221" w:rsidRPr="00B777EF" w:rsidRDefault="000D5959" w:rsidP="008223AC">
      <w:pPr>
        <w:pStyle w:val="BulletLast"/>
        <w:rPr>
          <w:rFonts w:ascii="Times New Roman" w:hAnsi="Times New Roman"/>
          <w:color w:val="000000" w:themeColor="text1"/>
          <w:sz w:val="24"/>
          <w:szCs w:val="24"/>
        </w:rPr>
      </w:pPr>
      <w:r w:rsidRPr="00B777EF">
        <w:rPr>
          <w:rFonts w:ascii="Times New Roman" w:hAnsi="Times New Roman" w:cs="Times New Roman"/>
          <w:b/>
          <w:color w:val="000000" w:themeColor="text1"/>
          <w:sz w:val="24"/>
          <w:szCs w:val="24"/>
        </w:rPr>
        <w:t>Step 3</w:t>
      </w:r>
      <w:r w:rsidRPr="00B777EF">
        <w:rPr>
          <w:rFonts w:ascii="Times New Roman" w:hAnsi="Times New Roman" w:cs="Times New Roman"/>
          <w:color w:val="000000" w:themeColor="text1"/>
          <w:sz w:val="24"/>
          <w:szCs w:val="24"/>
        </w:rPr>
        <w:t xml:space="preserve"> </w:t>
      </w:r>
      <w:r w:rsidR="008223AC" w:rsidRPr="00B777EF">
        <w:rPr>
          <w:rFonts w:ascii="Times New Roman" w:hAnsi="Times New Roman" w:cs="Times New Roman"/>
          <w:color w:val="000000" w:themeColor="text1"/>
          <w:sz w:val="24"/>
          <w:szCs w:val="24"/>
        </w:rPr>
        <w:t>forecasts when each PLS-TES installation is expected to come online based on slightly different assumptions for each utility (described below). The time between when an application is received and when the installation and verification are completed varies from 8 to 24 months, so projects are not expected to come online until 2016 or later. Over time, the load shifting capacity of the PLS-TES technologies is expected to degrade as the system ages. The forecasts assume that five years after each forecasted PLS-TES installation, the ex ante impacts begin to degrade at a rate of 2.5% per year. This assumption was made in consultation with program managers and it is consistent with last year’s evaluation.</w:t>
      </w:r>
    </w:p>
    <w:p w:rsidR="004B5613" w:rsidRPr="0075092E" w:rsidRDefault="004B5613" w:rsidP="004B5613">
      <w:pPr>
        <w:pStyle w:val="TableFigureCaption"/>
        <w:rPr>
          <w:rFonts w:ascii="Times New Roman" w:hAnsi="Times New Roman"/>
          <w:color w:val="000000" w:themeColor="text1"/>
          <w:sz w:val="20"/>
          <w:szCs w:val="20"/>
        </w:rPr>
      </w:pPr>
      <w:r w:rsidRPr="0075092E">
        <w:rPr>
          <w:rFonts w:ascii="Times New Roman" w:hAnsi="Times New Roman"/>
          <w:color w:val="000000" w:themeColor="text1"/>
          <w:sz w:val="20"/>
          <w:szCs w:val="20"/>
        </w:rPr>
        <w:t xml:space="preserve">Figure </w:t>
      </w:r>
      <w:r w:rsidR="00136E4F">
        <w:rPr>
          <w:rFonts w:ascii="Times New Roman" w:hAnsi="Times New Roman"/>
          <w:color w:val="000000" w:themeColor="text1"/>
          <w:sz w:val="20"/>
          <w:szCs w:val="20"/>
        </w:rPr>
        <w:t>8</w:t>
      </w:r>
      <w:r w:rsidRPr="0075092E">
        <w:rPr>
          <w:rFonts w:ascii="Times New Roman" w:hAnsi="Times New Roman"/>
          <w:color w:val="000000" w:themeColor="text1"/>
          <w:sz w:val="20"/>
          <w:szCs w:val="20"/>
        </w:rPr>
        <w:t xml:space="preserve">-1: Methodology for Estimating </w:t>
      </w:r>
      <w:r w:rsidR="00E46994" w:rsidRPr="0075092E">
        <w:rPr>
          <w:rFonts w:ascii="Times New Roman" w:hAnsi="Times New Roman"/>
          <w:color w:val="000000" w:themeColor="text1"/>
          <w:sz w:val="20"/>
          <w:szCs w:val="20"/>
        </w:rPr>
        <w:t>Ex-ante</w:t>
      </w:r>
      <w:r w:rsidRPr="0075092E">
        <w:rPr>
          <w:rFonts w:ascii="Times New Roman" w:hAnsi="Times New Roman"/>
          <w:color w:val="000000" w:themeColor="text1"/>
          <w:sz w:val="20"/>
          <w:szCs w:val="20"/>
        </w:rPr>
        <w:t xml:space="preserve"> Load Impacts of Unidentified PLS Projects</w:t>
      </w:r>
    </w:p>
    <w:p w:rsidR="00BD6519" w:rsidRPr="0075092E" w:rsidRDefault="000D5959" w:rsidP="00D23221">
      <w:pPr>
        <w:pStyle w:val="BodyParagraph"/>
        <w:spacing w:after="0" w:line="276" w:lineRule="auto"/>
        <w:ind w:firstLine="360"/>
        <w:jc w:val="center"/>
        <w:rPr>
          <w:color w:val="000000" w:themeColor="text1"/>
        </w:rPr>
      </w:pPr>
      <w:r>
        <w:rPr>
          <w:noProof/>
        </w:rPr>
        <w:drawing>
          <wp:inline distT="0" distB="0" distL="0" distR="0" wp14:anchorId="4883500F" wp14:editId="70A31F2C">
            <wp:extent cx="5943600" cy="29718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cess flow 2.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943600" cy="2971800"/>
                    </a:xfrm>
                    <a:prstGeom prst="rect">
                      <a:avLst/>
                    </a:prstGeom>
                  </pic:spPr>
                </pic:pic>
              </a:graphicData>
            </a:graphic>
          </wp:inline>
        </w:drawing>
      </w:r>
    </w:p>
    <w:p w:rsidR="005854B2" w:rsidRPr="0075092E" w:rsidRDefault="005854B2" w:rsidP="00D23221">
      <w:pPr>
        <w:pStyle w:val="BodyParagraph"/>
        <w:spacing w:after="0" w:line="276" w:lineRule="auto"/>
        <w:ind w:firstLine="360"/>
        <w:jc w:val="center"/>
        <w:rPr>
          <w:color w:val="000000" w:themeColor="text1"/>
        </w:rPr>
      </w:pPr>
    </w:p>
    <w:p w:rsidR="00384313" w:rsidRPr="00B777EF" w:rsidRDefault="00384313" w:rsidP="000C7FF9">
      <w:pPr>
        <w:pStyle w:val="BodyParaAfterTableFigure"/>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The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conversion factors were used to convert the load shift under the incentive payment, maximum cooling load and weather conditions to the load shift that can be expected under the various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temperature scenarios. The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temperature scenarios include the monthly system peak days and average weekdays under 1-in-2 year and 1-in-10 year weather conditions for the utility specific and CAISO peak.  Essentially, the conversion factors facilitate the estimation of the PLS-TES load impacts under a variety of different weather conditions with ease and efficiency. The analysis shows that relative usage values across different weather </w:t>
      </w:r>
      <w:r w:rsidRPr="00B777EF">
        <w:rPr>
          <w:rFonts w:ascii="Times New Roman" w:hAnsi="Times New Roman"/>
          <w:color w:val="000000" w:themeColor="text1"/>
          <w:sz w:val="24"/>
          <w:szCs w:val="24"/>
        </w:rPr>
        <w:lastRenderedPageBreak/>
        <w:t xml:space="preserve">conditions are basically insensitive to building characteristics, and the ratio for a given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condition hardly changes as the building characteristics vary substantially.  This relationship is a critical factor in the evaluation, and the current conversion factor approach would need to be modified if this weren’t the case.</w:t>
      </w:r>
    </w:p>
    <w:p w:rsidR="00384313" w:rsidRPr="00B777EF" w:rsidRDefault="00384313" w:rsidP="000C7FF9">
      <w:pPr>
        <w:pStyle w:val="BodyParagraph"/>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It is important to note that these conversion factors were developed with building simulation models of space cooling installations.  Some of the applications that have been received thus far also include process cooling installations, which have load profiles that frequently differ from the typical space cooling profile.  Unfortunately, the process cooling installations do not make good candidates for generalized modeling because they are highly customized by industry and location; in addition, while space cooling loads exhibit significant seasonality due to temperature variation, process cooling loads may vary seasonally by temperature and changes in the underlying production process. The weather sensitivity of the currently modeled process cooling applications was analyzed, and the range of sensitivity in terms of the percentage difference in cooling load between 1-in-2 and 1-in-10 monthly peak days exhibit similar upper and lower limits to commercial AC cycling programs.  For the sake of simplicity, lack of generalizability of the process cooling installations and similarity in weather sensitivity ranges, space cooling building simulation models were used to develop the conversion factors for both space cooling and process cooling installations.</w:t>
      </w:r>
    </w:p>
    <w:p w:rsidR="00384313" w:rsidRPr="00B777EF" w:rsidRDefault="00384313" w:rsidP="000C7FF9">
      <w:pPr>
        <w:pStyle w:val="BodyBeforeBullet"/>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The forecast of incentive dollars spent on unidentified projects was used to estimate PLS program enrollment, which is defined as the number of PLS-TES installations that have come online.  Before a project comes online, customers must go through the application and verification process, during which some customers may drop off.  Therefore, customers are not defined as enrolled until their PLS-TES installation has come online.  Nonetheless, for each IOU, the applications that have been received were used to inform assumptions about the following:</w:t>
      </w:r>
    </w:p>
    <w:p w:rsidR="00384313" w:rsidRPr="00B777EF" w:rsidRDefault="00384313" w:rsidP="00384313">
      <w:pPr>
        <w:pStyle w:val="Bullets"/>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Peak load shift of typical unidentified projects;</w:t>
      </w:r>
    </w:p>
    <w:p w:rsidR="00384313" w:rsidRPr="00B777EF" w:rsidRDefault="00384313" w:rsidP="00384313">
      <w:pPr>
        <w:pStyle w:val="Bullets"/>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Number of projects of each size; and</w:t>
      </w:r>
    </w:p>
    <w:p w:rsidR="00384313" w:rsidRPr="00B777EF" w:rsidRDefault="00384313" w:rsidP="00384313">
      <w:pPr>
        <w:pStyle w:val="BulletLast"/>
        <w:spacing w:after="240"/>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Expected project installation and verification timeline (the time between when an application is received and when the installation and verification are completed).</w:t>
      </w:r>
    </w:p>
    <w:p w:rsidR="00384313" w:rsidRPr="00B777EF" w:rsidRDefault="00384313" w:rsidP="000C7FF9">
      <w:pPr>
        <w:pStyle w:val="BodyParagraph"/>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These assumptions are IOU-specific and were informed by the current applications for identified projects.  The PY201</w:t>
      </w:r>
      <w:r w:rsidR="008223AC" w:rsidRPr="00B777EF">
        <w:rPr>
          <w:rFonts w:ascii="Times New Roman" w:hAnsi="Times New Roman"/>
          <w:color w:val="000000" w:themeColor="text1"/>
          <w:sz w:val="24"/>
          <w:szCs w:val="24"/>
        </w:rPr>
        <w:t>5</w:t>
      </w:r>
      <w:r w:rsidRPr="00B777EF">
        <w:rPr>
          <w:rFonts w:ascii="Times New Roman" w:hAnsi="Times New Roman"/>
          <w:color w:val="000000" w:themeColor="text1"/>
          <w:sz w:val="24"/>
          <w:szCs w:val="24"/>
        </w:rPr>
        <w:t xml:space="preserve"> evaluation refined these assumptions based on the most recent information on budget, program enrollment, the current status of identified projects and the recently revised and adopted Statewide PLS Program Handbook (</w:t>
      </w:r>
      <w:r w:rsidR="008223AC" w:rsidRPr="00B777EF">
        <w:rPr>
          <w:rFonts w:ascii="Times New Roman" w:hAnsi="Times New Roman"/>
          <w:color w:val="000000" w:themeColor="text1"/>
          <w:sz w:val="24"/>
          <w:szCs w:val="24"/>
        </w:rPr>
        <w:t>June 2015</w:t>
      </w:r>
      <w:r w:rsidRPr="00B777EF">
        <w:rPr>
          <w:rFonts w:ascii="Times New Roman" w:hAnsi="Times New Roman"/>
          <w:color w:val="000000" w:themeColor="text1"/>
          <w:sz w:val="24"/>
          <w:szCs w:val="24"/>
        </w:rPr>
        <w:t>).</w:t>
      </w:r>
    </w:p>
    <w:p w:rsidR="00384313" w:rsidRPr="00B777EF" w:rsidRDefault="00384313" w:rsidP="000C7FF9">
      <w:pPr>
        <w:pStyle w:val="BodyParagraph"/>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lastRenderedPageBreak/>
        <w:t xml:space="preserve">Finally, because local weather conditions influence the load shift that is actually experienced, the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load impacts are dependent on the specific geographic region in which an installation is located.  As such, it was necessary to allocate the unidentified projects to LCAs within each utility’s service area.  SDG&amp;E has only a single LCA, so no population weighting was necessary. Considering that the utilities have received applications from customers that are located in LCAs that are not usually associated with having high cooling load, the expectation regarding where these PLS-TES installations will be located is unclear.  Essentially, with process cooling being eligible for PLS program incentives, the program is viable in many different climates, as the current applications have shown.</w:t>
      </w:r>
    </w:p>
    <w:p w:rsidR="00232C4A" w:rsidRPr="00B777EF" w:rsidRDefault="00232C4A" w:rsidP="000C7FF9">
      <w:pPr>
        <w:pStyle w:val="BodyParagraph"/>
        <w:ind w:firstLine="360"/>
        <w:rPr>
          <w:rFonts w:ascii="Times New Roman" w:hAnsi="Times New Roman"/>
          <w:color w:val="000000" w:themeColor="text1"/>
          <w:sz w:val="24"/>
          <w:szCs w:val="24"/>
        </w:rPr>
      </w:pPr>
      <w:r w:rsidRPr="00B777EF">
        <w:rPr>
          <w:rFonts w:ascii="Times New Roman" w:hAnsi="Times New Roman"/>
          <w:i/>
          <w:color w:val="000000" w:themeColor="text1"/>
          <w:sz w:val="24"/>
          <w:szCs w:val="24"/>
        </w:rPr>
        <w:t>Identified projects:</w:t>
      </w:r>
      <w:r w:rsidRPr="00B777EF">
        <w:rPr>
          <w:rFonts w:ascii="Times New Roman" w:hAnsi="Times New Roman"/>
          <w:color w:val="000000" w:themeColor="text1"/>
          <w:sz w:val="24"/>
          <w:szCs w:val="24"/>
        </w:rPr>
        <w:t xml:space="preserve"> </w:t>
      </w:r>
      <w:r w:rsidRPr="00B777EF">
        <w:rPr>
          <w:color w:val="000000" w:themeColor="text1"/>
        </w:rPr>
        <w:t xml:space="preserve"> </w:t>
      </w:r>
      <w:r w:rsidRPr="00B777EF">
        <w:rPr>
          <w:rFonts w:ascii="Times New Roman" w:hAnsi="Times New Roman"/>
          <w:color w:val="000000" w:themeColor="text1"/>
          <w:sz w:val="24"/>
          <w:szCs w:val="24"/>
        </w:rPr>
        <w:t>Identified projects include those for which customers have completed an application or a feasibility study.  Applications are submitted by potential PLS participants to initiate their enrollment in the program.  Each application includes an initial estimate of the proposed PLS-TES installation’s load shifting capacity.</w:t>
      </w:r>
      <w:r w:rsidR="001D7446" w:rsidRPr="00B777EF">
        <w:rPr>
          <w:rFonts w:ascii="Times New Roman" w:hAnsi="Times New Roman"/>
          <w:color w:val="000000" w:themeColor="text1"/>
          <w:sz w:val="24"/>
          <w:szCs w:val="24"/>
        </w:rPr>
        <w:t xml:space="preserve"> SDG&amp;E decided to use building simulation modeling, the </w:t>
      </w:r>
      <w:r w:rsidR="008C46A8" w:rsidRPr="00B777EF">
        <w:rPr>
          <w:rFonts w:ascii="Times New Roman" w:hAnsi="Times New Roman"/>
          <w:color w:val="000000" w:themeColor="text1"/>
          <w:sz w:val="24"/>
          <w:szCs w:val="24"/>
        </w:rPr>
        <w:t>ex-ante</w:t>
      </w:r>
      <w:r w:rsidR="001D7446" w:rsidRPr="00B777EF">
        <w:rPr>
          <w:rFonts w:ascii="Times New Roman" w:hAnsi="Times New Roman"/>
          <w:color w:val="000000" w:themeColor="text1"/>
          <w:sz w:val="24"/>
          <w:szCs w:val="24"/>
        </w:rPr>
        <w:t xml:space="preserve"> conversion factors were used to convert the expected load shift from the application/feasibility study to </w:t>
      </w:r>
      <w:r w:rsidR="008C46A8" w:rsidRPr="00B777EF">
        <w:rPr>
          <w:rFonts w:ascii="Times New Roman" w:hAnsi="Times New Roman"/>
          <w:color w:val="000000" w:themeColor="text1"/>
          <w:sz w:val="24"/>
          <w:szCs w:val="24"/>
        </w:rPr>
        <w:t>ex-ante</w:t>
      </w:r>
      <w:r w:rsidR="001D7446" w:rsidRPr="00B777EF">
        <w:rPr>
          <w:rFonts w:ascii="Times New Roman" w:hAnsi="Times New Roman"/>
          <w:color w:val="000000" w:themeColor="text1"/>
          <w:sz w:val="24"/>
          <w:szCs w:val="24"/>
        </w:rPr>
        <w:t xml:space="preserve"> weather conditions.  This methodology is nearly identical to Step 2 and Step 3 in the methodology used for unidentified projects discussed in Section </w:t>
      </w:r>
      <w:r w:rsidR="00582EF8" w:rsidRPr="00B777EF">
        <w:rPr>
          <w:rFonts w:ascii="Times New Roman" w:hAnsi="Times New Roman"/>
          <w:color w:val="000000" w:themeColor="text1"/>
          <w:sz w:val="24"/>
          <w:szCs w:val="24"/>
        </w:rPr>
        <w:t>8</w:t>
      </w:r>
      <w:r w:rsidR="001D7446" w:rsidRPr="00B777EF">
        <w:rPr>
          <w:rFonts w:ascii="Times New Roman" w:hAnsi="Times New Roman"/>
          <w:color w:val="000000" w:themeColor="text1"/>
          <w:sz w:val="24"/>
          <w:szCs w:val="24"/>
        </w:rPr>
        <w:t xml:space="preserve">.2, except that the incentive amount was taken from the latest available information for that project (the application or feasibility study).  In addition, considering that the location and installation date were provided in the application for identified projects, the forecast for SDG&amp;E identified projects incorporates this information by having the project come online on the expected installation date and by assigning the </w:t>
      </w:r>
      <w:r w:rsidR="008C46A8" w:rsidRPr="00B777EF">
        <w:rPr>
          <w:rFonts w:ascii="Times New Roman" w:hAnsi="Times New Roman"/>
          <w:color w:val="000000" w:themeColor="text1"/>
          <w:sz w:val="24"/>
          <w:szCs w:val="24"/>
        </w:rPr>
        <w:t>ex-ante</w:t>
      </w:r>
      <w:r w:rsidR="001D7446" w:rsidRPr="00B777EF">
        <w:rPr>
          <w:rFonts w:ascii="Times New Roman" w:hAnsi="Times New Roman"/>
          <w:color w:val="000000" w:themeColor="text1"/>
          <w:sz w:val="24"/>
          <w:szCs w:val="24"/>
        </w:rPr>
        <w:t xml:space="preserve"> load impacts for that project to the customer’s LCA.</w:t>
      </w:r>
    </w:p>
    <w:p w:rsidR="00736554" w:rsidRPr="00B777EF" w:rsidRDefault="00B84525" w:rsidP="00B84525">
      <w:pPr>
        <w:pStyle w:val="Heading2"/>
        <w:rPr>
          <w:rFonts w:ascii="Times New Roman" w:hAnsi="Times New Roman" w:cs="Times New Roman"/>
          <w:color w:val="000000" w:themeColor="text1"/>
        </w:rPr>
      </w:pPr>
      <w:bookmarkStart w:id="240" w:name="_Toc447179835"/>
      <w:r w:rsidRPr="00B777EF">
        <w:rPr>
          <w:rFonts w:ascii="Times New Roman" w:hAnsi="Times New Roman" w:cs="Times New Roman"/>
          <w:color w:val="000000" w:themeColor="text1"/>
        </w:rPr>
        <w:t xml:space="preserve">Estimating </w:t>
      </w:r>
      <w:r w:rsidR="008C46A8" w:rsidRPr="00B777EF">
        <w:rPr>
          <w:rFonts w:ascii="Times New Roman" w:hAnsi="Times New Roman" w:cs="Times New Roman"/>
          <w:color w:val="000000" w:themeColor="text1"/>
        </w:rPr>
        <w:t>Ex-Ante</w:t>
      </w:r>
      <w:r w:rsidRPr="00B777EF">
        <w:rPr>
          <w:rFonts w:ascii="Times New Roman" w:hAnsi="Times New Roman" w:cs="Times New Roman"/>
          <w:color w:val="000000" w:themeColor="text1"/>
        </w:rPr>
        <w:t xml:space="preserve"> Weather Conditions</w:t>
      </w:r>
      <w:bookmarkEnd w:id="240"/>
    </w:p>
    <w:p w:rsidR="006D478F" w:rsidRPr="00B777EF" w:rsidRDefault="006D478F" w:rsidP="006D478F">
      <w:pPr>
        <w:spacing w:line="276" w:lineRule="auto"/>
        <w:rPr>
          <w:color w:val="000000" w:themeColor="text1"/>
        </w:rPr>
      </w:pPr>
    </w:p>
    <w:p w:rsidR="00B84525" w:rsidRPr="00B777EF" w:rsidRDefault="00B84525" w:rsidP="00B84525">
      <w:pPr>
        <w:ind w:firstLine="576"/>
        <w:rPr>
          <w:color w:val="000000" w:themeColor="text1"/>
        </w:rPr>
      </w:pPr>
      <w:r w:rsidRPr="00260B68">
        <w:rPr>
          <w:color w:val="000000" w:themeColor="text1"/>
          <w:sz w:val="22"/>
          <w:szCs w:val="22"/>
        </w:rPr>
        <w:t xml:space="preserve">Table </w:t>
      </w:r>
      <w:r w:rsidR="00136E4F" w:rsidRPr="00260B68">
        <w:rPr>
          <w:color w:val="000000" w:themeColor="text1"/>
          <w:sz w:val="22"/>
          <w:szCs w:val="22"/>
        </w:rPr>
        <w:t>8</w:t>
      </w:r>
      <w:r w:rsidRPr="00260B68">
        <w:rPr>
          <w:color w:val="000000" w:themeColor="text1"/>
          <w:sz w:val="22"/>
          <w:szCs w:val="22"/>
        </w:rPr>
        <w:t>-1</w:t>
      </w:r>
      <w:r w:rsidRPr="00B777EF">
        <w:rPr>
          <w:color w:val="000000" w:themeColor="text1"/>
        </w:rPr>
        <w:t xml:space="preserve"> shows the values for each weather scenario, weather year and month for a variable equal to the average temperature from midnight to 5 PM (referred to as mean17) for each day type.  </w:t>
      </w:r>
    </w:p>
    <w:p w:rsidR="00B84525" w:rsidRDefault="00B84525" w:rsidP="006D478F">
      <w:pPr>
        <w:spacing w:line="276" w:lineRule="auto"/>
        <w:rPr>
          <w:color w:val="000000" w:themeColor="text1"/>
        </w:rPr>
      </w:pPr>
    </w:p>
    <w:p w:rsidR="00C7586E" w:rsidRDefault="00C7586E">
      <w:pPr>
        <w:rPr>
          <w:b/>
          <w:sz w:val="22"/>
          <w:szCs w:val="22"/>
        </w:rPr>
      </w:pPr>
      <w:r>
        <w:br w:type="page"/>
      </w:r>
    </w:p>
    <w:p w:rsidR="00582EF8" w:rsidRPr="00582EF8" w:rsidRDefault="00B84525" w:rsidP="00582EF8">
      <w:pPr>
        <w:pStyle w:val="TableFigureCaption"/>
      </w:pPr>
      <w:r w:rsidRPr="00582EF8">
        <w:rPr>
          <w:rFonts w:ascii="Times New Roman" w:hAnsi="Times New Roman"/>
        </w:rPr>
        <w:lastRenderedPageBreak/>
        <w:t xml:space="preserve">Table </w:t>
      </w:r>
      <w:r w:rsidR="00136E4F" w:rsidRPr="00582EF8">
        <w:rPr>
          <w:rFonts w:ascii="Times New Roman" w:hAnsi="Times New Roman"/>
        </w:rPr>
        <w:t>8</w:t>
      </w:r>
      <w:r w:rsidRPr="00582EF8">
        <w:rPr>
          <w:rFonts w:ascii="Times New Roman" w:hAnsi="Times New Roman"/>
        </w:rPr>
        <w:t xml:space="preserve">-1:  SDG&amp;E Enrollment Weighted </w:t>
      </w:r>
      <w:r w:rsidR="008C46A8" w:rsidRPr="00582EF8">
        <w:rPr>
          <w:rFonts w:ascii="Times New Roman" w:hAnsi="Times New Roman"/>
        </w:rPr>
        <w:t>Ex-Ante</w:t>
      </w:r>
      <w:r w:rsidRPr="00582EF8">
        <w:rPr>
          <w:rFonts w:ascii="Times New Roman" w:hAnsi="Times New Roman"/>
        </w:rPr>
        <w:t xml:space="preserve"> Weather Values (mean17)</w:t>
      </w:r>
    </w:p>
    <w:tbl>
      <w:tblPr>
        <w:tblW w:w="4616" w:type="pct"/>
        <w:jc w:val="center"/>
        <w:tblInd w:w="254" w:type="dxa"/>
        <w:tblCellMar>
          <w:left w:w="0" w:type="dxa"/>
          <w:right w:w="0" w:type="dxa"/>
        </w:tblCellMar>
        <w:tblLook w:val="04A0" w:firstRow="1" w:lastRow="0" w:firstColumn="1" w:lastColumn="0" w:noHBand="0" w:noVBand="1"/>
      </w:tblPr>
      <w:tblGrid>
        <w:gridCol w:w="1547"/>
        <w:gridCol w:w="1194"/>
        <w:gridCol w:w="1501"/>
        <w:gridCol w:w="1501"/>
        <w:gridCol w:w="1501"/>
        <w:gridCol w:w="1501"/>
      </w:tblGrid>
      <w:tr w:rsidR="00582EF8" w:rsidTr="00E739D4">
        <w:trPr>
          <w:trHeight w:val="278"/>
          <w:tblHeader/>
          <w:jc w:val="center"/>
        </w:trPr>
        <w:tc>
          <w:tcPr>
            <w:tcW w:w="1567" w:type="pct"/>
            <w:gridSpan w:val="2"/>
            <w:vMerge w:val="restart"/>
            <w:tcBorders>
              <w:top w:val="single" w:sz="4" w:space="0" w:color="auto"/>
              <w:left w:val="single" w:sz="4" w:space="0" w:color="auto"/>
              <w:right w:val="single" w:sz="8" w:space="0" w:color="FFFFFF"/>
            </w:tcBorders>
            <w:shd w:val="clear" w:color="auto" w:fill="002060"/>
            <w:vAlign w:val="center"/>
          </w:tcPr>
          <w:p w:rsidR="00582EF8" w:rsidRPr="00582EF8" w:rsidRDefault="00582EF8" w:rsidP="00582EF8">
            <w:pPr>
              <w:pStyle w:val="TableHeader"/>
              <w:rPr>
                <w:rFonts w:ascii="Times New Roman" w:hAnsi="Times New Roman"/>
                <w:szCs w:val="20"/>
              </w:rPr>
            </w:pPr>
            <w:r w:rsidRPr="00582EF8">
              <w:rPr>
                <w:rFonts w:ascii="Times New Roman" w:hAnsi="Times New Roman"/>
                <w:szCs w:val="20"/>
              </w:rPr>
              <w:t>Day Type</w:t>
            </w:r>
          </w:p>
        </w:tc>
        <w:tc>
          <w:tcPr>
            <w:tcW w:w="1716" w:type="pct"/>
            <w:gridSpan w:val="2"/>
            <w:tcBorders>
              <w:top w:val="single" w:sz="4" w:space="0" w:color="auto"/>
              <w:left w:val="nil"/>
              <w:bottom w:val="single" w:sz="8" w:space="0" w:color="FFFFFF"/>
              <w:right w:val="single" w:sz="8" w:space="0" w:color="FFFFFF"/>
            </w:tcBorders>
            <w:shd w:val="clear" w:color="auto" w:fill="002060"/>
            <w:tcMar>
              <w:top w:w="0" w:type="dxa"/>
              <w:left w:w="108" w:type="dxa"/>
              <w:bottom w:w="0" w:type="dxa"/>
              <w:right w:w="108" w:type="dxa"/>
            </w:tcMar>
            <w:vAlign w:val="center"/>
            <w:hideMark/>
          </w:tcPr>
          <w:p w:rsidR="00582EF8" w:rsidRPr="00582EF8" w:rsidRDefault="00582EF8" w:rsidP="00582EF8">
            <w:pPr>
              <w:pStyle w:val="TableHeader"/>
              <w:rPr>
                <w:rFonts w:ascii="Times New Roman" w:hAnsi="Times New Roman"/>
                <w:szCs w:val="20"/>
              </w:rPr>
            </w:pPr>
            <w:r w:rsidRPr="00582EF8">
              <w:rPr>
                <w:rFonts w:ascii="Times New Roman" w:hAnsi="Times New Roman"/>
                <w:szCs w:val="20"/>
              </w:rPr>
              <w:t>SDG&amp;E Based Weather</w:t>
            </w:r>
          </w:p>
        </w:tc>
        <w:tc>
          <w:tcPr>
            <w:tcW w:w="1716" w:type="pct"/>
            <w:gridSpan w:val="2"/>
            <w:tcBorders>
              <w:top w:val="single" w:sz="4" w:space="0" w:color="auto"/>
              <w:left w:val="nil"/>
              <w:bottom w:val="single" w:sz="8" w:space="0" w:color="FFFFFF"/>
              <w:right w:val="single" w:sz="4" w:space="0" w:color="auto"/>
            </w:tcBorders>
            <w:shd w:val="clear" w:color="auto" w:fill="002060"/>
            <w:tcMar>
              <w:top w:w="0" w:type="dxa"/>
              <w:left w:w="108" w:type="dxa"/>
              <w:bottom w:w="0" w:type="dxa"/>
              <w:right w:w="108" w:type="dxa"/>
            </w:tcMar>
            <w:vAlign w:val="center"/>
            <w:hideMark/>
          </w:tcPr>
          <w:p w:rsidR="00582EF8" w:rsidRPr="00582EF8" w:rsidRDefault="00582EF8" w:rsidP="00582EF8">
            <w:pPr>
              <w:pStyle w:val="TableHeader"/>
              <w:rPr>
                <w:rFonts w:ascii="Times New Roman" w:hAnsi="Times New Roman"/>
                <w:szCs w:val="20"/>
              </w:rPr>
            </w:pPr>
            <w:r w:rsidRPr="00582EF8">
              <w:rPr>
                <w:rFonts w:ascii="Times New Roman" w:hAnsi="Times New Roman"/>
                <w:szCs w:val="20"/>
              </w:rPr>
              <w:t>CAISO Based Weather</w:t>
            </w:r>
          </w:p>
        </w:tc>
      </w:tr>
      <w:tr w:rsidR="00582EF8" w:rsidTr="00E739D4">
        <w:trPr>
          <w:trHeight w:val="278"/>
          <w:tblHeader/>
          <w:jc w:val="center"/>
        </w:trPr>
        <w:tc>
          <w:tcPr>
            <w:tcW w:w="1567" w:type="pct"/>
            <w:gridSpan w:val="2"/>
            <w:vMerge/>
            <w:tcBorders>
              <w:left w:val="single" w:sz="4" w:space="0" w:color="auto"/>
              <w:bottom w:val="single" w:sz="4" w:space="0" w:color="auto"/>
              <w:right w:val="single" w:sz="8" w:space="0" w:color="FFFFFF"/>
            </w:tcBorders>
            <w:shd w:val="clear" w:color="auto" w:fill="002060"/>
          </w:tcPr>
          <w:p w:rsidR="00582EF8" w:rsidRPr="00582EF8" w:rsidRDefault="00582EF8" w:rsidP="00582EF8">
            <w:pPr>
              <w:pStyle w:val="TableHeader"/>
              <w:rPr>
                <w:rFonts w:ascii="Times New Roman" w:eastAsiaTheme="minorHAnsi" w:hAnsi="Times New Roman"/>
                <w:bCs/>
                <w:szCs w:val="20"/>
              </w:rPr>
            </w:pPr>
          </w:p>
        </w:tc>
        <w:tc>
          <w:tcPr>
            <w:tcW w:w="858" w:type="pct"/>
            <w:tcBorders>
              <w:top w:val="nil"/>
              <w:left w:val="nil"/>
              <w:bottom w:val="single" w:sz="4" w:space="0" w:color="auto"/>
              <w:right w:val="single" w:sz="8" w:space="0" w:color="FFFFFF"/>
            </w:tcBorders>
            <w:shd w:val="clear" w:color="auto" w:fill="002060"/>
            <w:tcMar>
              <w:top w:w="0" w:type="dxa"/>
              <w:left w:w="108" w:type="dxa"/>
              <w:bottom w:w="0" w:type="dxa"/>
              <w:right w:w="108" w:type="dxa"/>
            </w:tcMar>
            <w:vAlign w:val="center"/>
            <w:hideMark/>
          </w:tcPr>
          <w:p w:rsidR="00582EF8" w:rsidRPr="00582EF8" w:rsidRDefault="00582EF8" w:rsidP="00582EF8">
            <w:pPr>
              <w:pStyle w:val="TableHeader"/>
              <w:rPr>
                <w:rFonts w:ascii="Times New Roman" w:hAnsi="Times New Roman"/>
                <w:szCs w:val="20"/>
              </w:rPr>
            </w:pPr>
            <w:r w:rsidRPr="00582EF8">
              <w:rPr>
                <w:rFonts w:ascii="Times New Roman" w:hAnsi="Times New Roman"/>
                <w:szCs w:val="20"/>
              </w:rPr>
              <w:t>1-in-2</w:t>
            </w:r>
          </w:p>
        </w:tc>
        <w:tc>
          <w:tcPr>
            <w:tcW w:w="858" w:type="pct"/>
            <w:tcBorders>
              <w:top w:val="nil"/>
              <w:left w:val="nil"/>
              <w:bottom w:val="single" w:sz="4" w:space="0" w:color="auto"/>
              <w:right w:val="single" w:sz="8" w:space="0" w:color="FFFFFF"/>
            </w:tcBorders>
            <w:shd w:val="clear" w:color="auto" w:fill="002060"/>
            <w:tcMar>
              <w:top w:w="0" w:type="dxa"/>
              <w:left w:w="108" w:type="dxa"/>
              <w:bottom w:w="0" w:type="dxa"/>
              <w:right w:w="108" w:type="dxa"/>
            </w:tcMar>
            <w:vAlign w:val="center"/>
            <w:hideMark/>
          </w:tcPr>
          <w:p w:rsidR="00582EF8" w:rsidRPr="00582EF8" w:rsidRDefault="00582EF8" w:rsidP="00582EF8">
            <w:pPr>
              <w:pStyle w:val="TableHeader"/>
              <w:rPr>
                <w:rFonts w:ascii="Times New Roman" w:hAnsi="Times New Roman"/>
                <w:szCs w:val="20"/>
              </w:rPr>
            </w:pPr>
            <w:r w:rsidRPr="00582EF8">
              <w:rPr>
                <w:rFonts w:ascii="Times New Roman" w:hAnsi="Times New Roman"/>
                <w:szCs w:val="20"/>
              </w:rPr>
              <w:t>1-in-10</w:t>
            </w:r>
          </w:p>
        </w:tc>
        <w:tc>
          <w:tcPr>
            <w:tcW w:w="858" w:type="pct"/>
            <w:tcBorders>
              <w:top w:val="nil"/>
              <w:left w:val="nil"/>
              <w:bottom w:val="single" w:sz="4" w:space="0" w:color="auto"/>
              <w:right w:val="single" w:sz="8" w:space="0" w:color="FFFFFF"/>
            </w:tcBorders>
            <w:shd w:val="clear" w:color="auto" w:fill="002060"/>
            <w:tcMar>
              <w:top w:w="0" w:type="dxa"/>
              <w:left w:w="108" w:type="dxa"/>
              <w:bottom w:w="0" w:type="dxa"/>
              <w:right w:w="108" w:type="dxa"/>
            </w:tcMar>
            <w:vAlign w:val="center"/>
            <w:hideMark/>
          </w:tcPr>
          <w:p w:rsidR="00582EF8" w:rsidRPr="00582EF8" w:rsidRDefault="00582EF8" w:rsidP="00582EF8">
            <w:pPr>
              <w:pStyle w:val="TableHeader"/>
              <w:rPr>
                <w:rFonts w:ascii="Times New Roman" w:hAnsi="Times New Roman"/>
                <w:szCs w:val="20"/>
              </w:rPr>
            </w:pPr>
            <w:r w:rsidRPr="00582EF8">
              <w:rPr>
                <w:rFonts w:ascii="Times New Roman" w:hAnsi="Times New Roman"/>
                <w:szCs w:val="20"/>
              </w:rPr>
              <w:t>1-in-2</w:t>
            </w:r>
          </w:p>
        </w:tc>
        <w:tc>
          <w:tcPr>
            <w:tcW w:w="858" w:type="pct"/>
            <w:tcBorders>
              <w:top w:val="nil"/>
              <w:left w:val="nil"/>
              <w:bottom w:val="single" w:sz="4" w:space="0" w:color="auto"/>
              <w:right w:val="single" w:sz="4" w:space="0" w:color="auto"/>
            </w:tcBorders>
            <w:shd w:val="clear" w:color="auto" w:fill="002060"/>
            <w:tcMar>
              <w:top w:w="0" w:type="dxa"/>
              <w:left w:w="108" w:type="dxa"/>
              <w:bottom w:w="0" w:type="dxa"/>
              <w:right w:w="108" w:type="dxa"/>
            </w:tcMar>
            <w:vAlign w:val="center"/>
            <w:hideMark/>
          </w:tcPr>
          <w:p w:rsidR="00582EF8" w:rsidRPr="00582EF8" w:rsidRDefault="00582EF8" w:rsidP="00582EF8">
            <w:pPr>
              <w:pStyle w:val="TableHeader"/>
              <w:rPr>
                <w:rFonts w:ascii="Times New Roman" w:hAnsi="Times New Roman"/>
                <w:szCs w:val="20"/>
              </w:rPr>
            </w:pPr>
            <w:r w:rsidRPr="00582EF8">
              <w:rPr>
                <w:rFonts w:ascii="Times New Roman" w:hAnsi="Times New Roman"/>
                <w:szCs w:val="20"/>
              </w:rPr>
              <w:t>1-in-10</w:t>
            </w:r>
          </w:p>
        </w:tc>
      </w:tr>
      <w:tr w:rsidR="00E739D4" w:rsidTr="00E739D4">
        <w:trPr>
          <w:trHeight w:val="315"/>
          <w:jc w:val="center"/>
        </w:trPr>
        <w:tc>
          <w:tcPr>
            <w:tcW w:w="1567" w:type="pct"/>
            <w:gridSpan w:val="2"/>
            <w:tcBorders>
              <w:top w:val="single" w:sz="4" w:space="0" w:color="auto"/>
              <w:left w:val="single" w:sz="8" w:space="0" w:color="auto"/>
              <w:bottom w:val="single" w:sz="8" w:space="0" w:color="auto"/>
              <w:right w:val="single" w:sz="8" w:space="0" w:color="auto"/>
            </w:tcBorders>
          </w:tcPr>
          <w:p w:rsidR="00E739D4" w:rsidRPr="00C7586E" w:rsidRDefault="00E739D4" w:rsidP="00582EF8">
            <w:pPr>
              <w:pStyle w:val="TableText"/>
              <w:rPr>
                <w:rFonts w:ascii="Times New Roman" w:hAnsi="Times New Roman"/>
                <w:b/>
                <w:sz w:val="20"/>
                <w:szCs w:val="20"/>
              </w:rPr>
            </w:pPr>
            <w:r w:rsidRPr="00C7586E">
              <w:rPr>
                <w:rFonts w:ascii="Times New Roman" w:hAnsi="Times New Roman"/>
                <w:b/>
                <w:color w:val="000000" w:themeColor="text1"/>
                <w:sz w:val="20"/>
                <w:szCs w:val="20"/>
              </w:rPr>
              <w:t>Typical Event Day</w:t>
            </w:r>
          </w:p>
        </w:tc>
        <w:tc>
          <w:tcPr>
            <w:tcW w:w="858"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E739D4" w:rsidRPr="00C7586E" w:rsidRDefault="00E739D4" w:rsidP="00E739D4">
            <w:pPr>
              <w:jc w:val="center"/>
              <w:rPr>
                <w:b/>
                <w:sz w:val="20"/>
                <w:szCs w:val="20"/>
              </w:rPr>
            </w:pPr>
            <w:r w:rsidRPr="00C7586E">
              <w:rPr>
                <w:b/>
                <w:sz w:val="20"/>
                <w:szCs w:val="20"/>
              </w:rPr>
              <w:t>72.5</w:t>
            </w:r>
          </w:p>
        </w:tc>
        <w:tc>
          <w:tcPr>
            <w:tcW w:w="858"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E739D4" w:rsidRPr="00C7586E" w:rsidRDefault="00E739D4" w:rsidP="00E739D4">
            <w:pPr>
              <w:jc w:val="center"/>
              <w:rPr>
                <w:b/>
                <w:sz w:val="20"/>
                <w:szCs w:val="20"/>
              </w:rPr>
            </w:pPr>
            <w:r w:rsidRPr="00C7586E">
              <w:rPr>
                <w:b/>
                <w:sz w:val="20"/>
                <w:szCs w:val="20"/>
              </w:rPr>
              <w:t>77.3</w:t>
            </w:r>
          </w:p>
        </w:tc>
        <w:tc>
          <w:tcPr>
            <w:tcW w:w="858"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E739D4" w:rsidRPr="00C7586E" w:rsidRDefault="00E739D4" w:rsidP="00E739D4">
            <w:pPr>
              <w:jc w:val="center"/>
              <w:rPr>
                <w:b/>
                <w:sz w:val="20"/>
                <w:szCs w:val="20"/>
              </w:rPr>
            </w:pPr>
            <w:r w:rsidRPr="00C7586E">
              <w:rPr>
                <w:b/>
                <w:sz w:val="20"/>
                <w:szCs w:val="20"/>
              </w:rPr>
              <w:t>73.1</w:t>
            </w:r>
          </w:p>
        </w:tc>
        <w:tc>
          <w:tcPr>
            <w:tcW w:w="858"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E739D4" w:rsidRPr="00C7586E" w:rsidRDefault="00E739D4" w:rsidP="00E739D4">
            <w:pPr>
              <w:jc w:val="center"/>
              <w:rPr>
                <w:b/>
                <w:sz w:val="20"/>
                <w:szCs w:val="20"/>
              </w:rPr>
            </w:pPr>
            <w:r w:rsidRPr="00C7586E">
              <w:rPr>
                <w:b/>
                <w:sz w:val="20"/>
                <w:szCs w:val="20"/>
              </w:rPr>
              <w:t>75.8</w:t>
            </w:r>
          </w:p>
        </w:tc>
      </w:tr>
      <w:tr w:rsidR="00E739D4" w:rsidTr="00922933">
        <w:trPr>
          <w:trHeight w:val="315"/>
          <w:jc w:val="center"/>
        </w:trPr>
        <w:tc>
          <w:tcPr>
            <w:tcW w:w="885" w:type="pct"/>
            <w:vMerge w:val="restart"/>
            <w:tcBorders>
              <w:top w:val="nil"/>
              <w:left w:val="single" w:sz="8" w:space="0" w:color="auto"/>
              <w:right w:val="single" w:sz="8" w:space="0" w:color="auto"/>
            </w:tcBorders>
            <w:vAlign w:val="center"/>
          </w:tcPr>
          <w:p w:rsidR="00E739D4" w:rsidRPr="00C7586E" w:rsidRDefault="00E739D4" w:rsidP="00582EF8">
            <w:pPr>
              <w:pStyle w:val="TableText"/>
              <w:spacing w:before="0" w:after="0" w:line="276" w:lineRule="auto"/>
              <w:rPr>
                <w:rFonts w:ascii="Times New Roman" w:hAnsi="Times New Roman"/>
                <w:b/>
                <w:sz w:val="20"/>
                <w:szCs w:val="20"/>
              </w:rPr>
            </w:pPr>
            <w:r w:rsidRPr="00C7586E">
              <w:rPr>
                <w:rFonts w:ascii="Times New Roman" w:hAnsi="Times New Roman"/>
                <w:b/>
                <w:sz w:val="20"/>
                <w:szCs w:val="20"/>
              </w:rPr>
              <w:t>Peak Day</w:t>
            </w:r>
          </w:p>
        </w:tc>
        <w:tc>
          <w:tcPr>
            <w:tcW w:w="6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39D4" w:rsidRPr="00E739D4" w:rsidRDefault="00E739D4" w:rsidP="00E739D4">
            <w:pPr>
              <w:jc w:val="center"/>
              <w:rPr>
                <w:sz w:val="20"/>
                <w:szCs w:val="20"/>
              </w:rPr>
            </w:pPr>
            <w:r w:rsidRPr="00E739D4">
              <w:rPr>
                <w:sz w:val="20"/>
                <w:szCs w:val="20"/>
              </w:rPr>
              <w:t>67.6</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75.8</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64.4</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72.7</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rsidR="00E739D4" w:rsidRPr="00E739D4" w:rsidRDefault="00E739D4" w:rsidP="00E739D4">
            <w:pPr>
              <w:pStyle w:val="TableText"/>
              <w:jc w:val="center"/>
              <w:rPr>
                <w:rFonts w:ascii="Times New Roman" w:hAnsi="Times New Roman"/>
                <w:sz w:val="20"/>
                <w:szCs w:val="20"/>
              </w:rPr>
            </w:pPr>
            <w:r w:rsidRPr="00E739D4">
              <w:rPr>
                <w:rFonts w:ascii="Times New Roman" w:hAnsi="Times New Roman"/>
                <w:sz w:val="20"/>
                <w:szCs w:val="20"/>
              </w:rPr>
              <w:t>72.7</w:t>
            </w:r>
          </w:p>
        </w:tc>
      </w:tr>
      <w:tr w:rsidR="00E739D4" w:rsidTr="00922933">
        <w:trPr>
          <w:trHeight w:val="315"/>
          <w:jc w:val="center"/>
        </w:trPr>
        <w:tc>
          <w:tcPr>
            <w:tcW w:w="885" w:type="pct"/>
            <w:vMerge/>
            <w:tcBorders>
              <w:left w:val="single" w:sz="8" w:space="0" w:color="auto"/>
              <w:right w:val="single" w:sz="8" w:space="0" w:color="auto"/>
            </w:tcBorders>
          </w:tcPr>
          <w:p w:rsidR="00E739D4" w:rsidRPr="00C7586E" w:rsidRDefault="00E739D4" w:rsidP="00582EF8">
            <w:pPr>
              <w:pStyle w:val="TableText"/>
              <w:spacing w:before="0" w:after="0" w:line="276" w:lineRule="auto"/>
              <w:rPr>
                <w:rFonts w:ascii="Times New Roman" w:hAnsi="Times New Roman"/>
                <w:b/>
                <w:sz w:val="20"/>
                <w:szCs w:val="20"/>
              </w:rPr>
            </w:pPr>
          </w:p>
        </w:tc>
        <w:tc>
          <w:tcPr>
            <w:tcW w:w="6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39D4" w:rsidRPr="00E739D4" w:rsidRDefault="00E739D4" w:rsidP="00E739D4">
            <w:pPr>
              <w:jc w:val="center"/>
              <w:rPr>
                <w:sz w:val="20"/>
                <w:szCs w:val="20"/>
              </w:rPr>
            </w:pPr>
            <w:r w:rsidRPr="00E739D4">
              <w:rPr>
                <w:sz w:val="20"/>
                <w:szCs w:val="20"/>
              </w:rPr>
              <w:t>68.1</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73.1</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68.7</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72.9</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rsidR="00E739D4" w:rsidRPr="00E739D4" w:rsidRDefault="00E739D4" w:rsidP="00E739D4">
            <w:pPr>
              <w:pStyle w:val="TableText"/>
              <w:jc w:val="center"/>
              <w:rPr>
                <w:rFonts w:ascii="Times New Roman" w:hAnsi="Times New Roman"/>
                <w:sz w:val="20"/>
                <w:szCs w:val="20"/>
              </w:rPr>
            </w:pPr>
            <w:r w:rsidRPr="00E739D4">
              <w:rPr>
                <w:rFonts w:ascii="Times New Roman" w:hAnsi="Times New Roman"/>
                <w:sz w:val="20"/>
                <w:szCs w:val="20"/>
              </w:rPr>
              <w:t>72.9</w:t>
            </w:r>
          </w:p>
        </w:tc>
      </w:tr>
      <w:tr w:rsidR="00E739D4" w:rsidTr="00922933">
        <w:trPr>
          <w:trHeight w:val="315"/>
          <w:jc w:val="center"/>
        </w:trPr>
        <w:tc>
          <w:tcPr>
            <w:tcW w:w="885" w:type="pct"/>
            <w:vMerge/>
            <w:tcBorders>
              <w:left w:val="single" w:sz="8" w:space="0" w:color="auto"/>
              <w:right w:val="single" w:sz="8" w:space="0" w:color="auto"/>
            </w:tcBorders>
          </w:tcPr>
          <w:p w:rsidR="00E739D4" w:rsidRPr="00C7586E" w:rsidRDefault="00E739D4" w:rsidP="00582EF8">
            <w:pPr>
              <w:pStyle w:val="TableText"/>
              <w:spacing w:before="0" w:after="0" w:line="276" w:lineRule="auto"/>
              <w:rPr>
                <w:rFonts w:ascii="Times New Roman" w:hAnsi="Times New Roman"/>
                <w:b/>
                <w:sz w:val="20"/>
                <w:szCs w:val="20"/>
              </w:rPr>
            </w:pPr>
          </w:p>
        </w:tc>
        <w:tc>
          <w:tcPr>
            <w:tcW w:w="6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39D4" w:rsidRPr="00E739D4" w:rsidRDefault="00E739D4" w:rsidP="00E739D4">
            <w:pPr>
              <w:jc w:val="center"/>
              <w:rPr>
                <w:sz w:val="20"/>
                <w:szCs w:val="20"/>
              </w:rPr>
            </w:pPr>
            <w:r w:rsidRPr="00E739D4">
              <w:rPr>
                <w:sz w:val="20"/>
                <w:szCs w:val="20"/>
              </w:rPr>
              <w:t>71.8</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77.8</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71.5</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73.5</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rsidR="00E739D4" w:rsidRPr="00E739D4" w:rsidRDefault="00E739D4" w:rsidP="00E739D4">
            <w:pPr>
              <w:pStyle w:val="TableText"/>
              <w:jc w:val="center"/>
              <w:rPr>
                <w:rFonts w:ascii="Times New Roman" w:hAnsi="Times New Roman"/>
                <w:sz w:val="20"/>
                <w:szCs w:val="20"/>
              </w:rPr>
            </w:pPr>
            <w:r w:rsidRPr="00E739D4">
              <w:rPr>
                <w:rFonts w:ascii="Times New Roman" w:hAnsi="Times New Roman"/>
                <w:sz w:val="20"/>
                <w:szCs w:val="20"/>
              </w:rPr>
              <w:t>73.5</w:t>
            </w:r>
          </w:p>
        </w:tc>
      </w:tr>
      <w:tr w:rsidR="00E739D4" w:rsidTr="00922933">
        <w:trPr>
          <w:trHeight w:val="315"/>
          <w:jc w:val="center"/>
        </w:trPr>
        <w:tc>
          <w:tcPr>
            <w:tcW w:w="885" w:type="pct"/>
            <w:vMerge/>
            <w:tcBorders>
              <w:left w:val="single" w:sz="8" w:space="0" w:color="auto"/>
              <w:right w:val="single" w:sz="8" w:space="0" w:color="auto"/>
            </w:tcBorders>
          </w:tcPr>
          <w:p w:rsidR="00E739D4" w:rsidRPr="00C7586E" w:rsidRDefault="00E739D4" w:rsidP="00582EF8">
            <w:pPr>
              <w:pStyle w:val="TableText"/>
              <w:spacing w:before="0" w:after="0" w:line="276" w:lineRule="auto"/>
              <w:rPr>
                <w:rFonts w:ascii="Times New Roman" w:hAnsi="Times New Roman"/>
                <w:b/>
                <w:sz w:val="20"/>
                <w:szCs w:val="20"/>
              </w:rPr>
            </w:pPr>
          </w:p>
        </w:tc>
        <w:tc>
          <w:tcPr>
            <w:tcW w:w="6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39D4" w:rsidRPr="00E739D4" w:rsidRDefault="00E739D4" w:rsidP="00E739D4">
            <w:pPr>
              <w:jc w:val="center"/>
              <w:rPr>
                <w:sz w:val="20"/>
                <w:szCs w:val="20"/>
              </w:rPr>
            </w:pPr>
            <w:r w:rsidRPr="00E739D4">
              <w:rPr>
                <w:sz w:val="20"/>
                <w:szCs w:val="20"/>
              </w:rPr>
              <w:t>74.9</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78.5</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75.9</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76.4</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rsidR="00E739D4" w:rsidRPr="00E739D4" w:rsidRDefault="00E739D4" w:rsidP="00E739D4">
            <w:pPr>
              <w:pStyle w:val="TableText"/>
              <w:jc w:val="center"/>
              <w:rPr>
                <w:rFonts w:ascii="Times New Roman" w:hAnsi="Times New Roman"/>
                <w:sz w:val="20"/>
                <w:szCs w:val="20"/>
              </w:rPr>
            </w:pPr>
            <w:r w:rsidRPr="00E739D4">
              <w:rPr>
                <w:rFonts w:ascii="Times New Roman" w:hAnsi="Times New Roman"/>
                <w:sz w:val="20"/>
                <w:szCs w:val="20"/>
              </w:rPr>
              <w:t>76.4</w:t>
            </w:r>
          </w:p>
        </w:tc>
      </w:tr>
      <w:tr w:rsidR="00E739D4" w:rsidTr="00922933">
        <w:trPr>
          <w:trHeight w:val="315"/>
          <w:jc w:val="center"/>
        </w:trPr>
        <w:tc>
          <w:tcPr>
            <w:tcW w:w="885" w:type="pct"/>
            <w:vMerge/>
            <w:tcBorders>
              <w:left w:val="single" w:sz="8" w:space="0" w:color="auto"/>
              <w:right w:val="single" w:sz="8" w:space="0" w:color="auto"/>
            </w:tcBorders>
          </w:tcPr>
          <w:p w:rsidR="00E739D4" w:rsidRPr="00C7586E" w:rsidRDefault="00E739D4" w:rsidP="00582EF8">
            <w:pPr>
              <w:pStyle w:val="TableText"/>
              <w:spacing w:before="0" w:after="0" w:line="276" w:lineRule="auto"/>
              <w:rPr>
                <w:rFonts w:ascii="Times New Roman" w:hAnsi="Times New Roman"/>
                <w:b/>
                <w:sz w:val="20"/>
                <w:szCs w:val="20"/>
              </w:rPr>
            </w:pPr>
          </w:p>
        </w:tc>
        <w:tc>
          <w:tcPr>
            <w:tcW w:w="6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39D4" w:rsidRPr="00E739D4" w:rsidRDefault="00E739D4" w:rsidP="00E739D4">
            <w:pPr>
              <w:jc w:val="center"/>
              <w:rPr>
                <w:sz w:val="20"/>
                <w:szCs w:val="20"/>
              </w:rPr>
            </w:pPr>
            <w:r w:rsidRPr="00E739D4">
              <w:rPr>
                <w:sz w:val="20"/>
                <w:szCs w:val="20"/>
              </w:rPr>
              <w:t>75.0</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80.0</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76.2</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80.5</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rsidR="00E739D4" w:rsidRPr="00E739D4" w:rsidRDefault="00E739D4" w:rsidP="00E739D4">
            <w:pPr>
              <w:pStyle w:val="TableText"/>
              <w:jc w:val="center"/>
              <w:rPr>
                <w:rFonts w:ascii="Times New Roman" w:hAnsi="Times New Roman"/>
                <w:sz w:val="20"/>
                <w:szCs w:val="20"/>
              </w:rPr>
            </w:pPr>
            <w:r w:rsidRPr="00E739D4">
              <w:rPr>
                <w:rFonts w:ascii="Times New Roman" w:hAnsi="Times New Roman"/>
                <w:sz w:val="20"/>
                <w:szCs w:val="20"/>
              </w:rPr>
              <w:t>80.5</w:t>
            </w:r>
          </w:p>
        </w:tc>
      </w:tr>
      <w:tr w:rsidR="00E739D4" w:rsidTr="00922933">
        <w:trPr>
          <w:trHeight w:val="315"/>
          <w:jc w:val="center"/>
        </w:trPr>
        <w:tc>
          <w:tcPr>
            <w:tcW w:w="885" w:type="pct"/>
            <w:vMerge/>
            <w:tcBorders>
              <w:left w:val="single" w:sz="8" w:space="0" w:color="auto"/>
              <w:bottom w:val="single" w:sz="8" w:space="0" w:color="auto"/>
              <w:right w:val="single" w:sz="8" w:space="0" w:color="auto"/>
            </w:tcBorders>
          </w:tcPr>
          <w:p w:rsidR="00E739D4" w:rsidRPr="00C7586E" w:rsidRDefault="00E739D4" w:rsidP="00582EF8">
            <w:pPr>
              <w:pStyle w:val="TableText"/>
              <w:spacing w:before="0" w:after="0" w:line="276" w:lineRule="auto"/>
              <w:rPr>
                <w:rFonts w:ascii="Times New Roman" w:hAnsi="Times New Roman"/>
                <w:b/>
                <w:sz w:val="20"/>
                <w:szCs w:val="20"/>
              </w:rPr>
            </w:pPr>
          </w:p>
        </w:tc>
        <w:tc>
          <w:tcPr>
            <w:tcW w:w="68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70.8</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75.9</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68.3</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74.7</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rsidR="00E739D4" w:rsidRPr="00E739D4" w:rsidRDefault="00E739D4" w:rsidP="00E739D4">
            <w:pPr>
              <w:pStyle w:val="TableText"/>
              <w:jc w:val="center"/>
              <w:rPr>
                <w:rFonts w:ascii="Times New Roman" w:hAnsi="Times New Roman"/>
                <w:sz w:val="20"/>
                <w:szCs w:val="20"/>
              </w:rPr>
            </w:pPr>
            <w:r w:rsidRPr="00E739D4">
              <w:rPr>
                <w:rFonts w:ascii="Times New Roman" w:hAnsi="Times New Roman"/>
                <w:sz w:val="20"/>
                <w:szCs w:val="20"/>
              </w:rPr>
              <w:t>74.7</w:t>
            </w:r>
          </w:p>
        </w:tc>
      </w:tr>
      <w:tr w:rsidR="00E739D4" w:rsidTr="00922933">
        <w:trPr>
          <w:trHeight w:val="315"/>
          <w:jc w:val="center"/>
        </w:trPr>
        <w:tc>
          <w:tcPr>
            <w:tcW w:w="885" w:type="pct"/>
            <w:vMerge w:val="restart"/>
            <w:tcBorders>
              <w:top w:val="nil"/>
              <w:left w:val="single" w:sz="8" w:space="0" w:color="auto"/>
              <w:right w:val="single" w:sz="8" w:space="0" w:color="auto"/>
            </w:tcBorders>
            <w:vAlign w:val="center"/>
          </w:tcPr>
          <w:p w:rsidR="00E739D4" w:rsidRPr="00C7586E" w:rsidRDefault="00E739D4" w:rsidP="00582EF8">
            <w:pPr>
              <w:pStyle w:val="TableText"/>
              <w:spacing w:before="0" w:after="0" w:line="276" w:lineRule="auto"/>
              <w:rPr>
                <w:rFonts w:ascii="Times New Roman" w:hAnsi="Times New Roman"/>
                <w:b/>
                <w:sz w:val="20"/>
                <w:szCs w:val="20"/>
              </w:rPr>
            </w:pPr>
            <w:r w:rsidRPr="00C7586E">
              <w:rPr>
                <w:rFonts w:ascii="Times New Roman" w:hAnsi="Times New Roman"/>
                <w:b/>
                <w:sz w:val="20"/>
                <w:szCs w:val="20"/>
              </w:rPr>
              <w:t>Average Weekday</w:t>
            </w:r>
          </w:p>
        </w:tc>
        <w:tc>
          <w:tcPr>
            <w:tcW w:w="68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62.3</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66.2</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63.0</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62.3</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rsidR="00E739D4" w:rsidRPr="00E739D4" w:rsidRDefault="00E739D4" w:rsidP="00E739D4">
            <w:pPr>
              <w:pStyle w:val="TableText"/>
              <w:jc w:val="center"/>
              <w:rPr>
                <w:rFonts w:ascii="Times New Roman" w:hAnsi="Times New Roman"/>
                <w:sz w:val="20"/>
                <w:szCs w:val="20"/>
              </w:rPr>
            </w:pPr>
            <w:r w:rsidRPr="00E739D4">
              <w:rPr>
                <w:rFonts w:ascii="Times New Roman" w:hAnsi="Times New Roman"/>
                <w:sz w:val="20"/>
                <w:szCs w:val="20"/>
              </w:rPr>
              <w:t>62.3</w:t>
            </w:r>
          </w:p>
        </w:tc>
      </w:tr>
      <w:tr w:rsidR="00E739D4" w:rsidTr="00922933">
        <w:trPr>
          <w:trHeight w:val="315"/>
          <w:jc w:val="center"/>
        </w:trPr>
        <w:tc>
          <w:tcPr>
            <w:tcW w:w="885" w:type="pct"/>
            <w:vMerge/>
            <w:tcBorders>
              <w:left w:val="single" w:sz="8" w:space="0" w:color="auto"/>
              <w:right w:val="single" w:sz="8" w:space="0" w:color="auto"/>
            </w:tcBorders>
          </w:tcPr>
          <w:p w:rsidR="00E739D4" w:rsidRPr="00E739D4" w:rsidRDefault="00E739D4" w:rsidP="00582EF8">
            <w:pPr>
              <w:pStyle w:val="TableText"/>
              <w:spacing w:before="0" w:after="0" w:line="276" w:lineRule="auto"/>
              <w:rPr>
                <w:rFonts w:ascii="Times New Roman" w:hAnsi="Times New Roman"/>
                <w:sz w:val="20"/>
                <w:szCs w:val="20"/>
              </w:rPr>
            </w:pPr>
          </w:p>
        </w:tc>
        <w:tc>
          <w:tcPr>
            <w:tcW w:w="68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65.2</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69.3</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64.1</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67.2</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rsidR="00E739D4" w:rsidRPr="00E739D4" w:rsidRDefault="00E739D4" w:rsidP="00E739D4">
            <w:pPr>
              <w:pStyle w:val="TableText"/>
              <w:jc w:val="center"/>
              <w:rPr>
                <w:rFonts w:ascii="Times New Roman" w:hAnsi="Times New Roman"/>
                <w:sz w:val="20"/>
                <w:szCs w:val="20"/>
              </w:rPr>
            </w:pPr>
            <w:r w:rsidRPr="00E739D4">
              <w:rPr>
                <w:rFonts w:ascii="Times New Roman" w:hAnsi="Times New Roman"/>
                <w:sz w:val="20"/>
                <w:szCs w:val="20"/>
              </w:rPr>
              <w:t>67.2</w:t>
            </w:r>
          </w:p>
        </w:tc>
      </w:tr>
      <w:tr w:rsidR="00E739D4" w:rsidTr="00922933">
        <w:trPr>
          <w:trHeight w:val="315"/>
          <w:jc w:val="center"/>
        </w:trPr>
        <w:tc>
          <w:tcPr>
            <w:tcW w:w="885" w:type="pct"/>
            <w:vMerge/>
            <w:tcBorders>
              <w:left w:val="single" w:sz="8" w:space="0" w:color="auto"/>
              <w:right w:val="single" w:sz="8" w:space="0" w:color="auto"/>
            </w:tcBorders>
          </w:tcPr>
          <w:p w:rsidR="00E739D4" w:rsidRPr="00E739D4" w:rsidRDefault="00E739D4" w:rsidP="00582EF8">
            <w:pPr>
              <w:pStyle w:val="TableText"/>
              <w:spacing w:before="0" w:after="0" w:line="276" w:lineRule="auto"/>
              <w:rPr>
                <w:rFonts w:ascii="Times New Roman" w:hAnsi="Times New Roman"/>
                <w:sz w:val="20"/>
                <w:szCs w:val="20"/>
              </w:rPr>
            </w:pPr>
          </w:p>
        </w:tc>
        <w:tc>
          <w:tcPr>
            <w:tcW w:w="68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68.7</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70.4</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69.3</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69.2</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rsidR="00E739D4" w:rsidRPr="00E739D4" w:rsidRDefault="00E739D4" w:rsidP="00E739D4">
            <w:pPr>
              <w:pStyle w:val="TableText"/>
              <w:jc w:val="center"/>
              <w:rPr>
                <w:rFonts w:ascii="Times New Roman" w:hAnsi="Times New Roman"/>
                <w:sz w:val="20"/>
                <w:szCs w:val="20"/>
              </w:rPr>
            </w:pPr>
            <w:r w:rsidRPr="00E739D4">
              <w:rPr>
                <w:rFonts w:ascii="Times New Roman" w:hAnsi="Times New Roman"/>
                <w:sz w:val="20"/>
                <w:szCs w:val="20"/>
              </w:rPr>
              <w:t>69.2</w:t>
            </w:r>
          </w:p>
        </w:tc>
      </w:tr>
      <w:tr w:rsidR="00E739D4" w:rsidTr="00922933">
        <w:trPr>
          <w:trHeight w:val="315"/>
          <w:jc w:val="center"/>
        </w:trPr>
        <w:tc>
          <w:tcPr>
            <w:tcW w:w="885" w:type="pct"/>
            <w:vMerge/>
            <w:tcBorders>
              <w:left w:val="single" w:sz="8" w:space="0" w:color="auto"/>
              <w:right w:val="single" w:sz="8" w:space="0" w:color="auto"/>
            </w:tcBorders>
          </w:tcPr>
          <w:p w:rsidR="00E739D4" w:rsidRPr="00E739D4" w:rsidRDefault="00E739D4" w:rsidP="00582EF8">
            <w:pPr>
              <w:pStyle w:val="TableText"/>
              <w:spacing w:before="0" w:after="0" w:line="276" w:lineRule="auto"/>
              <w:rPr>
                <w:rFonts w:ascii="Times New Roman" w:hAnsi="Times New Roman"/>
                <w:sz w:val="20"/>
                <w:szCs w:val="20"/>
              </w:rPr>
            </w:pPr>
          </w:p>
        </w:tc>
        <w:tc>
          <w:tcPr>
            <w:tcW w:w="68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70.0</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72.8</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70.0</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73.7</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rsidR="00E739D4" w:rsidRPr="00E739D4" w:rsidRDefault="00E739D4" w:rsidP="00E739D4">
            <w:pPr>
              <w:pStyle w:val="TableText"/>
              <w:jc w:val="center"/>
              <w:rPr>
                <w:rFonts w:ascii="Times New Roman" w:hAnsi="Times New Roman"/>
                <w:sz w:val="20"/>
                <w:szCs w:val="20"/>
              </w:rPr>
            </w:pPr>
            <w:r w:rsidRPr="00E739D4">
              <w:rPr>
                <w:rFonts w:ascii="Times New Roman" w:hAnsi="Times New Roman"/>
                <w:sz w:val="20"/>
                <w:szCs w:val="20"/>
              </w:rPr>
              <w:t>73.7</w:t>
            </w:r>
          </w:p>
        </w:tc>
      </w:tr>
      <w:tr w:rsidR="00E739D4" w:rsidTr="00922933">
        <w:trPr>
          <w:trHeight w:val="315"/>
          <w:jc w:val="center"/>
        </w:trPr>
        <w:tc>
          <w:tcPr>
            <w:tcW w:w="885" w:type="pct"/>
            <w:vMerge/>
            <w:tcBorders>
              <w:left w:val="single" w:sz="8" w:space="0" w:color="auto"/>
              <w:right w:val="single" w:sz="8" w:space="0" w:color="auto"/>
            </w:tcBorders>
          </w:tcPr>
          <w:p w:rsidR="00E739D4" w:rsidRPr="00E739D4" w:rsidRDefault="00E739D4" w:rsidP="00582EF8">
            <w:pPr>
              <w:pStyle w:val="TableText"/>
              <w:spacing w:before="0" w:after="0" w:line="276" w:lineRule="auto"/>
              <w:rPr>
                <w:rFonts w:ascii="Times New Roman" w:hAnsi="Times New Roman"/>
                <w:sz w:val="20"/>
                <w:szCs w:val="20"/>
              </w:rPr>
            </w:pPr>
          </w:p>
        </w:tc>
        <w:tc>
          <w:tcPr>
            <w:tcW w:w="68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68.1</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71.4</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69.6</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71.4</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rsidR="00E739D4" w:rsidRPr="00E739D4" w:rsidRDefault="00E739D4" w:rsidP="00E739D4">
            <w:pPr>
              <w:pStyle w:val="TableText"/>
              <w:jc w:val="center"/>
              <w:rPr>
                <w:rFonts w:ascii="Times New Roman" w:hAnsi="Times New Roman"/>
                <w:sz w:val="20"/>
                <w:szCs w:val="20"/>
              </w:rPr>
            </w:pPr>
            <w:r w:rsidRPr="00E739D4">
              <w:rPr>
                <w:rFonts w:ascii="Times New Roman" w:hAnsi="Times New Roman"/>
                <w:sz w:val="20"/>
                <w:szCs w:val="20"/>
              </w:rPr>
              <w:t>71.4</w:t>
            </w:r>
          </w:p>
        </w:tc>
      </w:tr>
      <w:tr w:rsidR="00E739D4" w:rsidTr="00922933">
        <w:trPr>
          <w:trHeight w:val="315"/>
          <w:jc w:val="center"/>
        </w:trPr>
        <w:tc>
          <w:tcPr>
            <w:tcW w:w="885" w:type="pct"/>
            <w:vMerge/>
            <w:tcBorders>
              <w:left w:val="single" w:sz="8" w:space="0" w:color="auto"/>
              <w:bottom w:val="single" w:sz="8" w:space="0" w:color="auto"/>
              <w:right w:val="single" w:sz="8" w:space="0" w:color="auto"/>
            </w:tcBorders>
          </w:tcPr>
          <w:p w:rsidR="00E739D4" w:rsidRPr="00E739D4" w:rsidRDefault="00E739D4" w:rsidP="00582EF8">
            <w:pPr>
              <w:pStyle w:val="TableText"/>
              <w:spacing w:before="0" w:after="0" w:line="276" w:lineRule="auto"/>
              <w:rPr>
                <w:rFonts w:ascii="Times New Roman" w:hAnsi="Times New Roman"/>
                <w:sz w:val="20"/>
                <w:szCs w:val="20"/>
              </w:rPr>
            </w:pPr>
          </w:p>
        </w:tc>
        <w:tc>
          <w:tcPr>
            <w:tcW w:w="68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39D4" w:rsidRPr="00E739D4" w:rsidRDefault="00E739D4" w:rsidP="00E739D4">
            <w:pPr>
              <w:jc w:val="center"/>
              <w:rPr>
                <w:sz w:val="20"/>
                <w:szCs w:val="20"/>
              </w:rPr>
            </w:pPr>
            <w:r w:rsidRPr="00E739D4">
              <w:rPr>
                <w:sz w:val="20"/>
                <w:szCs w:val="20"/>
              </w:rPr>
              <w:t>65.2</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67.7</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65.4</w:t>
            </w:r>
          </w:p>
        </w:tc>
        <w:tc>
          <w:tcPr>
            <w:tcW w:w="858" w:type="pct"/>
            <w:tcBorders>
              <w:top w:val="nil"/>
              <w:left w:val="nil"/>
              <w:bottom w:val="single" w:sz="8" w:space="0" w:color="auto"/>
              <w:right w:val="single" w:sz="8" w:space="0" w:color="auto"/>
            </w:tcBorders>
            <w:tcMar>
              <w:top w:w="0" w:type="dxa"/>
              <w:left w:w="108" w:type="dxa"/>
              <w:bottom w:w="0" w:type="dxa"/>
              <w:right w:w="108" w:type="dxa"/>
            </w:tcMar>
          </w:tcPr>
          <w:p w:rsidR="00E739D4" w:rsidRPr="00E739D4" w:rsidRDefault="00E739D4" w:rsidP="00E739D4">
            <w:pPr>
              <w:jc w:val="center"/>
              <w:rPr>
                <w:sz w:val="20"/>
                <w:szCs w:val="20"/>
              </w:rPr>
            </w:pPr>
            <w:r w:rsidRPr="00E739D4">
              <w:rPr>
                <w:sz w:val="20"/>
                <w:szCs w:val="20"/>
              </w:rPr>
              <w:t>67.7</w:t>
            </w:r>
          </w:p>
        </w:tc>
        <w:tc>
          <w:tcPr>
            <w:tcW w:w="858" w:type="pct"/>
            <w:tcBorders>
              <w:top w:val="nil"/>
              <w:left w:val="nil"/>
              <w:bottom w:val="single" w:sz="8" w:space="0" w:color="auto"/>
              <w:right w:val="single" w:sz="8" w:space="0" w:color="auto"/>
            </w:tcBorders>
            <w:tcMar>
              <w:top w:w="0" w:type="dxa"/>
              <w:left w:w="108" w:type="dxa"/>
              <w:bottom w:w="0" w:type="dxa"/>
              <w:right w:w="108" w:type="dxa"/>
            </w:tcMar>
            <w:vAlign w:val="center"/>
          </w:tcPr>
          <w:p w:rsidR="00E739D4" w:rsidRPr="00E739D4" w:rsidRDefault="00E739D4" w:rsidP="00E739D4">
            <w:pPr>
              <w:pStyle w:val="TableText"/>
              <w:jc w:val="center"/>
              <w:rPr>
                <w:rFonts w:ascii="Times New Roman" w:hAnsi="Times New Roman"/>
                <w:sz w:val="20"/>
                <w:szCs w:val="20"/>
              </w:rPr>
            </w:pPr>
            <w:r w:rsidRPr="00E739D4">
              <w:rPr>
                <w:rFonts w:ascii="Times New Roman" w:hAnsi="Times New Roman"/>
                <w:sz w:val="20"/>
                <w:szCs w:val="20"/>
              </w:rPr>
              <w:t>67.7</w:t>
            </w:r>
          </w:p>
        </w:tc>
      </w:tr>
    </w:tbl>
    <w:p w:rsidR="006C52BF" w:rsidRPr="0075092E" w:rsidRDefault="006C52BF" w:rsidP="006C52BF">
      <w:pPr>
        <w:pStyle w:val="Heading2"/>
        <w:spacing w:after="0" w:line="276" w:lineRule="auto"/>
        <w:rPr>
          <w:rFonts w:ascii="Times New Roman" w:hAnsi="Times New Roman" w:cs="Times New Roman"/>
          <w:color w:val="000000" w:themeColor="text1"/>
        </w:rPr>
      </w:pPr>
      <w:bookmarkStart w:id="241" w:name="_Toc447179836"/>
      <w:r w:rsidRPr="0075092E">
        <w:rPr>
          <w:rFonts w:ascii="Times New Roman" w:hAnsi="Times New Roman" w:cs="Times New Roman"/>
          <w:color w:val="000000" w:themeColor="text1"/>
        </w:rPr>
        <w:t xml:space="preserve">PLS Ex-Ante </w:t>
      </w:r>
      <w:r>
        <w:rPr>
          <w:rFonts w:ascii="Times New Roman" w:hAnsi="Times New Roman" w:cs="Times New Roman"/>
          <w:color w:val="000000" w:themeColor="text1"/>
        </w:rPr>
        <w:t xml:space="preserve">Load </w:t>
      </w:r>
      <w:r w:rsidR="00582EF8">
        <w:rPr>
          <w:rFonts w:ascii="Times New Roman" w:hAnsi="Times New Roman" w:cs="Times New Roman"/>
          <w:color w:val="000000" w:themeColor="text1"/>
        </w:rPr>
        <w:t xml:space="preserve">Impact </w:t>
      </w:r>
      <w:r>
        <w:rPr>
          <w:rFonts w:ascii="Times New Roman" w:hAnsi="Times New Roman" w:cs="Times New Roman"/>
          <w:color w:val="000000" w:themeColor="text1"/>
        </w:rPr>
        <w:t>Estimates</w:t>
      </w:r>
      <w:bookmarkEnd w:id="241"/>
    </w:p>
    <w:p w:rsidR="006C52BF" w:rsidRDefault="006C52BF" w:rsidP="006D478F">
      <w:pPr>
        <w:spacing w:line="276" w:lineRule="auto"/>
        <w:rPr>
          <w:color w:val="000000" w:themeColor="text1"/>
        </w:rPr>
      </w:pPr>
    </w:p>
    <w:p w:rsidR="00A44CCA" w:rsidRPr="00B777EF" w:rsidRDefault="00A44CCA" w:rsidP="00A44CCA">
      <w:pPr>
        <w:spacing w:line="276" w:lineRule="auto"/>
        <w:ind w:firstLine="360"/>
        <w:rPr>
          <w:color w:val="000000" w:themeColor="text1"/>
        </w:rPr>
      </w:pPr>
      <w:r w:rsidRPr="00260B68">
        <w:rPr>
          <w:color w:val="000000" w:themeColor="text1"/>
          <w:sz w:val="22"/>
          <w:szCs w:val="22"/>
        </w:rPr>
        <w:t>Table 8-2</w:t>
      </w:r>
      <w:r w:rsidRPr="00B777EF">
        <w:rPr>
          <w:color w:val="000000" w:themeColor="text1"/>
        </w:rPr>
        <w:t xml:space="preserve"> provides the ex ante load impact estimates for 2016–2026 monthly system peak days in May through October for SDG&amp;E-specific and CAISO 1-in-2 and 1-in-10 year weather conditions for the base scenario. SDG&amp;E’s service territory only has one LCA so the results are not divided geographically. In the base scenario, six SDG&amp;E identified projects come online in 2016 and two additional unidentified project comes online in 2017 to reach the steady state enrollment under the current budget scenario at eight installations producing 4.3 MW of load reduction in 2018. </w:t>
      </w:r>
      <w:r w:rsidRPr="00057690">
        <w:rPr>
          <w:color w:val="000000" w:themeColor="text1"/>
          <w:sz w:val="22"/>
          <w:szCs w:val="22"/>
        </w:rPr>
        <w:t xml:space="preserve">Table </w:t>
      </w:r>
      <w:r w:rsidR="0082610B" w:rsidRPr="00057690">
        <w:rPr>
          <w:color w:val="000000" w:themeColor="text1"/>
          <w:sz w:val="22"/>
          <w:szCs w:val="22"/>
        </w:rPr>
        <w:t>8-2</w:t>
      </w:r>
      <w:r w:rsidRPr="00B777EF">
        <w:rPr>
          <w:color w:val="000000" w:themeColor="text1"/>
        </w:rPr>
        <w:t xml:space="preserve"> also shows the expected trajectory of load impacts through 2026. As a result of the assumed 2.5% annual degradation in load impacts after year five of each installation, the aggregate load reduction under August 1-in-10 weather conditions decreases from around 4.3 MW in 2018 to 3.7 MW in 2026.</w:t>
      </w:r>
    </w:p>
    <w:p w:rsidR="001E1E05" w:rsidRPr="00B777EF" w:rsidRDefault="00A44CCA" w:rsidP="00A44CCA">
      <w:pPr>
        <w:spacing w:line="276" w:lineRule="auto"/>
        <w:ind w:firstLine="360"/>
        <w:rPr>
          <w:color w:val="000000" w:themeColor="text1"/>
        </w:rPr>
      </w:pPr>
      <w:r w:rsidRPr="00B777EF">
        <w:rPr>
          <w:color w:val="000000" w:themeColor="text1"/>
        </w:rPr>
        <w:t xml:space="preserve">The difference between utility specific and CAISO peaks tend to vary by month. Impacts range from the CAISO-specific, September 1-in-2 monthly peak day in 2018 being 17% greater than the utility specific comparable peak at 3.5 MW and 4.2 MW respectively; to the utility specific July 1-in-10 monthly peak day in 2018 being 24% greater than the CAISO specific comparable peak at 4.3 MW and 3.5 MW respectively. Year over year, the difference between the utility specific peak and the CAISO peak appears to remain fairly constant. For example, the utility specific August 1-in-10 monthly peak load impact is typically around 4% higher than the comparable CAISO specific impact.  </w:t>
      </w:r>
    </w:p>
    <w:p w:rsidR="00A44CCA" w:rsidRPr="00582EF8" w:rsidRDefault="00A44CCA" w:rsidP="00A44CCA">
      <w:pPr>
        <w:spacing w:line="276" w:lineRule="auto"/>
        <w:ind w:firstLine="576"/>
        <w:rPr>
          <w:color w:val="FF0000"/>
        </w:rPr>
      </w:pPr>
    </w:p>
    <w:p w:rsidR="00A44CCA" w:rsidRPr="00A44CCA" w:rsidRDefault="00A44CCA" w:rsidP="00A44CCA">
      <w:pPr>
        <w:pStyle w:val="Caption"/>
        <w:spacing w:after="120"/>
        <w:jc w:val="center"/>
        <w:rPr>
          <w:sz w:val="22"/>
          <w:szCs w:val="22"/>
        </w:rPr>
      </w:pPr>
      <w:bookmarkStart w:id="242" w:name="_Ref443507144"/>
      <w:r w:rsidRPr="00A44CCA">
        <w:rPr>
          <w:sz w:val="22"/>
          <w:szCs w:val="22"/>
        </w:rPr>
        <w:t xml:space="preserve">Table </w:t>
      </w:r>
      <w:r w:rsidR="0082610B">
        <w:rPr>
          <w:sz w:val="22"/>
          <w:szCs w:val="22"/>
        </w:rPr>
        <w:t>8</w:t>
      </w:r>
      <w:r w:rsidRPr="00A44CCA">
        <w:rPr>
          <w:sz w:val="22"/>
          <w:szCs w:val="22"/>
        </w:rPr>
        <w:noBreakHyphen/>
      </w:r>
      <w:bookmarkEnd w:id="242"/>
      <w:r w:rsidR="0082610B">
        <w:rPr>
          <w:sz w:val="22"/>
          <w:szCs w:val="22"/>
        </w:rPr>
        <w:t>2</w:t>
      </w:r>
      <w:r w:rsidRPr="00A44CCA">
        <w:rPr>
          <w:sz w:val="22"/>
          <w:szCs w:val="22"/>
        </w:rPr>
        <w:t xml:space="preserve">: SDG&amp;E Ex Ante Load Impact Estimates (1 to 6 PM) </w:t>
      </w:r>
      <w:r w:rsidRPr="00A44CCA">
        <w:rPr>
          <w:sz w:val="22"/>
          <w:szCs w:val="22"/>
        </w:rPr>
        <w:br/>
        <w:t>on Monthly Peak Days for May-October 2016-2026 (kW) – Base Scenario</w:t>
      </w:r>
    </w:p>
    <w:tbl>
      <w:tblPr>
        <w:tblW w:w="9885" w:type="dxa"/>
        <w:tblInd w:w="-432" w:type="dxa"/>
        <w:tblLayout w:type="fixed"/>
        <w:tblLook w:val="04A0" w:firstRow="1" w:lastRow="0" w:firstColumn="1" w:lastColumn="0" w:noHBand="0" w:noVBand="1"/>
      </w:tblPr>
      <w:tblGrid>
        <w:gridCol w:w="825"/>
        <w:gridCol w:w="810"/>
        <w:gridCol w:w="630"/>
        <w:gridCol w:w="720"/>
        <w:gridCol w:w="630"/>
        <w:gridCol w:w="720"/>
        <w:gridCol w:w="630"/>
        <w:gridCol w:w="720"/>
        <w:gridCol w:w="720"/>
        <w:gridCol w:w="720"/>
        <w:gridCol w:w="630"/>
        <w:gridCol w:w="795"/>
        <w:gridCol w:w="630"/>
        <w:gridCol w:w="705"/>
      </w:tblGrid>
      <w:tr w:rsidR="0082610B" w:rsidRPr="005F5BD8" w:rsidTr="00C10E7D">
        <w:trPr>
          <w:trHeight w:val="300"/>
        </w:trPr>
        <w:tc>
          <w:tcPr>
            <w:tcW w:w="825" w:type="dxa"/>
            <w:vMerge w:val="restart"/>
            <w:tcBorders>
              <w:top w:val="single" w:sz="4" w:space="0" w:color="000000"/>
              <w:left w:val="single" w:sz="4" w:space="0" w:color="000000"/>
              <w:bottom w:val="single" w:sz="4" w:space="0" w:color="FFFFFF"/>
              <w:right w:val="single" w:sz="4" w:space="0" w:color="FFFFFF" w:themeColor="background1"/>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Peak Type</w:t>
            </w:r>
          </w:p>
        </w:tc>
        <w:tc>
          <w:tcPr>
            <w:tcW w:w="810" w:type="dxa"/>
            <w:vMerge w:val="restart"/>
            <w:tcBorders>
              <w:top w:val="single" w:sz="4" w:space="0" w:color="000000"/>
              <w:left w:val="single" w:sz="4" w:space="0" w:color="FFFFFF" w:themeColor="background1"/>
              <w:bottom w:val="single" w:sz="4" w:space="0" w:color="000000"/>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Forecast Year</w:t>
            </w:r>
          </w:p>
        </w:tc>
        <w:tc>
          <w:tcPr>
            <w:tcW w:w="1350" w:type="dxa"/>
            <w:gridSpan w:val="2"/>
            <w:tcBorders>
              <w:top w:val="single" w:sz="4" w:space="0" w:color="000000"/>
              <w:left w:val="nil"/>
              <w:bottom w:val="single" w:sz="4" w:space="0" w:color="FFFFFF"/>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May</w:t>
            </w:r>
          </w:p>
        </w:tc>
        <w:tc>
          <w:tcPr>
            <w:tcW w:w="1350" w:type="dxa"/>
            <w:gridSpan w:val="2"/>
            <w:tcBorders>
              <w:top w:val="single" w:sz="4" w:space="0" w:color="000000"/>
              <w:left w:val="nil"/>
              <w:bottom w:val="single" w:sz="4" w:space="0" w:color="FFFFFF"/>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June</w:t>
            </w:r>
          </w:p>
        </w:tc>
        <w:tc>
          <w:tcPr>
            <w:tcW w:w="1350" w:type="dxa"/>
            <w:gridSpan w:val="2"/>
            <w:tcBorders>
              <w:top w:val="single" w:sz="4" w:space="0" w:color="000000"/>
              <w:left w:val="nil"/>
              <w:bottom w:val="single" w:sz="4" w:space="0" w:color="FFFFFF"/>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July</w:t>
            </w:r>
          </w:p>
        </w:tc>
        <w:tc>
          <w:tcPr>
            <w:tcW w:w="1440" w:type="dxa"/>
            <w:gridSpan w:val="2"/>
            <w:tcBorders>
              <w:top w:val="single" w:sz="4" w:space="0" w:color="000000"/>
              <w:left w:val="nil"/>
              <w:bottom w:val="single" w:sz="4" w:space="0" w:color="FFFFFF"/>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August</w:t>
            </w:r>
          </w:p>
        </w:tc>
        <w:tc>
          <w:tcPr>
            <w:tcW w:w="1425" w:type="dxa"/>
            <w:gridSpan w:val="2"/>
            <w:tcBorders>
              <w:top w:val="single" w:sz="4" w:space="0" w:color="000000"/>
              <w:left w:val="nil"/>
              <w:bottom w:val="single" w:sz="4" w:space="0" w:color="FFFFFF"/>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September</w:t>
            </w:r>
          </w:p>
        </w:tc>
        <w:tc>
          <w:tcPr>
            <w:tcW w:w="1335" w:type="dxa"/>
            <w:gridSpan w:val="2"/>
            <w:tcBorders>
              <w:top w:val="single" w:sz="4" w:space="0" w:color="000000"/>
              <w:left w:val="nil"/>
              <w:bottom w:val="single" w:sz="4" w:space="0" w:color="FFFFFF"/>
              <w:right w:val="single" w:sz="4" w:space="0" w:color="000000"/>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October</w:t>
            </w:r>
          </w:p>
        </w:tc>
      </w:tr>
      <w:tr w:rsidR="00A44CCA" w:rsidRPr="005F5BD8" w:rsidTr="00C10E7D">
        <w:trPr>
          <w:trHeight w:val="300"/>
        </w:trPr>
        <w:tc>
          <w:tcPr>
            <w:tcW w:w="825" w:type="dxa"/>
            <w:vMerge/>
            <w:tcBorders>
              <w:top w:val="single" w:sz="4" w:space="0" w:color="000000"/>
              <w:left w:val="single" w:sz="4" w:space="0" w:color="000000"/>
              <w:bottom w:val="single" w:sz="4" w:space="0" w:color="FFFFFF"/>
              <w:right w:val="single" w:sz="4" w:space="0" w:color="FFFFFF" w:themeColor="background1"/>
            </w:tcBorders>
            <w:shd w:val="clear" w:color="auto" w:fill="002060"/>
            <w:vAlign w:val="center"/>
            <w:hideMark/>
          </w:tcPr>
          <w:p w:rsidR="00A44CCA" w:rsidRPr="0082610B" w:rsidRDefault="00A44CCA" w:rsidP="0020759B">
            <w:pPr>
              <w:rPr>
                <w:b/>
                <w:bCs/>
                <w:color w:val="FFFFFF"/>
                <w:sz w:val="16"/>
                <w:szCs w:val="16"/>
              </w:rPr>
            </w:pPr>
          </w:p>
        </w:tc>
        <w:tc>
          <w:tcPr>
            <w:tcW w:w="810" w:type="dxa"/>
            <w:vMerge/>
            <w:tcBorders>
              <w:top w:val="single" w:sz="4" w:space="0" w:color="000000"/>
              <w:left w:val="single" w:sz="4" w:space="0" w:color="FFFFFF" w:themeColor="background1"/>
              <w:bottom w:val="single" w:sz="4" w:space="0" w:color="000000"/>
              <w:right w:val="single" w:sz="4" w:space="0" w:color="FFFFFF"/>
            </w:tcBorders>
            <w:shd w:val="clear" w:color="auto" w:fill="002060"/>
            <w:vAlign w:val="center"/>
            <w:hideMark/>
          </w:tcPr>
          <w:p w:rsidR="00A44CCA" w:rsidRPr="0082610B" w:rsidRDefault="00A44CCA" w:rsidP="0020759B">
            <w:pPr>
              <w:rPr>
                <w:b/>
                <w:bCs/>
                <w:color w:val="FFFFFF"/>
                <w:sz w:val="16"/>
                <w:szCs w:val="16"/>
              </w:rPr>
            </w:pPr>
          </w:p>
        </w:tc>
        <w:tc>
          <w:tcPr>
            <w:tcW w:w="630" w:type="dxa"/>
            <w:tcBorders>
              <w:top w:val="nil"/>
              <w:left w:val="nil"/>
              <w:bottom w:val="single" w:sz="4" w:space="0" w:color="000000"/>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1-in-2</w:t>
            </w:r>
          </w:p>
        </w:tc>
        <w:tc>
          <w:tcPr>
            <w:tcW w:w="720" w:type="dxa"/>
            <w:tcBorders>
              <w:top w:val="nil"/>
              <w:left w:val="nil"/>
              <w:bottom w:val="single" w:sz="4" w:space="0" w:color="000000"/>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1-in-10</w:t>
            </w:r>
          </w:p>
        </w:tc>
        <w:tc>
          <w:tcPr>
            <w:tcW w:w="630" w:type="dxa"/>
            <w:tcBorders>
              <w:top w:val="nil"/>
              <w:left w:val="nil"/>
              <w:bottom w:val="single" w:sz="4" w:space="0" w:color="000000"/>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1-in-2</w:t>
            </w:r>
          </w:p>
        </w:tc>
        <w:tc>
          <w:tcPr>
            <w:tcW w:w="720" w:type="dxa"/>
            <w:tcBorders>
              <w:top w:val="nil"/>
              <w:left w:val="nil"/>
              <w:bottom w:val="single" w:sz="4" w:space="0" w:color="000000"/>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1-in-10</w:t>
            </w:r>
          </w:p>
        </w:tc>
        <w:tc>
          <w:tcPr>
            <w:tcW w:w="630" w:type="dxa"/>
            <w:tcBorders>
              <w:top w:val="nil"/>
              <w:left w:val="nil"/>
              <w:bottom w:val="single" w:sz="4" w:space="0" w:color="000000"/>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1-in-2</w:t>
            </w:r>
          </w:p>
        </w:tc>
        <w:tc>
          <w:tcPr>
            <w:tcW w:w="720" w:type="dxa"/>
            <w:tcBorders>
              <w:top w:val="nil"/>
              <w:left w:val="nil"/>
              <w:bottom w:val="single" w:sz="4" w:space="0" w:color="000000"/>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1-in-10</w:t>
            </w:r>
          </w:p>
        </w:tc>
        <w:tc>
          <w:tcPr>
            <w:tcW w:w="720" w:type="dxa"/>
            <w:tcBorders>
              <w:top w:val="nil"/>
              <w:left w:val="nil"/>
              <w:bottom w:val="single" w:sz="4" w:space="0" w:color="000000"/>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1-in-2</w:t>
            </w:r>
          </w:p>
        </w:tc>
        <w:tc>
          <w:tcPr>
            <w:tcW w:w="720" w:type="dxa"/>
            <w:tcBorders>
              <w:top w:val="nil"/>
              <w:left w:val="nil"/>
              <w:bottom w:val="single" w:sz="4" w:space="0" w:color="000000"/>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1-in-10</w:t>
            </w:r>
          </w:p>
        </w:tc>
        <w:tc>
          <w:tcPr>
            <w:tcW w:w="630" w:type="dxa"/>
            <w:tcBorders>
              <w:top w:val="nil"/>
              <w:left w:val="nil"/>
              <w:bottom w:val="single" w:sz="4" w:space="0" w:color="000000"/>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1-in-2</w:t>
            </w:r>
          </w:p>
        </w:tc>
        <w:tc>
          <w:tcPr>
            <w:tcW w:w="795" w:type="dxa"/>
            <w:tcBorders>
              <w:top w:val="nil"/>
              <w:left w:val="nil"/>
              <w:bottom w:val="single" w:sz="4" w:space="0" w:color="000000"/>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1-in-10</w:t>
            </w:r>
          </w:p>
        </w:tc>
        <w:tc>
          <w:tcPr>
            <w:tcW w:w="630" w:type="dxa"/>
            <w:tcBorders>
              <w:top w:val="nil"/>
              <w:left w:val="nil"/>
              <w:bottom w:val="single" w:sz="4" w:space="0" w:color="000000"/>
              <w:right w:val="single" w:sz="4" w:space="0" w:color="FFFFFF"/>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1-in-2</w:t>
            </w:r>
          </w:p>
        </w:tc>
        <w:tc>
          <w:tcPr>
            <w:tcW w:w="705" w:type="dxa"/>
            <w:tcBorders>
              <w:top w:val="nil"/>
              <w:left w:val="nil"/>
              <w:bottom w:val="single" w:sz="4" w:space="0" w:color="000000"/>
              <w:right w:val="single" w:sz="4" w:space="0" w:color="000000"/>
            </w:tcBorders>
            <w:shd w:val="clear" w:color="auto" w:fill="002060"/>
            <w:vAlign w:val="center"/>
            <w:hideMark/>
          </w:tcPr>
          <w:p w:rsidR="00A44CCA" w:rsidRPr="0082610B" w:rsidRDefault="00A44CCA" w:rsidP="0020759B">
            <w:pPr>
              <w:jc w:val="center"/>
              <w:rPr>
                <w:b/>
                <w:bCs/>
                <w:color w:val="FFFFFF"/>
                <w:sz w:val="16"/>
                <w:szCs w:val="16"/>
              </w:rPr>
            </w:pPr>
            <w:r w:rsidRPr="0082610B">
              <w:rPr>
                <w:b/>
                <w:bCs/>
                <w:color w:val="FFFFFF"/>
                <w:sz w:val="16"/>
                <w:szCs w:val="16"/>
              </w:rPr>
              <w:t>1-in-10</w:t>
            </w:r>
          </w:p>
        </w:tc>
      </w:tr>
      <w:tr w:rsidR="00D135E4" w:rsidRPr="005F5BD8" w:rsidTr="00C10E7D">
        <w:trPr>
          <w:trHeight w:val="300"/>
        </w:trPr>
        <w:tc>
          <w:tcPr>
            <w:tcW w:w="8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44CCA" w:rsidRPr="0082610B" w:rsidRDefault="00A44CCA" w:rsidP="0020759B">
            <w:pPr>
              <w:jc w:val="center"/>
              <w:rPr>
                <w:color w:val="000000"/>
                <w:sz w:val="16"/>
                <w:szCs w:val="16"/>
              </w:rPr>
            </w:pPr>
            <w:r w:rsidRPr="0082610B">
              <w:rPr>
                <w:color w:val="000000"/>
                <w:sz w:val="16"/>
                <w:szCs w:val="16"/>
              </w:rPr>
              <w:t>Utility Specific</w:t>
            </w: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2016</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909</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1,037</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1,408</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1,523</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1,402</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1,784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1,772</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1,960</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1,684</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2,092</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1,795</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1,832</w:t>
            </w:r>
          </w:p>
        </w:tc>
      </w:tr>
      <w:tr w:rsidR="00D135E4" w:rsidRPr="005F5BD8" w:rsidTr="00C10E7D">
        <w:trPr>
          <w:trHeight w:val="300"/>
        </w:trPr>
        <w:tc>
          <w:tcPr>
            <w:tcW w:w="825" w:type="dxa"/>
            <w:vMerge/>
            <w:tcBorders>
              <w:top w:val="single" w:sz="4" w:space="0" w:color="auto"/>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2017</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3,116</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3,554</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3,237</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3,503</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3,225</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4,103</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3,542</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3,918</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3,367</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4,181</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3,588</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3,662</w:t>
            </w:r>
          </w:p>
        </w:tc>
      </w:tr>
      <w:tr w:rsidR="00D135E4" w:rsidRPr="005F5BD8" w:rsidTr="00C10E7D">
        <w:trPr>
          <w:trHeight w:val="300"/>
        </w:trPr>
        <w:tc>
          <w:tcPr>
            <w:tcW w:w="825" w:type="dxa"/>
            <w:vMerge/>
            <w:tcBorders>
              <w:top w:val="single" w:sz="4" w:space="0" w:color="auto"/>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2018</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3,251</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3,707</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3,377</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3,654</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3,364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4,280</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3,695</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4,087</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3,512</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4,362</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3,742</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3,820</w:t>
            </w:r>
          </w:p>
        </w:tc>
      </w:tr>
      <w:tr w:rsidR="00D135E4" w:rsidRPr="005F5BD8" w:rsidTr="00C10E7D">
        <w:trPr>
          <w:trHeight w:val="300"/>
        </w:trPr>
        <w:tc>
          <w:tcPr>
            <w:tcW w:w="825" w:type="dxa"/>
            <w:vMerge/>
            <w:tcBorders>
              <w:top w:val="single" w:sz="4" w:space="0" w:color="auto"/>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2019</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3,251</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3,707</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3,377</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3,654</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3,364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4,280</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3,695</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4,087</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3,512</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4,362</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3,742</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3,820</w:t>
            </w:r>
          </w:p>
        </w:tc>
      </w:tr>
      <w:tr w:rsidR="00D135E4" w:rsidRPr="005F5BD8" w:rsidTr="00C10E7D">
        <w:trPr>
          <w:trHeight w:val="300"/>
        </w:trPr>
        <w:tc>
          <w:tcPr>
            <w:tcW w:w="825" w:type="dxa"/>
            <w:vMerge/>
            <w:tcBorders>
              <w:top w:val="single" w:sz="4" w:space="0" w:color="auto"/>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2020</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3,251</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3,707</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3,377</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3,654</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3,364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4,280</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3,695</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4,087</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3,512</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4,362</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3,742</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3,820</w:t>
            </w:r>
          </w:p>
        </w:tc>
      </w:tr>
      <w:tr w:rsidR="00D135E4" w:rsidRPr="005F5BD8" w:rsidTr="00C10E7D">
        <w:trPr>
          <w:trHeight w:val="300"/>
        </w:trPr>
        <w:tc>
          <w:tcPr>
            <w:tcW w:w="825" w:type="dxa"/>
            <w:vMerge/>
            <w:tcBorders>
              <w:top w:val="single" w:sz="4" w:space="0" w:color="auto"/>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2021</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3,173</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3,618</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3,296</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3,566</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3,284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4,176</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3,606</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3,989</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3,428</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4,257</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3,653</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3,728</w:t>
            </w:r>
          </w:p>
        </w:tc>
      </w:tr>
      <w:tr w:rsidR="00D135E4" w:rsidRPr="005F5BD8" w:rsidTr="00C10E7D">
        <w:trPr>
          <w:trHeight w:val="300"/>
        </w:trPr>
        <w:tc>
          <w:tcPr>
            <w:tcW w:w="825" w:type="dxa"/>
            <w:vMerge/>
            <w:tcBorders>
              <w:top w:val="single" w:sz="4" w:space="0" w:color="auto"/>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2022</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3,093</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3,527</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3,213</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3,477</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3,203</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4,071</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3,515</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3,889</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3,343</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4,149</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3,562</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3,635</w:t>
            </w:r>
          </w:p>
        </w:tc>
      </w:tr>
      <w:tr w:rsidR="00D135E4" w:rsidRPr="005F5BD8" w:rsidTr="00C10E7D">
        <w:trPr>
          <w:trHeight w:val="300"/>
        </w:trPr>
        <w:tc>
          <w:tcPr>
            <w:tcW w:w="825" w:type="dxa"/>
            <w:vMerge/>
            <w:tcBorders>
              <w:top w:val="single" w:sz="4" w:space="0" w:color="auto"/>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2023</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3,016</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3,439</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3,133</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3,390</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3,124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3,968</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3,426</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3,791</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3,259</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4,045</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3,473</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3,544</w:t>
            </w:r>
          </w:p>
        </w:tc>
      </w:tr>
      <w:tr w:rsidR="00D135E4" w:rsidRPr="005F5BD8" w:rsidTr="00C10E7D">
        <w:trPr>
          <w:trHeight w:val="300"/>
        </w:trPr>
        <w:tc>
          <w:tcPr>
            <w:tcW w:w="825" w:type="dxa"/>
            <w:vMerge/>
            <w:tcBorders>
              <w:top w:val="single" w:sz="4" w:space="0" w:color="auto"/>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2024</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2,941</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3,353</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3,054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3,305</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3,046</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3,868</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3,340</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3,696</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3,178</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3,942</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3,387</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3,456</w:t>
            </w:r>
          </w:p>
        </w:tc>
      </w:tr>
      <w:tr w:rsidR="00D135E4" w:rsidRPr="005F5BD8" w:rsidTr="00C10E7D">
        <w:trPr>
          <w:trHeight w:val="300"/>
        </w:trPr>
        <w:tc>
          <w:tcPr>
            <w:tcW w:w="825" w:type="dxa"/>
            <w:vMerge/>
            <w:tcBorders>
              <w:top w:val="single" w:sz="4" w:space="0" w:color="auto"/>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2025</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2,867</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3,269</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2,978</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3,223</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2,971</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3,770</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3,256</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3,604</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3,098</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3,843</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3,303</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3,370</w:t>
            </w:r>
          </w:p>
        </w:tc>
      </w:tr>
      <w:tr w:rsidR="00D135E4" w:rsidRPr="005F5BD8" w:rsidTr="00C10E7D">
        <w:trPr>
          <w:trHeight w:val="300"/>
        </w:trPr>
        <w:tc>
          <w:tcPr>
            <w:tcW w:w="825" w:type="dxa"/>
            <w:vMerge/>
            <w:tcBorders>
              <w:top w:val="single" w:sz="4" w:space="0" w:color="auto"/>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2026</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2,795</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3,187</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2,903</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3,142</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2,897</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3,674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3,174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3,514</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3,021</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3,746</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3,220</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3,286</w:t>
            </w:r>
          </w:p>
        </w:tc>
      </w:tr>
      <w:tr w:rsidR="00D135E4" w:rsidRPr="005F5BD8" w:rsidTr="00C10E7D">
        <w:trPr>
          <w:trHeight w:val="300"/>
        </w:trPr>
        <w:tc>
          <w:tcPr>
            <w:tcW w:w="825" w:type="dxa"/>
            <w:vMerge w:val="restart"/>
            <w:tcBorders>
              <w:top w:val="nil"/>
              <w:left w:val="single" w:sz="4" w:space="0" w:color="auto"/>
              <w:bottom w:val="single" w:sz="4" w:space="0" w:color="auto"/>
              <w:right w:val="single" w:sz="4" w:space="0" w:color="auto"/>
            </w:tcBorders>
            <w:shd w:val="clear" w:color="auto" w:fill="auto"/>
            <w:vAlign w:val="center"/>
            <w:hideMark/>
          </w:tcPr>
          <w:p w:rsidR="00A44CCA" w:rsidRPr="0082610B" w:rsidRDefault="00A44CCA" w:rsidP="0020759B">
            <w:pPr>
              <w:jc w:val="center"/>
              <w:rPr>
                <w:color w:val="000000"/>
                <w:sz w:val="16"/>
                <w:szCs w:val="16"/>
              </w:rPr>
            </w:pPr>
            <w:r w:rsidRPr="0082610B">
              <w:rPr>
                <w:color w:val="000000"/>
                <w:sz w:val="16"/>
                <w:szCs w:val="16"/>
              </w:rPr>
              <w:t>CAISO Specific</w:t>
            </w: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2016</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796</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1,079</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1,319</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1,551</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1,506</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1,441</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1,813</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1,889</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2,026</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2,066</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1,629</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1,828</w:t>
            </w:r>
          </w:p>
        </w:tc>
      </w:tr>
      <w:tr w:rsidR="00D135E4" w:rsidRPr="005F5BD8" w:rsidTr="00C10E7D">
        <w:trPr>
          <w:trHeight w:val="300"/>
        </w:trPr>
        <w:tc>
          <w:tcPr>
            <w:tcW w:w="825" w:type="dxa"/>
            <w:vMerge/>
            <w:tcBorders>
              <w:top w:val="nil"/>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2017</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2,729</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3,699</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3,033</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3,568</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3,464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3,314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3,624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3,777</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4,051</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4,130</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3,257</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3,653</w:t>
            </w:r>
          </w:p>
        </w:tc>
      </w:tr>
      <w:tr w:rsidR="00D135E4" w:rsidRPr="005F5BD8" w:rsidTr="00C10E7D">
        <w:trPr>
          <w:trHeight w:val="300"/>
        </w:trPr>
        <w:tc>
          <w:tcPr>
            <w:tcW w:w="825" w:type="dxa"/>
            <w:vMerge/>
            <w:tcBorders>
              <w:top w:val="nil"/>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2018</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2,847</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3,858</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3,164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3,722</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3,614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3,457</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3,780</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3,940</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4,225</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4,309</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3,397</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3,811</w:t>
            </w:r>
          </w:p>
        </w:tc>
      </w:tr>
      <w:tr w:rsidR="00D135E4" w:rsidRPr="005F5BD8" w:rsidTr="00C10E7D">
        <w:trPr>
          <w:trHeight w:val="300"/>
        </w:trPr>
        <w:tc>
          <w:tcPr>
            <w:tcW w:w="825" w:type="dxa"/>
            <w:vMerge/>
            <w:tcBorders>
              <w:top w:val="nil"/>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2019</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2,847</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3,858</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3,164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3,722</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3,614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3,457</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3,780</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3,940</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4,225</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4,309</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3,397</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3,811</w:t>
            </w:r>
          </w:p>
        </w:tc>
      </w:tr>
      <w:tr w:rsidR="00D135E4" w:rsidRPr="005F5BD8" w:rsidTr="00C10E7D">
        <w:trPr>
          <w:trHeight w:val="300"/>
        </w:trPr>
        <w:tc>
          <w:tcPr>
            <w:tcW w:w="825" w:type="dxa"/>
            <w:vMerge/>
            <w:tcBorders>
              <w:top w:val="nil"/>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2020</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2,847</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3,858</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3,164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3,722</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3,614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3,457</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3,780</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3,940</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4,225</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4,309</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3,397</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3,811</w:t>
            </w:r>
          </w:p>
        </w:tc>
      </w:tr>
      <w:tr w:rsidR="00D135E4" w:rsidRPr="005F5BD8" w:rsidTr="00C10E7D">
        <w:trPr>
          <w:trHeight w:val="300"/>
        </w:trPr>
        <w:tc>
          <w:tcPr>
            <w:tcW w:w="825" w:type="dxa"/>
            <w:vMerge/>
            <w:tcBorders>
              <w:top w:val="nil"/>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2021</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2,779</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3,766</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3,088</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3,632</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3,528</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3,375</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3,690</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3,845</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4,123</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4,203</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3,317</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3,719</w:t>
            </w:r>
          </w:p>
        </w:tc>
      </w:tr>
      <w:tr w:rsidR="00D135E4" w:rsidRPr="005F5BD8" w:rsidTr="00C10E7D">
        <w:trPr>
          <w:trHeight w:val="300"/>
        </w:trPr>
        <w:tc>
          <w:tcPr>
            <w:tcW w:w="825" w:type="dxa"/>
            <w:vMerge/>
            <w:tcBorders>
              <w:top w:val="nil"/>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2022</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2,709</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3,671</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3,011</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3,541</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3,440</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3,291</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3,597</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3,748</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4,019</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4,096</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3,234</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3,625</w:t>
            </w:r>
          </w:p>
        </w:tc>
      </w:tr>
      <w:tr w:rsidR="00D135E4" w:rsidRPr="005F5BD8" w:rsidTr="00C10E7D">
        <w:trPr>
          <w:trHeight w:val="300"/>
        </w:trPr>
        <w:tc>
          <w:tcPr>
            <w:tcW w:w="825" w:type="dxa"/>
            <w:vMerge/>
            <w:tcBorders>
              <w:top w:val="nil"/>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2023</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2,641</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3,580</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2,936</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3,452</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3,355</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3,209</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3,507</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3,654</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3,918</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3,992</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3,154</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3,533</w:t>
            </w:r>
          </w:p>
        </w:tc>
      </w:tr>
      <w:tr w:rsidR="00D135E4" w:rsidRPr="005F5BD8" w:rsidTr="00C10E7D">
        <w:trPr>
          <w:trHeight w:val="300"/>
        </w:trPr>
        <w:tc>
          <w:tcPr>
            <w:tcW w:w="825" w:type="dxa"/>
            <w:vMerge/>
            <w:tcBorders>
              <w:top w:val="nil"/>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2024</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2,574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3,490</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2,863</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3,366</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3,272</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3,129</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3,420</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3,563</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3,819</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3,890</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3,076</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3,444</w:t>
            </w:r>
          </w:p>
        </w:tc>
      </w:tr>
      <w:tr w:rsidR="00D135E4" w:rsidRPr="005F5BD8" w:rsidTr="00C10E7D">
        <w:trPr>
          <w:trHeight w:val="300"/>
        </w:trPr>
        <w:tc>
          <w:tcPr>
            <w:tcW w:w="825" w:type="dxa"/>
            <w:vMerge/>
            <w:tcBorders>
              <w:top w:val="nil"/>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2025</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2,510</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3,403</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2,791</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3,281</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3,191</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3,051</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3,334</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3,473</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3,723</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3,790</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2,999</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3,357</w:t>
            </w:r>
          </w:p>
        </w:tc>
      </w:tr>
      <w:tr w:rsidR="00D135E4" w:rsidRPr="005F5BD8" w:rsidTr="00C10E7D">
        <w:trPr>
          <w:trHeight w:val="300"/>
        </w:trPr>
        <w:tc>
          <w:tcPr>
            <w:tcW w:w="825" w:type="dxa"/>
            <w:vMerge/>
            <w:tcBorders>
              <w:top w:val="nil"/>
              <w:left w:val="single" w:sz="4" w:space="0" w:color="auto"/>
              <w:bottom w:val="single" w:sz="4" w:space="0" w:color="auto"/>
              <w:right w:val="single" w:sz="4" w:space="0" w:color="auto"/>
            </w:tcBorders>
            <w:vAlign w:val="center"/>
            <w:hideMark/>
          </w:tcPr>
          <w:p w:rsidR="00A44CCA" w:rsidRPr="0082610B" w:rsidRDefault="00A44CCA" w:rsidP="0020759B">
            <w:pPr>
              <w:rPr>
                <w:color w:val="000000"/>
                <w:sz w:val="16"/>
                <w:szCs w:val="16"/>
              </w:rPr>
            </w:pPr>
          </w:p>
        </w:tc>
        <w:tc>
          <w:tcPr>
            <w:tcW w:w="81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2026</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2,446</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3,318</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2,722</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3,199</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3,112</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2,975</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3,251</w:t>
            </w:r>
          </w:p>
        </w:tc>
        <w:tc>
          <w:tcPr>
            <w:tcW w:w="72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3,386</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3,629</w:t>
            </w:r>
          </w:p>
        </w:tc>
        <w:tc>
          <w:tcPr>
            <w:tcW w:w="79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3,693</w:t>
            </w:r>
          </w:p>
        </w:tc>
        <w:tc>
          <w:tcPr>
            <w:tcW w:w="630"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2,925</w:t>
            </w:r>
          </w:p>
        </w:tc>
        <w:tc>
          <w:tcPr>
            <w:tcW w:w="705" w:type="dxa"/>
            <w:tcBorders>
              <w:top w:val="nil"/>
              <w:left w:val="nil"/>
              <w:bottom w:val="single" w:sz="4" w:space="0" w:color="000000"/>
              <w:right w:val="single" w:sz="4" w:space="0" w:color="000000"/>
            </w:tcBorders>
            <w:shd w:val="clear" w:color="auto" w:fill="auto"/>
            <w:noWrap/>
            <w:vAlign w:val="center"/>
            <w:hideMark/>
          </w:tcPr>
          <w:p w:rsidR="00A44CCA" w:rsidRPr="0082610B" w:rsidRDefault="00A44CCA" w:rsidP="0020759B">
            <w:pPr>
              <w:jc w:val="center"/>
              <w:rPr>
                <w:color w:val="000000"/>
                <w:sz w:val="16"/>
                <w:szCs w:val="16"/>
              </w:rPr>
            </w:pPr>
            <w:r w:rsidRPr="0082610B">
              <w:rPr>
                <w:color w:val="000000"/>
                <w:sz w:val="16"/>
                <w:szCs w:val="16"/>
              </w:rPr>
              <w:t>3,272</w:t>
            </w:r>
          </w:p>
        </w:tc>
      </w:tr>
    </w:tbl>
    <w:p w:rsidR="001E1E05" w:rsidRDefault="001E1E05" w:rsidP="006C52BF">
      <w:pPr>
        <w:spacing w:line="276" w:lineRule="auto"/>
        <w:ind w:firstLine="576"/>
        <w:rPr>
          <w:color w:val="000000" w:themeColor="text1"/>
        </w:rPr>
      </w:pPr>
    </w:p>
    <w:p w:rsidR="00463C7B" w:rsidRPr="0075092E" w:rsidRDefault="00463C7B" w:rsidP="00F0094E">
      <w:pPr>
        <w:pStyle w:val="Heading1"/>
        <w:rPr>
          <w:rFonts w:ascii="Times New Roman" w:hAnsi="Times New Roman" w:cs="Times New Roman"/>
          <w:color w:val="000000" w:themeColor="text1"/>
        </w:rPr>
      </w:pPr>
      <w:bookmarkStart w:id="243" w:name="_Toc447179837"/>
      <w:r w:rsidRPr="00463C7B">
        <w:rPr>
          <w:rFonts w:ascii="Times New Roman" w:hAnsi="Times New Roman" w:cs="Times New Roman"/>
          <w:color w:val="000000" w:themeColor="text1"/>
        </w:rPr>
        <w:t>SPP Rates</w:t>
      </w:r>
      <w:bookmarkEnd w:id="243"/>
    </w:p>
    <w:p w:rsidR="00463C7B" w:rsidRPr="00F0094E" w:rsidRDefault="00F0094E" w:rsidP="00F0094E">
      <w:pPr>
        <w:pStyle w:val="Heading2"/>
        <w:rPr>
          <w:rFonts w:ascii="Times New Roman" w:hAnsi="Times New Roman" w:cs="Times New Roman"/>
        </w:rPr>
      </w:pPr>
      <w:bookmarkStart w:id="244" w:name="_Toc447179838"/>
      <w:r w:rsidRPr="00F0094E">
        <w:rPr>
          <w:rFonts w:ascii="Times New Roman" w:hAnsi="Times New Roman" w:cs="Times New Roman"/>
          <w:color w:val="000000" w:themeColor="text1"/>
        </w:rPr>
        <w:t xml:space="preserve">Small Commercial </w:t>
      </w:r>
      <w:r w:rsidR="00463C7B" w:rsidRPr="00F0094E">
        <w:rPr>
          <w:rFonts w:ascii="Times New Roman" w:hAnsi="Times New Roman" w:cs="Times New Roman"/>
        </w:rPr>
        <w:t>SPP Rates Overview</w:t>
      </w:r>
      <w:bookmarkEnd w:id="244"/>
    </w:p>
    <w:p w:rsidR="00463C7B" w:rsidRDefault="00463C7B" w:rsidP="006C52BF">
      <w:pPr>
        <w:spacing w:line="276" w:lineRule="auto"/>
        <w:ind w:firstLine="576"/>
        <w:rPr>
          <w:color w:val="000000" w:themeColor="text1"/>
        </w:rPr>
      </w:pPr>
    </w:p>
    <w:p w:rsidR="00336E76" w:rsidRPr="00B777EF" w:rsidRDefault="00336E76" w:rsidP="00F0094E">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This section documents the program year 2015 (PY 2015) load impacts for San Diego Gas and Electric’s (SDG&amp;E) time varying pricing tariffs for small commercial and agricultural customers, including: </w:t>
      </w: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p w:rsidR="00336E76" w:rsidRPr="00B777EF" w:rsidRDefault="00336E76" w:rsidP="00F0094E">
      <w:pPr>
        <w:pStyle w:val="Bullets"/>
        <w:spacing w:after="0" w:line="276" w:lineRule="auto"/>
        <w:ind w:left="0" w:firstLine="360"/>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Time-of-use for small commercial customers (TOU-A);</w:t>
      </w:r>
    </w:p>
    <w:p w:rsidR="00336E76" w:rsidRPr="00B777EF" w:rsidRDefault="00336E76" w:rsidP="00F0094E">
      <w:pPr>
        <w:pStyle w:val="Bullets"/>
        <w:spacing w:after="0" w:line="276" w:lineRule="auto"/>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 xml:space="preserve">Time-of-use with a critical peak pricing component for small commercial customers </w:t>
      </w:r>
      <w:r w:rsidR="00F0094E" w:rsidRPr="00B777EF">
        <w:rPr>
          <w:rFonts w:ascii="Times New Roman" w:hAnsi="Times New Roman" w:cs="Times New Roman"/>
          <w:color w:val="000000" w:themeColor="text1"/>
          <w:sz w:val="24"/>
          <w:szCs w:val="24"/>
        </w:rPr>
        <w:t xml:space="preserve"> </w:t>
      </w:r>
      <w:r w:rsidRPr="00B777EF">
        <w:rPr>
          <w:rFonts w:ascii="Times New Roman" w:hAnsi="Times New Roman" w:cs="Times New Roman"/>
          <w:color w:val="000000" w:themeColor="text1"/>
          <w:sz w:val="24"/>
          <w:szCs w:val="24"/>
        </w:rPr>
        <w:t>(TOU-A-P);</w:t>
      </w:r>
    </w:p>
    <w:p w:rsidR="00336E76" w:rsidRPr="00B777EF" w:rsidRDefault="00336E76" w:rsidP="00F0094E">
      <w:pPr>
        <w:pStyle w:val="Bullets"/>
        <w:spacing w:after="0" w:line="276" w:lineRule="auto"/>
        <w:ind w:left="0" w:firstLine="360"/>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Time-of-use for agricultural customers (TOU-PA); and</w:t>
      </w:r>
    </w:p>
    <w:p w:rsidR="00336E76" w:rsidRPr="00B777EF" w:rsidRDefault="00336E76" w:rsidP="00F0094E">
      <w:pPr>
        <w:pStyle w:val="BulletLast"/>
        <w:spacing w:after="0" w:line="276" w:lineRule="auto"/>
        <w:ind w:left="0" w:firstLine="360"/>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lastRenderedPageBreak/>
        <w:t xml:space="preserve">Critical peak pricing for agricultural customers (TOU-PA-P). </w:t>
      </w:r>
    </w:p>
    <w:p w:rsidR="00336E76" w:rsidRPr="00B777EF" w:rsidRDefault="00336E76" w:rsidP="00F0094E">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Collectively these rates are referred to as time varying rates. With TOU rates (TOU-A, TOU-PA), prices vary according to a preset schedule by season, weekday/weekend and hour of day.  With TOU-CPP rates (TOU-A-P and TOU-PA-P), prices also vary according to a preset schedule but customers also face much larger price signals during critical periods, or events, and in exchange get a discount during all other hours. Customers are notified of critical peak events a day in advance. </w:t>
      </w: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Prior to the full-scale implementation of time-varying rates to all non-residential customers, SDG&amp;E offered versions of the SPP rates to a subset of small commercial customers beginning in the summer of 2014. Marketing of SPP rates to small commercial customers was not random, but rather targeted customers who were most likely to benefit from being on one of the two SPP rates and customers with account representatives. Given this marketing strategy, the subset of customers who enrolled on the rates consisted of structural winners who self-selected and are not representative of the entire SDG&amp;E small commercial customer population. This lack of customer diversity further limits the representativeness of the sample to the broader SDG&amp;E population.</w:t>
      </w: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p w:rsidR="00CC54C7" w:rsidRPr="00F0094E" w:rsidRDefault="00CC54C7" w:rsidP="00CC54C7">
      <w:pPr>
        <w:pStyle w:val="Heading2"/>
        <w:rPr>
          <w:rFonts w:ascii="Times New Roman" w:hAnsi="Times New Roman" w:cs="Times New Roman"/>
        </w:rPr>
      </w:pPr>
      <w:bookmarkStart w:id="245" w:name="_Toc447179839"/>
      <w:r>
        <w:rPr>
          <w:rFonts w:ascii="Times New Roman" w:hAnsi="Times New Roman" w:cs="Times New Roman"/>
          <w:color w:val="000000" w:themeColor="text1"/>
        </w:rPr>
        <w:t xml:space="preserve">Residential </w:t>
      </w:r>
      <w:r w:rsidRPr="00F0094E">
        <w:rPr>
          <w:rFonts w:ascii="Times New Roman" w:hAnsi="Times New Roman" w:cs="Times New Roman"/>
        </w:rPr>
        <w:t>SPP Rates Overview</w:t>
      </w:r>
      <w:bookmarkEnd w:id="245"/>
    </w:p>
    <w:p w:rsidR="0015193D" w:rsidRDefault="0015193D" w:rsidP="0015193D">
      <w:pPr>
        <w:pStyle w:val="BodyParagraph"/>
        <w:rPr>
          <w:rFonts w:ascii="Times New Roman" w:hAnsi="Times New Roman"/>
          <w:color w:val="000000" w:themeColor="text1"/>
          <w:sz w:val="24"/>
          <w:szCs w:val="24"/>
        </w:rPr>
      </w:pPr>
    </w:p>
    <w:p w:rsidR="00CC54C7" w:rsidRDefault="00CC54C7" w:rsidP="002D646C">
      <w:pPr>
        <w:pStyle w:val="BodyParagraph"/>
        <w:spacing w:after="0" w:line="276" w:lineRule="auto"/>
        <w:ind w:firstLine="360"/>
        <w:rPr>
          <w:rFonts w:ascii="Times New Roman" w:hAnsi="Times New Roman"/>
          <w:color w:val="000000" w:themeColor="text1"/>
          <w:sz w:val="24"/>
          <w:szCs w:val="24"/>
        </w:rPr>
      </w:pPr>
      <w:r>
        <w:rPr>
          <w:rFonts w:ascii="Times New Roman" w:hAnsi="Times New Roman"/>
          <w:color w:val="000000" w:themeColor="text1"/>
          <w:sz w:val="24"/>
          <w:szCs w:val="24"/>
        </w:rPr>
        <w:t xml:space="preserve">SDG&amp;E current has a voluntary </w:t>
      </w:r>
      <w:r w:rsidR="002D646C">
        <w:rPr>
          <w:rFonts w:ascii="Times New Roman" w:hAnsi="Times New Roman"/>
          <w:color w:val="000000" w:themeColor="text1"/>
          <w:sz w:val="24"/>
          <w:szCs w:val="24"/>
        </w:rPr>
        <w:t>residential CPP rate (TOU-DR-P</w:t>
      </w:r>
      <w:r>
        <w:rPr>
          <w:rFonts w:ascii="Times New Roman" w:hAnsi="Times New Roman"/>
          <w:color w:val="000000" w:themeColor="text1"/>
          <w:sz w:val="24"/>
          <w:szCs w:val="24"/>
        </w:rPr>
        <w:t>) and a new voluntary residential TOU rate (TOU-DR). SDG&amp;E is not providing an ex-ante forecast for these rates at this time due to the large amount of uncertainty due to SDG&amp;E pending GRC phase II application filed in December of 2016. In the GRC phase II application SDG&amp;E proposed to change the on-peak time of use period for all customer classes from 11 a.m.-6p.m. to 4 p.m. – 9p</w:t>
      </w:r>
      <w:r w:rsidR="002D646C">
        <w:rPr>
          <w:rFonts w:ascii="Times New Roman" w:hAnsi="Times New Roman"/>
          <w:color w:val="000000" w:themeColor="text1"/>
          <w:sz w:val="24"/>
          <w:szCs w:val="24"/>
        </w:rPr>
        <w:t>.m and a residential opt-in TOU pilot is currently underway to evaluate what type of load impacts TOU customers provide at this time of day. In addition SDG&amp;E proposed to terminate its PTR program in its GRC phase II filing and to transition PTR customer to the new TOU-DR-P rate available so providing a forecast for both PTR and TOU-DR-P might overstate the results.</w:t>
      </w:r>
    </w:p>
    <w:p w:rsidR="002D646C" w:rsidRDefault="002D646C" w:rsidP="002D646C">
      <w:pPr>
        <w:pStyle w:val="BodyParagraph"/>
        <w:spacing w:after="0" w:line="276" w:lineRule="auto"/>
        <w:ind w:firstLine="360"/>
        <w:rPr>
          <w:rFonts w:ascii="Times New Roman" w:hAnsi="Times New Roman"/>
          <w:color w:val="000000" w:themeColor="text1"/>
          <w:sz w:val="24"/>
          <w:szCs w:val="24"/>
        </w:rPr>
      </w:pPr>
    </w:p>
    <w:p w:rsidR="0015193D" w:rsidRPr="00B777EF" w:rsidRDefault="0015193D" w:rsidP="00260B68">
      <w:pPr>
        <w:pStyle w:val="BodyParagraph"/>
        <w:spacing w:line="276" w:lineRule="auto"/>
        <w:ind w:firstLine="360"/>
        <w:rPr>
          <w:rFonts w:ascii="Times New Roman" w:hAnsi="Times New Roman"/>
          <w:color w:val="000000" w:themeColor="text1"/>
          <w:sz w:val="24"/>
          <w:szCs w:val="24"/>
        </w:rPr>
      </w:pPr>
    </w:p>
    <w:p w:rsidR="00F0094E" w:rsidRPr="000D3BA6" w:rsidRDefault="00F0094E" w:rsidP="00F0094E">
      <w:pPr>
        <w:pStyle w:val="BodyParagraph"/>
        <w:spacing w:after="0" w:line="276" w:lineRule="auto"/>
        <w:ind w:firstLine="360"/>
        <w:rPr>
          <w:rFonts w:ascii="Times New Roman" w:hAnsi="Times New Roman"/>
          <w:sz w:val="24"/>
          <w:szCs w:val="24"/>
        </w:rPr>
      </w:pPr>
    </w:p>
    <w:p w:rsidR="00B777EF" w:rsidRDefault="00B777EF">
      <w:pPr>
        <w:rPr>
          <w:b/>
          <w:bCs/>
          <w:sz w:val="22"/>
          <w:szCs w:val="22"/>
        </w:rPr>
      </w:pPr>
      <w:bookmarkStart w:id="246" w:name="_Ref446057521"/>
      <w:r>
        <w:rPr>
          <w:sz w:val="22"/>
          <w:szCs w:val="22"/>
        </w:rPr>
        <w:br w:type="page"/>
      </w:r>
    </w:p>
    <w:bookmarkEnd w:id="246"/>
    <w:p w:rsidR="00F0094E" w:rsidRPr="000D3BA6" w:rsidRDefault="00F0094E" w:rsidP="00F0094E">
      <w:pPr>
        <w:ind w:firstLine="360"/>
      </w:pPr>
    </w:p>
    <w:p w:rsidR="00F0094E" w:rsidRPr="00416A58" w:rsidRDefault="00F0094E" w:rsidP="003562F8">
      <w:pPr>
        <w:pStyle w:val="Heading2"/>
        <w:numPr>
          <w:ilvl w:val="1"/>
          <w:numId w:val="40"/>
        </w:numPr>
        <w:spacing w:before="0" w:after="0" w:line="276" w:lineRule="auto"/>
        <w:ind w:left="0" w:firstLine="0"/>
        <w:rPr>
          <w:rFonts w:ascii="Times New Roman" w:hAnsi="Times New Roman" w:cs="Times New Roman"/>
          <w:i w:val="0"/>
          <w:szCs w:val="24"/>
        </w:rPr>
      </w:pPr>
      <w:bookmarkStart w:id="247" w:name="_Toc444676017"/>
      <w:r w:rsidRPr="00416A58">
        <w:rPr>
          <w:rFonts w:ascii="Times New Roman" w:hAnsi="Times New Roman" w:cs="Times New Roman"/>
          <w:szCs w:val="24"/>
        </w:rPr>
        <w:t xml:space="preserve"> </w:t>
      </w:r>
      <w:bookmarkStart w:id="248" w:name="_Ref446057038"/>
      <w:bookmarkStart w:id="249" w:name="_Toc447179840"/>
      <w:r w:rsidRPr="00416A58">
        <w:rPr>
          <w:rFonts w:ascii="Times New Roman" w:hAnsi="Times New Roman" w:cs="Times New Roman"/>
          <w:szCs w:val="24"/>
        </w:rPr>
        <w:t>SDG&amp;E’s Implementation of Time Varying Rates</w:t>
      </w:r>
      <w:bookmarkEnd w:id="247"/>
      <w:bookmarkEnd w:id="248"/>
      <w:bookmarkEnd w:id="249"/>
    </w:p>
    <w:p w:rsidR="00F0094E" w:rsidRPr="000D3BA6" w:rsidRDefault="00F0094E" w:rsidP="00F0094E">
      <w:pPr>
        <w:pStyle w:val="BodyParagraph"/>
        <w:spacing w:after="0" w:line="276" w:lineRule="auto"/>
        <w:ind w:firstLine="360"/>
        <w:rPr>
          <w:rFonts w:ascii="Times New Roman" w:hAnsi="Times New Roman"/>
          <w:sz w:val="24"/>
          <w:szCs w:val="24"/>
        </w:rPr>
      </w:pPr>
    </w:p>
    <w:p w:rsidR="00F0094E" w:rsidRPr="00B777EF" w:rsidRDefault="00F0094E" w:rsidP="00F0094E">
      <w:pPr>
        <w:pStyle w:val="BodyParaAfterTableFigure"/>
        <w:spacing w:before="0"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Before all customers can transition over to time varying rates in the fall of 2015, SDG&amp;E made the rates available to a selected group of small commercial customers on an opt-in basis before the summer of 2014. Customer eligibility for the opt-in rates was determined based on billing analysis and marketing focused on a group of customers who had account representatives and/or were expected to save money compared to their current flat rate.</w:t>
      </w:r>
      <w:r w:rsidRPr="00B777EF">
        <w:rPr>
          <w:rStyle w:val="FootnoteReference"/>
          <w:rFonts w:ascii="Times New Roman" w:hAnsi="Times New Roman"/>
          <w:color w:val="000000" w:themeColor="text1"/>
          <w:sz w:val="24"/>
          <w:szCs w:val="24"/>
        </w:rPr>
        <w:footnoteReference w:id="21"/>
      </w:r>
      <w:r w:rsidRPr="00B777EF">
        <w:rPr>
          <w:rFonts w:ascii="Times New Roman" w:hAnsi="Times New Roman"/>
          <w:color w:val="000000" w:themeColor="text1"/>
          <w:sz w:val="24"/>
          <w:szCs w:val="24"/>
        </w:rPr>
        <w:t xml:space="preserve"> Of the customers who were marketed to, approximately 2,600 enrolled in either the TOU or TOU-CPP rate by the end of 2015, with a roughly even split between the two rates. </w:t>
      </w: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p w:rsidR="00F0094E" w:rsidRPr="00B777EF" w:rsidRDefault="00F0094E" w:rsidP="00F0094E">
      <w:pPr>
        <w:pStyle w:val="BodyParaAfterTableFigure"/>
        <w:spacing w:before="0"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This report contains an impact analysis of the new rates on these self-selected customers, including impact estimates for summer weekdays when the TOU rate was in effect as well as the four CPP events that were called during the summer (August 28</w:t>
      </w:r>
      <w:r w:rsidRPr="00B777EF">
        <w:rPr>
          <w:rFonts w:ascii="Times New Roman" w:hAnsi="Times New Roman"/>
          <w:color w:val="000000" w:themeColor="text1"/>
          <w:sz w:val="24"/>
          <w:szCs w:val="24"/>
          <w:vertAlign w:val="superscript"/>
        </w:rPr>
        <w:t>th</w:t>
      </w:r>
      <w:r w:rsidRPr="00B777EF">
        <w:rPr>
          <w:rFonts w:ascii="Times New Roman" w:hAnsi="Times New Roman"/>
          <w:color w:val="000000" w:themeColor="text1"/>
          <w:sz w:val="24"/>
          <w:szCs w:val="24"/>
        </w:rPr>
        <w:t>, and September 9</w:t>
      </w:r>
      <w:r w:rsidRPr="00B777EF">
        <w:rPr>
          <w:rFonts w:ascii="Times New Roman" w:hAnsi="Times New Roman"/>
          <w:color w:val="000000" w:themeColor="text1"/>
          <w:sz w:val="24"/>
          <w:szCs w:val="24"/>
          <w:vertAlign w:val="superscript"/>
        </w:rPr>
        <w:t>th</w:t>
      </w:r>
      <w:r w:rsidRPr="00B777EF">
        <w:rPr>
          <w:rFonts w:ascii="Times New Roman" w:hAnsi="Times New Roman"/>
          <w:color w:val="000000" w:themeColor="text1"/>
          <w:sz w:val="24"/>
          <w:szCs w:val="24"/>
        </w:rPr>
        <w:t>, 10</w:t>
      </w:r>
      <w:r w:rsidRPr="00B777EF">
        <w:rPr>
          <w:rFonts w:ascii="Times New Roman" w:hAnsi="Times New Roman"/>
          <w:color w:val="000000" w:themeColor="text1"/>
          <w:sz w:val="24"/>
          <w:szCs w:val="24"/>
          <w:vertAlign w:val="superscript"/>
        </w:rPr>
        <w:t>th</w:t>
      </w:r>
      <w:r w:rsidRPr="00B777EF">
        <w:rPr>
          <w:rFonts w:ascii="Times New Roman" w:hAnsi="Times New Roman"/>
          <w:color w:val="000000" w:themeColor="text1"/>
          <w:sz w:val="24"/>
          <w:szCs w:val="24"/>
        </w:rPr>
        <w:t xml:space="preserve"> and 11</w:t>
      </w:r>
      <w:r w:rsidRPr="00B777EF">
        <w:rPr>
          <w:rFonts w:ascii="Times New Roman" w:hAnsi="Times New Roman"/>
          <w:color w:val="000000" w:themeColor="text1"/>
          <w:sz w:val="24"/>
          <w:szCs w:val="24"/>
          <w:vertAlign w:val="superscript"/>
        </w:rPr>
        <w:t>th</w:t>
      </w:r>
      <w:r w:rsidRPr="00B777EF">
        <w:rPr>
          <w:rFonts w:ascii="Times New Roman" w:hAnsi="Times New Roman"/>
          <w:color w:val="000000" w:themeColor="text1"/>
          <w:sz w:val="24"/>
          <w:szCs w:val="24"/>
        </w:rPr>
        <w:t xml:space="preserve">). Customers enrolled in time varying prices during the summer of 2015 were not representative of the broader small commercial and agricultural population. However, this early, voluntary phase was useful for testing enrollment, dispatch, and communication mechanisms, helping identify improvements and refinements for the much larger implementation of default time varying rates. </w:t>
      </w: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p w:rsidR="008A6A2B" w:rsidRPr="00B777EF" w:rsidRDefault="00F0094E" w:rsidP="00B777EF">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Starting in November 2015, all small commercial accounts are transitioning over a six month period to a default CPP rate with an underlying TOU structure (TOU-CPP). Customers can opt-out to a TOU rate without a critical peak pricing component (TOU-A).  Starting in 2016, flat rates will no longer be available for small commercial and agricultural customers. </w:t>
      </w:r>
      <w:r w:rsidRPr="00B777EF">
        <w:rPr>
          <w:rFonts w:ascii="Times New Roman" w:hAnsi="Times New Roman"/>
          <w:color w:val="000000" w:themeColor="text1"/>
          <w:sz w:val="24"/>
          <w:szCs w:val="24"/>
        </w:rPr>
        <w:fldChar w:fldCharType="begin"/>
      </w:r>
      <w:r w:rsidRPr="00B777EF">
        <w:rPr>
          <w:rFonts w:ascii="Times New Roman" w:hAnsi="Times New Roman"/>
          <w:color w:val="000000" w:themeColor="text1"/>
          <w:sz w:val="24"/>
          <w:szCs w:val="24"/>
        </w:rPr>
        <w:instrText xml:space="preserve"> REF _Ref446058218 \h  \* MERGEFORMAT </w:instrText>
      </w:r>
      <w:r w:rsidRPr="00B777EF">
        <w:rPr>
          <w:rFonts w:ascii="Times New Roman" w:hAnsi="Times New Roman"/>
          <w:color w:val="000000" w:themeColor="text1"/>
          <w:sz w:val="24"/>
          <w:szCs w:val="24"/>
        </w:rPr>
      </w:r>
      <w:r w:rsidRPr="00B777EF">
        <w:rPr>
          <w:rFonts w:ascii="Times New Roman" w:hAnsi="Times New Roman"/>
          <w:color w:val="000000" w:themeColor="text1"/>
          <w:sz w:val="24"/>
          <w:szCs w:val="24"/>
        </w:rPr>
        <w:fldChar w:fldCharType="separate"/>
      </w:r>
    </w:p>
    <w:p w:rsidR="00260B68" w:rsidRDefault="00F0094E" w:rsidP="00B777EF">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fldChar w:fldCharType="end"/>
      </w:r>
    </w:p>
    <w:p w:rsidR="00B777EF" w:rsidRPr="00B777EF" w:rsidRDefault="00260B68" w:rsidP="00B777EF">
      <w:pPr>
        <w:pStyle w:val="BodyParagraph"/>
        <w:spacing w:after="0" w:line="276" w:lineRule="auto"/>
        <w:ind w:firstLine="360"/>
        <w:rPr>
          <w:rFonts w:ascii="Times New Roman" w:hAnsi="Times New Roman"/>
          <w:color w:val="000000" w:themeColor="text1"/>
          <w:sz w:val="24"/>
          <w:szCs w:val="24"/>
        </w:rPr>
      </w:pPr>
      <w:r w:rsidRPr="00260B68">
        <w:rPr>
          <w:rFonts w:ascii="Times New Roman" w:hAnsi="Times New Roman"/>
          <w:color w:val="000000" w:themeColor="text1"/>
          <w:sz w:val="22"/>
        </w:rPr>
        <w:t>Table 9-</w:t>
      </w:r>
      <w:r w:rsidR="0024252A">
        <w:rPr>
          <w:rFonts w:ascii="Times New Roman" w:hAnsi="Times New Roman"/>
          <w:color w:val="000000" w:themeColor="text1"/>
          <w:sz w:val="22"/>
        </w:rPr>
        <w:t>1</w:t>
      </w:r>
      <w:r w:rsidR="00F0094E" w:rsidRPr="00B777EF">
        <w:rPr>
          <w:rFonts w:ascii="Times New Roman" w:hAnsi="Times New Roman"/>
          <w:color w:val="000000" w:themeColor="text1"/>
          <w:sz w:val="24"/>
          <w:szCs w:val="24"/>
        </w:rPr>
        <w:t xml:space="preserve"> summarizes these enrollment policies and the dates of availability for each customer class. The transition from flat to time varying prices along with the accompanying communications to educate customers about when and how to reduce or shift electricity is considered the primary intervention (or treatment). </w:t>
      </w:r>
      <w:bookmarkStart w:id="250" w:name="_Ref446058218"/>
    </w:p>
    <w:p w:rsidR="00B777EF" w:rsidRPr="00B777EF" w:rsidRDefault="00B777EF" w:rsidP="00B777EF">
      <w:pPr>
        <w:pStyle w:val="BodyParagraph"/>
        <w:spacing w:after="0" w:line="276" w:lineRule="auto"/>
        <w:ind w:firstLine="360"/>
        <w:rPr>
          <w:rFonts w:ascii="Times New Roman" w:hAnsi="Times New Roman"/>
          <w:b/>
          <w:color w:val="000000" w:themeColor="text1"/>
          <w:sz w:val="22"/>
        </w:rPr>
      </w:pPr>
    </w:p>
    <w:p w:rsidR="00F0094E" w:rsidRPr="00B777EF" w:rsidRDefault="00B777EF" w:rsidP="00B777EF">
      <w:pPr>
        <w:pStyle w:val="BodyParagraph"/>
        <w:spacing w:after="0" w:line="276" w:lineRule="auto"/>
        <w:ind w:firstLine="360"/>
        <w:jc w:val="center"/>
        <w:rPr>
          <w:rFonts w:ascii="Times New Roman" w:hAnsi="Times New Roman"/>
          <w:b/>
          <w:color w:val="000000" w:themeColor="text1"/>
          <w:sz w:val="22"/>
        </w:rPr>
      </w:pPr>
      <w:r w:rsidRPr="00B777EF">
        <w:rPr>
          <w:rFonts w:ascii="Times New Roman" w:hAnsi="Times New Roman"/>
          <w:b/>
          <w:color w:val="000000" w:themeColor="text1"/>
          <w:sz w:val="22"/>
        </w:rPr>
        <w:t>Ta</w:t>
      </w:r>
      <w:r w:rsidR="00F0094E" w:rsidRPr="00B777EF">
        <w:rPr>
          <w:rFonts w:ascii="Times New Roman" w:hAnsi="Times New Roman"/>
          <w:b/>
          <w:color w:val="000000" w:themeColor="text1"/>
          <w:sz w:val="22"/>
        </w:rPr>
        <w:t>ble 9-</w:t>
      </w:r>
      <w:r w:rsidR="0024252A">
        <w:rPr>
          <w:rFonts w:ascii="Times New Roman" w:hAnsi="Times New Roman"/>
          <w:b/>
          <w:color w:val="000000" w:themeColor="text1"/>
          <w:sz w:val="22"/>
        </w:rPr>
        <w:t>1</w:t>
      </w:r>
      <w:r w:rsidR="00F0094E" w:rsidRPr="00B777EF">
        <w:rPr>
          <w:rFonts w:ascii="Times New Roman" w:hAnsi="Times New Roman"/>
          <w:b/>
          <w:color w:val="000000" w:themeColor="text1"/>
          <w:sz w:val="22"/>
        </w:rPr>
        <w:t>: SPP Rates and Availability</w:t>
      </w:r>
      <w:bookmarkEnd w:id="250"/>
    </w:p>
    <w:tbl>
      <w:tblPr>
        <w:tblStyle w:val="TableGrid"/>
        <w:tblW w:w="0" w:type="auto"/>
        <w:jc w:val="center"/>
        <w:tblLook w:val="04A0" w:firstRow="1" w:lastRow="0" w:firstColumn="1" w:lastColumn="0" w:noHBand="0" w:noVBand="1"/>
      </w:tblPr>
      <w:tblGrid>
        <w:gridCol w:w="1548"/>
        <w:gridCol w:w="1206"/>
        <w:gridCol w:w="2223"/>
        <w:gridCol w:w="2250"/>
        <w:gridCol w:w="1440"/>
      </w:tblGrid>
      <w:tr w:rsidR="00F0094E" w:rsidRPr="000D3BA6" w:rsidTr="00C7586E">
        <w:trPr>
          <w:jc w:val="center"/>
        </w:trPr>
        <w:tc>
          <w:tcPr>
            <w:tcW w:w="1548" w:type="dxa"/>
            <w:vMerge w:val="restart"/>
            <w:shd w:val="clear" w:color="auto" w:fill="1F497D" w:themeFill="text2"/>
            <w:vAlign w:val="center"/>
          </w:tcPr>
          <w:p w:rsidR="00F0094E" w:rsidRPr="000D3BA6" w:rsidRDefault="00F0094E" w:rsidP="00C7586E">
            <w:pPr>
              <w:pStyle w:val="TableHeader"/>
              <w:spacing w:before="0" w:after="0" w:line="276" w:lineRule="auto"/>
              <w:rPr>
                <w:rFonts w:ascii="Times New Roman" w:hAnsi="Times New Roman"/>
              </w:rPr>
            </w:pPr>
            <w:r w:rsidRPr="000D3BA6">
              <w:rPr>
                <w:rFonts w:ascii="Times New Roman" w:hAnsi="Times New Roman"/>
              </w:rPr>
              <w:t>Customer Segment</w:t>
            </w:r>
          </w:p>
        </w:tc>
        <w:tc>
          <w:tcPr>
            <w:tcW w:w="1206" w:type="dxa"/>
            <w:vMerge w:val="restart"/>
            <w:shd w:val="clear" w:color="auto" w:fill="1F497D" w:themeFill="text2"/>
            <w:vAlign w:val="center"/>
          </w:tcPr>
          <w:p w:rsidR="00F0094E" w:rsidRPr="000D3BA6" w:rsidRDefault="00F0094E" w:rsidP="00C7586E">
            <w:pPr>
              <w:pStyle w:val="TableHeader"/>
              <w:spacing w:before="0" w:after="0" w:line="276" w:lineRule="auto"/>
              <w:rPr>
                <w:rFonts w:ascii="Times New Roman" w:hAnsi="Times New Roman"/>
              </w:rPr>
            </w:pPr>
            <w:r w:rsidRPr="000D3BA6">
              <w:rPr>
                <w:rFonts w:ascii="Times New Roman" w:hAnsi="Times New Roman"/>
              </w:rPr>
              <w:t>Rate</w:t>
            </w:r>
          </w:p>
        </w:tc>
        <w:tc>
          <w:tcPr>
            <w:tcW w:w="4473" w:type="dxa"/>
            <w:gridSpan w:val="2"/>
            <w:shd w:val="clear" w:color="auto" w:fill="1F497D" w:themeFill="text2"/>
          </w:tcPr>
          <w:p w:rsidR="00F0094E" w:rsidRPr="000D3BA6" w:rsidRDefault="00F0094E" w:rsidP="00F0094E">
            <w:pPr>
              <w:pStyle w:val="TableHeader"/>
              <w:spacing w:before="0" w:after="0" w:line="276" w:lineRule="auto"/>
              <w:ind w:firstLine="360"/>
              <w:rPr>
                <w:rFonts w:ascii="Times New Roman" w:hAnsi="Times New Roman"/>
              </w:rPr>
            </w:pPr>
            <w:r w:rsidRPr="000D3BA6">
              <w:rPr>
                <w:rFonts w:ascii="Times New Roman" w:hAnsi="Times New Roman"/>
              </w:rPr>
              <w:t>Enrollment Policy</w:t>
            </w:r>
          </w:p>
        </w:tc>
        <w:tc>
          <w:tcPr>
            <w:tcW w:w="1440" w:type="dxa"/>
            <w:vMerge w:val="restart"/>
            <w:shd w:val="clear" w:color="auto" w:fill="1F497D" w:themeFill="text2"/>
            <w:vAlign w:val="center"/>
          </w:tcPr>
          <w:p w:rsidR="00F0094E" w:rsidRPr="000D3BA6" w:rsidRDefault="00F0094E" w:rsidP="00C7586E">
            <w:pPr>
              <w:pStyle w:val="BodyParagraph"/>
              <w:spacing w:after="0" w:line="276" w:lineRule="auto"/>
              <w:contextualSpacing/>
              <w:jc w:val="center"/>
              <w:rPr>
                <w:rFonts w:ascii="Times New Roman" w:hAnsi="Times New Roman"/>
                <w:b/>
                <w:color w:val="FFFFFF" w:themeColor="background1"/>
                <w:szCs w:val="20"/>
              </w:rPr>
            </w:pPr>
            <w:r w:rsidRPr="000D3BA6">
              <w:rPr>
                <w:rFonts w:ascii="Times New Roman" w:hAnsi="Times New Roman"/>
                <w:b/>
                <w:color w:val="FFFFFF" w:themeColor="background1"/>
                <w:szCs w:val="20"/>
              </w:rPr>
              <w:t>Current Enrollment</w:t>
            </w:r>
          </w:p>
        </w:tc>
      </w:tr>
      <w:tr w:rsidR="00F0094E" w:rsidRPr="000D3BA6" w:rsidTr="00C7586E">
        <w:trPr>
          <w:jc w:val="center"/>
        </w:trPr>
        <w:tc>
          <w:tcPr>
            <w:tcW w:w="1548" w:type="dxa"/>
            <w:vMerge/>
            <w:shd w:val="clear" w:color="auto" w:fill="1F497D" w:themeFill="text2"/>
          </w:tcPr>
          <w:p w:rsidR="00F0094E" w:rsidRPr="000D3BA6" w:rsidRDefault="00F0094E" w:rsidP="00F0094E">
            <w:pPr>
              <w:pStyle w:val="BodyParagraph"/>
              <w:spacing w:after="0" w:line="276" w:lineRule="auto"/>
              <w:ind w:firstLine="360"/>
              <w:contextualSpacing/>
              <w:jc w:val="center"/>
              <w:rPr>
                <w:rFonts w:ascii="Times New Roman" w:hAnsi="Times New Roman"/>
                <w:color w:val="FFFFFF" w:themeColor="background1"/>
                <w:szCs w:val="20"/>
              </w:rPr>
            </w:pPr>
          </w:p>
        </w:tc>
        <w:tc>
          <w:tcPr>
            <w:tcW w:w="1206" w:type="dxa"/>
            <w:vMerge/>
            <w:shd w:val="clear" w:color="auto" w:fill="1F497D" w:themeFill="text2"/>
          </w:tcPr>
          <w:p w:rsidR="00F0094E" w:rsidRPr="000D3BA6" w:rsidRDefault="00F0094E" w:rsidP="00F0094E">
            <w:pPr>
              <w:pStyle w:val="BodyParagraph"/>
              <w:spacing w:after="0" w:line="276" w:lineRule="auto"/>
              <w:ind w:firstLine="360"/>
              <w:contextualSpacing/>
              <w:jc w:val="center"/>
              <w:rPr>
                <w:rFonts w:ascii="Times New Roman" w:hAnsi="Times New Roman"/>
                <w:color w:val="FFFFFF" w:themeColor="background1"/>
                <w:szCs w:val="20"/>
              </w:rPr>
            </w:pPr>
          </w:p>
        </w:tc>
        <w:tc>
          <w:tcPr>
            <w:tcW w:w="2223" w:type="dxa"/>
            <w:shd w:val="clear" w:color="auto" w:fill="1F497D" w:themeFill="text2"/>
          </w:tcPr>
          <w:p w:rsidR="00F0094E" w:rsidRPr="00416A58" w:rsidRDefault="00F0094E" w:rsidP="00F0094E">
            <w:pPr>
              <w:pStyle w:val="BodyParagraph"/>
              <w:spacing w:after="0" w:line="276" w:lineRule="auto"/>
              <w:ind w:firstLine="360"/>
              <w:contextualSpacing/>
              <w:jc w:val="center"/>
              <w:rPr>
                <w:rFonts w:ascii="Times New Roman" w:hAnsi="Times New Roman"/>
                <w:b/>
                <w:color w:val="FFFFFF" w:themeColor="background1"/>
                <w:szCs w:val="20"/>
              </w:rPr>
            </w:pPr>
            <w:r w:rsidRPr="00416A58">
              <w:rPr>
                <w:rFonts w:ascii="Times New Roman" w:hAnsi="Times New Roman"/>
                <w:b/>
                <w:color w:val="FFFFFF" w:themeColor="background1"/>
                <w:szCs w:val="20"/>
              </w:rPr>
              <w:t>February 1, 2014</w:t>
            </w:r>
          </w:p>
        </w:tc>
        <w:tc>
          <w:tcPr>
            <w:tcW w:w="2250" w:type="dxa"/>
            <w:shd w:val="clear" w:color="auto" w:fill="1F497D" w:themeFill="text2"/>
          </w:tcPr>
          <w:p w:rsidR="00F0094E" w:rsidRPr="00416A58" w:rsidRDefault="00F0094E" w:rsidP="00F0094E">
            <w:pPr>
              <w:pStyle w:val="BodyParagraph"/>
              <w:spacing w:after="0" w:line="276" w:lineRule="auto"/>
              <w:ind w:firstLine="360"/>
              <w:contextualSpacing/>
              <w:jc w:val="center"/>
              <w:rPr>
                <w:rFonts w:ascii="Times New Roman" w:hAnsi="Times New Roman"/>
                <w:b/>
                <w:color w:val="FFFFFF" w:themeColor="background1"/>
                <w:szCs w:val="20"/>
              </w:rPr>
            </w:pPr>
            <w:r w:rsidRPr="00416A58">
              <w:rPr>
                <w:rFonts w:ascii="Times New Roman" w:hAnsi="Times New Roman"/>
                <w:b/>
                <w:color w:val="FFFFFF" w:themeColor="background1"/>
                <w:szCs w:val="20"/>
              </w:rPr>
              <w:t>November 2015</w:t>
            </w:r>
          </w:p>
        </w:tc>
        <w:tc>
          <w:tcPr>
            <w:tcW w:w="1440" w:type="dxa"/>
            <w:vMerge/>
            <w:shd w:val="clear" w:color="auto" w:fill="1F497D" w:themeFill="text2"/>
          </w:tcPr>
          <w:p w:rsidR="00F0094E" w:rsidRPr="000D3BA6" w:rsidRDefault="00F0094E" w:rsidP="00F0094E">
            <w:pPr>
              <w:pStyle w:val="BodyParagraph"/>
              <w:spacing w:after="0" w:line="276" w:lineRule="auto"/>
              <w:ind w:firstLine="360"/>
              <w:contextualSpacing/>
              <w:jc w:val="center"/>
              <w:rPr>
                <w:rFonts w:ascii="Times New Roman" w:hAnsi="Times New Roman"/>
                <w:szCs w:val="20"/>
              </w:rPr>
            </w:pPr>
          </w:p>
        </w:tc>
      </w:tr>
      <w:tr w:rsidR="00F0094E" w:rsidRPr="000D3BA6" w:rsidTr="00C7586E">
        <w:trPr>
          <w:jc w:val="center"/>
        </w:trPr>
        <w:tc>
          <w:tcPr>
            <w:tcW w:w="1548" w:type="dxa"/>
            <w:vMerge w:val="restart"/>
            <w:vAlign w:val="center"/>
          </w:tcPr>
          <w:p w:rsidR="00F0094E" w:rsidRPr="000D3BA6" w:rsidRDefault="00F0094E" w:rsidP="00C7586E">
            <w:pPr>
              <w:pStyle w:val="BodyParagraph"/>
              <w:spacing w:after="0" w:line="276" w:lineRule="auto"/>
              <w:contextualSpacing/>
              <w:jc w:val="center"/>
              <w:rPr>
                <w:rFonts w:ascii="Times New Roman" w:hAnsi="Times New Roman"/>
                <w:szCs w:val="20"/>
              </w:rPr>
            </w:pPr>
            <w:r w:rsidRPr="000D3BA6">
              <w:rPr>
                <w:rFonts w:ascii="Times New Roman" w:hAnsi="Times New Roman"/>
                <w:szCs w:val="20"/>
              </w:rPr>
              <w:t>Small Commercial*</w:t>
            </w:r>
          </w:p>
        </w:tc>
        <w:tc>
          <w:tcPr>
            <w:tcW w:w="1206" w:type="dxa"/>
            <w:vAlign w:val="center"/>
          </w:tcPr>
          <w:p w:rsidR="00F0094E" w:rsidRPr="000D3BA6" w:rsidRDefault="00F0094E" w:rsidP="00C7586E">
            <w:pPr>
              <w:pStyle w:val="BodyParagraph"/>
              <w:spacing w:after="0" w:line="276" w:lineRule="auto"/>
              <w:contextualSpacing/>
              <w:jc w:val="center"/>
              <w:rPr>
                <w:rFonts w:ascii="Times New Roman" w:hAnsi="Times New Roman"/>
                <w:szCs w:val="20"/>
              </w:rPr>
            </w:pPr>
            <w:r w:rsidRPr="000D3BA6">
              <w:rPr>
                <w:rFonts w:ascii="Times New Roman" w:hAnsi="Times New Roman"/>
                <w:szCs w:val="20"/>
              </w:rPr>
              <w:t>TOU</w:t>
            </w:r>
          </w:p>
        </w:tc>
        <w:tc>
          <w:tcPr>
            <w:tcW w:w="2223" w:type="dxa"/>
            <w:vMerge w:val="restart"/>
            <w:vAlign w:val="center"/>
          </w:tcPr>
          <w:p w:rsidR="00F0094E" w:rsidRPr="000D3BA6" w:rsidRDefault="00F0094E" w:rsidP="00F0094E">
            <w:pPr>
              <w:pStyle w:val="BodyParagraph"/>
              <w:spacing w:after="0" w:line="276" w:lineRule="auto"/>
              <w:ind w:firstLine="360"/>
              <w:contextualSpacing/>
              <w:jc w:val="center"/>
              <w:rPr>
                <w:rFonts w:ascii="Times New Roman" w:hAnsi="Times New Roman"/>
                <w:szCs w:val="20"/>
              </w:rPr>
            </w:pPr>
            <w:r w:rsidRPr="000D3BA6">
              <w:rPr>
                <w:rFonts w:ascii="Times New Roman" w:hAnsi="Times New Roman"/>
                <w:szCs w:val="20"/>
              </w:rPr>
              <w:t>Opt in from non-time-varying rate</w:t>
            </w:r>
          </w:p>
        </w:tc>
        <w:tc>
          <w:tcPr>
            <w:tcW w:w="2250" w:type="dxa"/>
            <w:vAlign w:val="center"/>
          </w:tcPr>
          <w:p w:rsidR="00F0094E" w:rsidRPr="000D3BA6" w:rsidRDefault="00F0094E" w:rsidP="00F0094E">
            <w:pPr>
              <w:pStyle w:val="BodyParagraph"/>
              <w:spacing w:after="0" w:line="276" w:lineRule="auto"/>
              <w:ind w:firstLine="360"/>
              <w:contextualSpacing/>
              <w:jc w:val="center"/>
              <w:rPr>
                <w:rFonts w:ascii="Times New Roman" w:hAnsi="Times New Roman"/>
                <w:szCs w:val="20"/>
              </w:rPr>
            </w:pPr>
            <w:r w:rsidRPr="000D3BA6">
              <w:rPr>
                <w:rFonts w:ascii="Times New Roman" w:hAnsi="Times New Roman"/>
                <w:szCs w:val="20"/>
              </w:rPr>
              <w:t>Default</w:t>
            </w:r>
          </w:p>
        </w:tc>
        <w:tc>
          <w:tcPr>
            <w:tcW w:w="1440" w:type="dxa"/>
            <w:vAlign w:val="center"/>
          </w:tcPr>
          <w:p w:rsidR="00F0094E" w:rsidRPr="000D3BA6" w:rsidRDefault="00F0094E" w:rsidP="00F0094E">
            <w:pPr>
              <w:pStyle w:val="BodyParagraph"/>
              <w:spacing w:after="0" w:line="276" w:lineRule="auto"/>
              <w:ind w:firstLine="360"/>
              <w:contextualSpacing/>
              <w:jc w:val="center"/>
              <w:rPr>
                <w:rFonts w:ascii="Times New Roman" w:hAnsi="Times New Roman"/>
                <w:szCs w:val="20"/>
              </w:rPr>
            </w:pPr>
            <w:r w:rsidRPr="000D3BA6">
              <w:rPr>
                <w:rFonts w:ascii="Times New Roman" w:hAnsi="Times New Roman"/>
                <w:szCs w:val="20"/>
              </w:rPr>
              <w:t>1,141</w:t>
            </w:r>
          </w:p>
        </w:tc>
      </w:tr>
      <w:tr w:rsidR="00F0094E" w:rsidRPr="000D3BA6" w:rsidTr="00C7586E">
        <w:trPr>
          <w:jc w:val="center"/>
        </w:trPr>
        <w:tc>
          <w:tcPr>
            <w:tcW w:w="1548" w:type="dxa"/>
            <w:vMerge/>
            <w:vAlign w:val="center"/>
          </w:tcPr>
          <w:p w:rsidR="00F0094E" w:rsidRPr="000D3BA6" w:rsidRDefault="00F0094E" w:rsidP="00F0094E">
            <w:pPr>
              <w:pStyle w:val="BodyParagraph"/>
              <w:spacing w:after="0" w:line="276" w:lineRule="auto"/>
              <w:ind w:firstLine="360"/>
              <w:contextualSpacing/>
              <w:jc w:val="center"/>
              <w:rPr>
                <w:rFonts w:ascii="Times New Roman" w:hAnsi="Times New Roman"/>
                <w:szCs w:val="20"/>
              </w:rPr>
            </w:pPr>
          </w:p>
        </w:tc>
        <w:tc>
          <w:tcPr>
            <w:tcW w:w="1206" w:type="dxa"/>
            <w:vAlign w:val="center"/>
          </w:tcPr>
          <w:p w:rsidR="00F0094E" w:rsidRPr="000D3BA6" w:rsidRDefault="00F0094E" w:rsidP="00C7586E">
            <w:pPr>
              <w:pStyle w:val="BodyParagraph"/>
              <w:spacing w:after="0" w:line="276" w:lineRule="auto"/>
              <w:contextualSpacing/>
              <w:jc w:val="center"/>
              <w:rPr>
                <w:rFonts w:ascii="Times New Roman" w:hAnsi="Times New Roman"/>
                <w:szCs w:val="20"/>
              </w:rPr>
            </w:pPr>
            <w:r w:rsidRPr="000D3BA6">
              <w:rPr>
                <w:rFonts w:ascii="Times New Roman" w:hAnsi="Times New Roman"/>
                <w:szCs w:val="20"/>
              </w:rPr>
              <w:t>TOU-CPP</w:t>
            </w:r>
          </w:p>
        </w:tc>
        <w:tc>
          <w:tcPr>
            <w:tcW w:w="2223" w:type="dxa"/>
            <w:vMerge/>
            <w:vAlign w:val="center"/>
          </w:tcPr>
          <w:p w:rsidR="00F0094E" w:rsidRPr="000D3BA6" w:rsidRDefault="00F0094E" w:rsidP="00F0094E">
            <w:pPr>
              <w:pStyle w:val="BodyParagraph"/>
              <w:spacing w:after="0" w:line="276" w:lineRule="auto"/>
              <w:ind w:firstLine="360"/>
              <w:contextualSpacing/>
              <w:jc w:val="center"/>
              <w:rPr>
                <w:rFonts w:ascii="Times New Roman" w:hAnsi="Times New Roman"/>
                <w:szCs w:val="20"/>
              </w:rPr>
            </w:pPr>
          </w:p>
        </w:tc>
        <w:tc>
          <w:tcPr>
            <w:tcW w:w="2250" w:type="dxa"/>
            <w:vAlign w:val="center"/>
          </w:tcPr>
          <w:p w:rsidR="00F0094E" w:rsidRPr="000D3BA6" w:rsidRDefault="00F0094E" w:rsidP="00F0094E">
            <w:pPr>
              <w:pStyle w:val="BodyParagraph"/>
              <w:spacing w:after="0" w:line="276" w:lineRule="auto"/>
              <w:ind w:firstLine="360"/>
              <w:contextualSpacing/>
              <w:jc w:val="center"/>
              <w:rPr>
                <w:rFonts w:ascii="Times New Roman" w:hAnsi="Times New Roman"/>
                <w:szCs w:val="20"/>
              </w:rPr>
            </w:pPr>
            <w:r w:rsidRPr="000D3BA6">
              <w:rPr>
                <w:rFonts w:ascii="Times New Roman" w:hAnsi="Times New Roman"/>
                <w:szCs w:val="20"/>
              </w:rPr>
              <w:t>May opt out of TOU-CPP and on to TOU</w:t>
            </w:r>
          </w:p>
        </w:tc>
        <w:tc>
          <w:tcPr>
            <w:tcW w:w="1440" w:type="dxa"/>
            <w:vAlign w:val="center"/>
          </w:tcPr>
          <w:p w:rsidR="00F0094E" w:rsidRPr="000D3BA6" w:rsidRDefault="00F0094E" w:rsidP="00F0094E">
            <w:pPr>
              <w:pStyle w:val="BodyParagraph"/>
              <w:spacing w:after="0" w:line="276" w:lineRule="auto"/>
              <w:ind w:firstLine="360"/>
              <w:contextualSpacing/>
              <w:jc w:val="center"/>
              <w:rPr>
                <w:rFonts w:ascii="Times New Roman" w:hAnsi="Times New Roman"/>
                <w:szCs w:val="20"/>
              </w:rPr>
            </w:pPr>
            <w:r w:rsidRPr="000D3BA6">
              <w:rPr>
                <w:rFonts w:ascii="Times New Roman" w:hAnsi="Times New Roman"/>
                <w:szCs w:val="20"/>
              </w:rPr>
              <w:t>1,468</w:t>
            </w:r>
          </w:p>
        </w:tc>
      </w:tr>
    </w:tbl>
    <w:p w:rsidR="00F0094E" w:rsidRPr="000D3BA6" w:rsidRDefault="00F0094E" w:rsidP="00F0094E">
      <w:pPr>
        <w:pStyle w:val="Footnote"/>
        <w:spacing w:after="0" w:line="276" w:lineRule="auto"/>
        <w:ind w:firstLine="360"/>
        <w:jc w:val="center"/>
        <w:rPr>
          <w:rFonts w:ascii="Times New Roman" w:hAnsi="Times New Roman"/>
          <w:sz w:val="20"/>
        </w:rPr>
      </w:pPr>
      <w:r w:rsidRPr="000D3BA6">
        <w:rPr>
          <w:rFonts w:ascii="Times New Roman" w:hAnsi="Times New Roman"/>
          <w:sz w:val="20"/>
        </w:rPr>
        <w:t>*Note: Starting in November 2015, flat rates will no longer be available for small commercial and agricultural customers.</w:t>
      </w:r>
    </w:p>
    <w:p w:rsidR="00F0094E" w:rsidRPr="000D3BA6" w:rsidRDefault="00F0094E" w:rsidP="00F0094E">
      <w:pPr>
        <w:pStyle w:val="TableFigureCaption"/>
        <w:spacing w:after="0" w:line="276" w:lineRule="auto"/>
        <w:ind w:firstLine="360"/>
        <w:jc w:val="left"/>
        <w:rPr>
          <w:rFonts w:ascii="Times New Roman" w:hAnsi="Times New Roman"/>
          <w:sz w:val="24"/>
          <w:szCs w:val="24"/>
        </w:rPr>
      </w:pPr>
    </w:p>
    <w:p w:rsidR="00F0094E" w:rsidRPr="00416A58" w:rsidRDefault="00F0094E" w:rsidP="003562F8">
      <w:pPr>
        <w:pStyle w:val="Heading2"/>
        <w:numPr>
          <w:ilvl w:val="1"/>
          <w:numId w:val="40"/>
        </w:numPr>
        <w:spacing w:before="0" w:after="0" w:line="276" w:lineRule="auto"/>
        <w:ind w:hanging="735"/>
        <w:rPr>
          <w:rFonts w:ascii="Times New Roman" w:hAnsi="Times New Roman" w:cs="Times New Roman"/>
          <w:i w:val="0"/>
          <w:szCs w:val="24"/>
        </w:rPr>
      </w:pPr>
      <w:bookmarkStart w:id="251" w:name="_Toc376868290"/>
      <w:bookmarkStart w:id="252" w:name="_Toc414350773"/>
      <w:bookmarkStart w:id="253" w:name="_Toc444676024"/>
      <w:bookmarkStart w:id="254" w:name="_Toc447179841"/>
      <w:r w:rsidRPr="00F0094E">
        <w:rPr>
          <w:rFonts w:ascii="Times New Roman" w:hAnsi="Times New Roman" w:cs="Times New Roman"/>
          <w:szCs w:val="24"/>
        </w:rPr>
        <w:t xml:space="preserve">Small Commercial </w:t>
      </w:r>
      <w:r>
        <w:rPr>
          <w:rFonts w:ascii="Times New Roman" w:hAnsi="Times New Roman" w:cs="Times New Roman"/>
          <w:szCs w:val="24"/>
        </w:rPr>
        <w:t xml:space="preserve">SPP Ex-Post </w:t>
      </w:r>
      <w:r w:rsidRPr="00416A58">
        <w:rPr>
          <w:rFonts w:ascii="Times New Roman" w:hAnsi="Times New Roman" w:cs="Times New Roman"/>
          <w:szCs w:val="24"/>
        </w:rPr>
        <w:t xml:space="preserve">Evaluation Design and </w:t>
      </w:r>
      <w:bookmarkEnd w:id="251"/>
      <w:bookmarkEnd w:id="252"/>
      <w:r w:rsidRPr="00416A58">
        <w:rPr>
          <w:rFonts w:ascii="Times New Roman" w:hAnsi="Times New Roman" w:cs="Times New Roman"/>
          <w:szCs w:val="24"/>
        </w:rPr>
        <w:t>Methodology</w:t>
      </w:r>
      <w:bookmarkEnd w:id="253"/>
      <w:bookmarkEnd w:id="254"/>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To estimate the impacts of SPP on the voluntary opt-in subset of customers who enrolled in TOU and TOU-CPP rates, an applicable control group was first selected from customers who remained on flat rate tariffs via statistical matching. Second, in order to remove any preexisting differences between the matched control group, impacts will be estimated using a difference-in-differences methodology. This section provides a detailed description of each of these two steps.</w:t>
      </w: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p w:rsidR="00F0094E" w:rsidRPr="00B777EF" w:rsidRDefault="00F0094E" w:rsidP="003562F8">
      <w:pPr>
        <w:pStyle w:val="Heading3"/>
        <w:keepLines/>
        <w:numPr>
          <w:ilvl w:val="2"/>
          <w:numId w:val="40"/>
        </w:numPr>
        <w:spacing w:before="0" w:after="0" w:line="276" w:lineRule="auto"/>
        <w:ind w:left="0" w:firstLine="0"/>
        <w:rPr>
          <w:rFonts w:ascii="Times New Roman" w:hAnsi="Times New Roman" w:cs="Times New Roman"/>
          <w:color w:val="000000" w:themeColor="text1"/>
          <w:szCs w:val="24"/>
        </w:rPr>
      </w:pPr>
      <w:bookmarkStart w:id="255" w:name="_Toc444676020"/>
      <w:bookmarkStart w:id="256" w:name="_Toc447179842"/>
      <w:r w:rsidRPr="00B777EF">
        <w:rPr>
          <w:rFonts w:ascii="Times New Roman" w:hAnsi="Times New Roman" w:cs="Times New Roman"/>
          <w:color w:val="000000" w:themeColor="text1"/>
          <w:szCs w:val="24"/>
        </w:rPr>
        <w:t>Statistical Matching</w:t>
      </w:r>
      <w:bookmarkEnd w:id="255"/>
      <w:bookmarkEnd w:id="256"/>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The matched control is developed prior to difference-in-differences calculation. It helps ensure the control group is as similar as possible to the group on time varying rates, minimizes the role of the correction for pre-existing differences, and improves the accuracy of the results.  By definition, customers who self-select into a program are different than the general population.  Propensity score matching explicitly models selection and helps identify a control group that behaved like the participant group when both sets of customers were on flat rates. The main difference is that one group transitioned to time varying rates while the other group remained on flat rates. The control group will be selected by testing different propensity models using out-of-sample testing. The propensity models selected will the one that minimizes the differences in hourly loads (8760) between the treatment and control group during the pre-treatment period. </w:t>
      </w: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p w:rsidR="00F0094E" w:rsidRPr="00B777EF" w:rsidRDefault="00F0094E" w:rsidP="003562F8">
      <w:pPr>
        <w:pStyle w:val="Heading3"/>
        <w:keepLines/>
        <w:numPr>
          <w:ilvl w:val="2"/>
          <w:numId w:val="40"/>
        </w:numPr>
        <w:spacing w:before="0" w:after="0" w:line="276" w:lineRule="auto"/>
        <w:ind w:left="0" w:firstLine="0"/>
        <w:rPr>
          <w:rFonts w:ascii="Times New Roman" w:hAnsi="Times New Roman" w:cs="Times New Roman"/>
          <w:color w:val="000000" w:themeColor="text1"/>
          <w:szCs w:val="24"/>
        </w:rPr>
      </w:pPr>
      <w:bookmarkStart w:id="257" w:name="_Toc444676021"/>
      <w:bookmarkStart w:id="258" w:name="_Toc447179843"/>
      <w:r w:rsidRPr="00B777EF">
        <w:rPr>
          <w:rFonts w:ascii="Times New Roman" w:hAnsi="Times New Roman" w:cs="Times New Roman"/>
          <w:color w:val="000000" w:themeColor="text1"/>
          <w:szCs w:val="24"/>
        </w:rPr>
        <w:t>Difference in Differences</w:t>
      </w:r>
      <w:bookmarkEnd w:id="257"/>
      <w:bookmarkEnd w:id="258"/>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After identifying matched control groups for each treatment cohort (TOU and TOU-CPP), impact estimates were obtained using difference-in-differences. This approach uses comparisons of the control and treatment groups both before and after implementation of the rate to identify the load impacts. </w:t>
      </w: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Using difference-in-differences means that the matched control group does not need to perfectly match the treatment group in the pre-treatment period. This is because any differences that may be due to unobservable factors that could not be included in the matching model will be netted out by the differencing. This feature, however, is not a cure-all and therefore it is still desirable for pre-treatment consumption for the treatment and matched control groups to be as similar as possible.  </w:t>
      </w:r>
    </w:p>
    <w:p w:rsidR="00F0094E" w:rsidRPr="00B777EF" w:rsidRDefault="00F0094E" w:rsidP="00F0094E">
      <w:pPr>
        <w:pStyle w:val="BodyParaAfterTableFigure"/>
        <w:spacing w:before="0"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Difference-in-differences estimation can be implemented using either simple means or a panel regression with fixed effects and time effects. For robustness, both methods were used in this evaluation, but the estimates from the regression model are reported due to their increased precision. The increased precision is achieved by including variables that explain energy use, such as temperature and day-of-week effects, which filter background noise (variation) and allow </w:t>
      </w:r>
      <w:r w:rsidRPr="00B777EF">
        <w:rPr>
          <w:rFonts w:ascii="Times New Roman" w:hAnsi="Times New Roman"/>
          <w:color w:val="000000" w:themeColor="text1"/>
          <w:sz w:val="24"/>
          <w:szCs w:val="24"/>
        </w:rPr>
        <w:lastRenderedPageBreak/>
        <w:t>the signal (the response to TOU rates) to be more easily detected. Separate regression equations were estimated for each hour to produce load impact estimates for all hours of the day. The dependent variable in the regression equation is hourly electricity use and only non-holiday weekdays were included in the analysis. The full panel model specification is presented as Equation 1:</w:t>
      </w:r>
    </w:p>
    <w:p w:rsidR="00F0094E" w:rsidRPr="000D3BA6" w:rsidRDefault="00F0094E" w:rsidP="00F0094E">
      <w:pPr>
        <w:pStyle w:val="BodyParagraph"/>
        <w:spacing w:after="0" w:line="276" w:lineRule="auto"/>
        <w:ind w:firstLine="360"/>
        <w:rPr>
          <w:rFonts w:ascii="Times New Roman" w:hAnsi="Times New Roman"/>
          <w:sz w:val="24"/>
          <w:szCs w:val="24"/>
        </w:rPr>
      </w:pPr>
    </w:p>
    <w:p w:rsidR="00F0094E" w:rsidRPr="00F0094E" w:rsidRDefault="0024252A" w:rsidP="00F0094E">
      <w:pPr>
        <w:pStyle w:val="BodyParagraph"/>
        <w:spacing w:after="0" w:line="276" w:lineRule="auto"/>
        <w:ind w:firstLine="360"/>
        <w:rPr>
          <w:rFonts w:ascii="Times New Roman" w:hAnsi="Times New Roman"/>
          <w:szCs w:val="20"/>
        </w:rPr>
      </w:pPr>
      <m:oMathPara>
        <m:oMath>
          <m:sSub>
            <m:sSubPr>
              <m:ctrlPr>
                <w:rPr>
                  <w:rFonts w:ascii="Cambria Math" w:hAnsi="Cambria Math"/>
                  <w:i/>
                  <w:iCs/>
                  <w:szCs w:val="20"/>
                </w:rPr>
              </m:ctrlPr>
            </m:sSubPr>
            <m:e>
              <m:r>
                <w:rPr>
                  <w:rFonts w:ascii="Cambria Math" w:hAnsi="Cambria Math"/>
                  <w:szCs w:val="20"/>
                </w:rPr>
                <m:t>avgpeakkwh</m:t>
              </m:r>
            </m:e>
            <m:sub>
              <m:r>
                <w:rPr>
                  <w:rFonts w:ascii="Cambria Math" w:hAnsi="Cambria Math"/>
                  <w:szCs w:val="20"/>
                </w:rPr>
                <m:t>i,t</m:t>
              </m:r>
            </m:sub>
          </m:sSub>
          <m:r>
            <w:rPr>
              <w:rFonts w:ascii="Cambria Math" w:hAnsi="Cambria Math"/>
              <w:szCs w:val="20"/>
            </w:rPr>
            <m:t>=</m:t>
          </m:r>
          <m:sSub>
            <m:sSubPr>
              <m:ctrlPr>
                <w:rPr>
                  <w:rFonts w:ascii="Cambria Math" w:hAnsi="Cambria Math"/>
                  <w:i/>
                  <w:iCs/>
                  <w:szCs w:val="20"/>
                </w:rPr>
              </m:ctrlPr>
            </m:sSubPr>
            <m:e>
              <m:r>
                <w:rPr>
                  <w:rFonts w:ascii="Cambria Math" w:hAnsi="Cambria Math"/>
                  <w:szCs w:val="20"/>
                </w:rPr>
                <m:t>β</m:t>
              </m:r>
            </m:e>
            <m:sub>
              <m:r>
                <w:rPr>
                  <w:rFonts w:ascii="Cambria Math" w:hAnsi="Cambria Math"/>
                  <w:szCs w:val="20"/>
                </w:rPr>
                <m:t>0</m:t>
              </m:r>
            </m:sub>
          </m:sSub>
          <m:r>
            <w:rPr>
              <w:rFonts w:ascii="Cambria Math" w:hAnsi="Cambria Math"/>
              <w:szCs w:val="20"/>
            </w:rPr>
            <m:t>+</m:t>
          </m:r>
          <m:sSub>
            <m:sSubPr>
              <m:ctrlPr>
                <w:rPr>
                  <w:rFonts w:ascii="Cambria Math" w:hAnsi="Cambria Math"/>
                  <w:i/>
                  <w:iCs/>
                  <w:szCs w:val="20"/>
                </w:rPr>
              </m:ctrlPr>
            </m:sSubPr>
            <m:e>
              <m:r>
                <w:rPr>
                  <w:rFonts w:ascii="Cambria Math" w:hAnsi="Cambria Math"/>
                  <w:szCs w:val="20"/>
                </w:rPr>
                <m:t>β</m:t>
              </m:r>
            </m:e>
            <m:sub>
              <m:r>
                <w:rPr>
                  <w:rFonts w:ascii="Cambria Math" w:hAnsi="Cambria Math"/>
                  <w:szCs w:val="20"/>
                </w:rPr>
                <m:t>1</m:t>
              </m:r>
            </m:sub>
          </m:sSub>
          <m:d>
            <m:dPr>
              <m:ctrlPr>
                <w:rPr>
                  <w:rFonts w:ascii="Cambria Math" w:hAnsi="Cambria Math"/>
                  <w:i/>
                  <w:iCs/>
                  <w:szCs w:val="20"/>
                </w:rPr>
              </m:ctrlPr>
            </m:dPr>
            <m:e>
              <m:sSub>
                <m:sSubPr>
                  <m:ctrlPr>
                    <w:rPr>
                      <w:rFonts w:ascii="Cambria Math" w:hAnsi="Cambria Math"/>
                      <w:i/>
                      <w:iCs/>
                      <w:szCs w:val="20"/>
                    </w:rPr>
                  </m:ctrlPr>
                </m:sSubPr>
                <m:e>
                  <m:r>
                    <w:rPr>
                      <w:rFonts w:ascii="Cambria Math" w:hAnsi="Cambria Math"/>
                      <w:szCs w:val="20"/>
                    </w:rPr>
                    <m:t>posttreatment</m:t>
                  </m:r>
                </m:e>
                <m:sub>
                  <m:r>
                    <w:rPr>
                      <w:rFonts w:ascii="Cambria Math" w:hAnsi="Cambria Math"/>
                      <w:szCs w:val="20"/>
                    </w:rPr>
                    <m:t>t</m:t>
                  </m:r>
                </m:sub>
              </m:sSub>
              <m:r>
                <w:rPr>
                  <w:rFonts w:ascii="Cambria Math" w:hAnsi="Cambria Math"/>
                  <w:szCs w:val="20"/>
                </w:rPr>
                <m:t>*</m:t>
              </m:r>
              <m:sSub>
                <m:sSubPr>
                  <m:ctrlPr>
                    <w:rPr>
                      <w:rFonts w:ascii="Cambria Math" w:hAnsi="Cambria Math"/>
                      <w:i/>
                      <w:iCs/>
                      <w:szCs w:val="20"/>
                    </w:rPr>
                  </m:ctrlPr>
                </m:sSubPr>
                <m:e>
                  <m:r>
                    <w:rPr>
                      <w:rFonts w:ascii="Cambria Math" w:hAnsi="Cambria Math"/>
                      <w:szCs w:val="20"/>
                    </w:rPr>
                    <m:t>treatment</m:t>
                  </m:r>
                </m:e>
                <m:sub>
                  <m:r>
                    <w:rPr>
                      <w:rFonts w:ascii="Cambria Math" w:hAnsi="Cambria Math"/>
                      <w:szCs w:val="20"/>
                    </w:rPr>
                    <m:t>i</m:t>
                  </m:r>
                </m:sub>
              </m:sSub>
            </m:e>
          </m:d>
          <m:r>
            <w:rPr>
              <w:rFonts w:ascii="Cambria Math" w:hAnsi="Cambria Math"/>
              <w:szCs w:val="20"/>
            </w:rPr>
            <m:t>+</m:t>
          </m:r>
          <m:sSub>
            <m:sSubPr>
              <m:ctrlPr>
                <w:rPr>
                  <w:rFonts w:ascii="Cambria Math" w:hAnsi="Cambria Math"/>
                  <w:i/>
                  <w:iCs/>
                  <w:szCs w:val="20"/>
                </w:rPr>
              </m:ctrlPr>
            </m:sSubPr>
            <m:e>
              <m:r>
                <w:rPr>
                  <w:rFonts w:ascii="Cambria Math" w:hAnsi="Cambria Math"/>
                  <w:szCs w:val="20"/>
                </w:rPr>
                <m:t>β</m:t>
              </m:r>
            </m:e>
            <m:sub>
              <m:r>
                <w:rPr>
                  <w:rFonts w:ascii="Cambria Math" w:hAnsi="Cambria Math"/>
                  <w:szCs w:val="20"/>
                </w:rPr>
                <m:t>2</m:t>
              </m:r>
            </m:sub>
          </m:sSub>
          <m:sSub>
            <m:sSubPr>
              <m:ctrlPr>
                <w:rPr>
                  <w:rFonts w:ascii="Cambria Math" w:hAnsi="Cambria Math"/>
                  <w:i/>
                  <w:iCs/>
                  <w:szCs w:val="20"/>
                </w:rPr>
              </m:ctrlPr>
            </m:sSubPr>
            <m:e>
              <m:r>
                <w:rPr>
                  <w:rFonts w:ascii="Cambria Math" w:hAnsi="Cambria Math"/>
                  <w:szCs w:val="20"/>
                </w:rPr>
                <m:t>posttreatment</m:t>
              </m:r>
            </m:e>
            <m:sub>
              <m:r>
                <w:rPr>
                  <w:rFonts w:ascii="Cambria Math" w:hAnsi="Cambria Math"/>
                  <w:szCs w:val="20"/>
                </w:rPr>
                <m:t>t</m:t>
              </m:r>
            </m:sub>
          </m:sSub>
          <m:r>
            <w:rPr>
              <w:rFonts w:ascii="Cambria Math" w:hAnsi="Cambria Math"/>
              <w:szCs w:val="20"/>
            </w:rPr>
            <m:t>+</m:t>
          </m:r>
          <m:sSub>
            <m:sSubPr>
              <m:ctrlPr>
                <w:rPr>
                  <w:rFonts w:ascii="Cambria Math" w:hAnsi="Cambria Math"/>
                  <w:i/>
                  <w:iCs/>
                  <w:szCs w:val="20"/>
                </w:rPr>
              </m:ctrlPr>
            </m:sSubPr>
            <m:e>
              <m:r>
                <w:rPr>
                  <w:rFonts w:ascii="Cambria Math" w:hAnsi="Cambria Math"/>
                  <w:szCs w:val="20"/>
                </w:rPr>
                <m:t>β</m:t>
              </m:r>
            </m:e>
            <m:sub>
              <m:r>
                <w:rPr>
                  <w:rFonts w:ascii="Cambria Math" w:hAnsi="Cambria Math"/>
                  <w:szCs w:val="20"/>
                </w:rPr>
                <m:t>3</m:t>
              </m:r>
            </m:sub>
          </m:sSub>
          <m:sSub>
            <m:sSubPr>
              <m:ctrlPr>
                <w:rPr>
                  <w:rFonts w:ascii="Cambria Math" w:hAnsi="Cambria Math"/>
                  <w:i/>
                  <w:iCs/>
                  <w:szCs w:val="20"/>
                </w:rPr>
              </m:ctrlPr>
            </m:sSubPr>
            <m:e>
              <m:r>
                <w:rPr>
                  <w:rFonts w:ascii="Cambria Math" w:hAnsi="Cambria Math"/>
                  <w:szCs w:val="20"/>
                </w:rPr>
                <m:t>mean17</m:t>
              </m:r>
            </m:e>
            <m:sub>
              <m:r>
                <w:rPr>
                  <w:rFonts w:ascii="Cambria Math" w:hAnsi="Cambria Math"/>
                  <w:szCs w:val="20"/>
                </w:rPr>
                <m:t>i,t</m:t>
              </m:r>
            </m:sub>
          </m:sSub>
          <m:r>
            <w:rPr>
              <w:rFonts w:ascii="Cambria Math" w:hAnsi="Cambria Math"/>
              <w:szCs w:val="20"/>
            </w:rPr>
            <m:t>+</m:t>
          </m:r>
          <m:sSub>
            <m:sSubPr>
              <m:ctrlPr>
                <w:rPr>
                  <w:rFonts w:ascii="Cambria Math" w:hAnsi="Cambria Math"/>
                  <w:i/>
                  <w:iCs/>
                  <w:szCs w:val="20"/>
                </w:rPr>
              </m:ctrlPr>
            </m:sSubPr>
            <m:e>
              <m:sSub>
                <m:sSubPr>
                  <m:ctrlPr>
                    <w:rPr>
                      <w:rFonts w:ascii="Cambria Math" w:hAnsi="Cambria Math"/>
                      <w:i/>
                      <w:iCs/>
                      <w:szCs w:val="20"/>
                    </w:rPr>
                  </m:ctrlPr>
                </m:sSubPr>
                <m:e>
                  <m:r>
                    <w:rPr>
                      <w:rFonts w:ascii="Cambria Math" w:hAnsi="Cambria Math"/>
                      <w:szCs w:val="20"/>
                    </w:rPr>
                    <m:t>β</m:t>
                  </m:r>
                </m:e>
                <m:sub>
                  <m:r>
                    <w:rPr>
                      <w:rFonts w:ascii="Cambria Math" w:hAnsi="Cambria Math"/>
                      <w:szCs w:val="20"/>
                    </w:rPr>
                    <m:t>4</m:t>
                  </m:r>
                </m:sub>
              </m:sSub>
              <m:r>
                <w:rPr>
                  <w:rFonts w:ascii="Cambria Math" w:hAnsi="Cambria Math"/>
                  <w:szCs w:val="20"/>
                </w:rPr>
                <m:t>month</m:t>
              </m:r>
            </m:e>
            <m:sub>
              <m:r>
                <w:rPr>
                  <w:rFonts w:ascii="Cambria Math" w:hAnsi="Cambria Math"/>
                  <w:szCs w:val="20"/>
                </w:rPr>
                <m:t>t</m:t>
              </m:r>
            </m:sub>
          </m:sSub>
          <m:r>
            <w:rPr>
              <w:rFonts w:ascii="Cambria Math" w:hAnsi="Cambria Math"/>
              <w:szCs w:val="20"/>
            </w:rPr>
            <m:t>+</m:t>
          </m:r>
          <m:sSub>
            <m:sSubPr>
              <m:ctrlPr>
                <w:rPr>
                  <w:rFonts w:ascii="Cambria Math" w:hAnsi="Cambria Math"/>
                  <w:i/>
                  <w:iCs/>
                  <w:szCs w:val="20"/>
                </w:rPr>
              </m:ctrlPr>
            </m:sSubPr>
            <m:e>
              <m:r>
                <w:rPr>
                  <w:rFonts w:ascii="Cambria Math" w:hAnsi="Cambria Math"/>
                  <w:szCs w:val="20"/>
                </w:rPr>
                <m:t>ε</m:t>
              </m:r>
            </m:e>
            <m:sub>
              <m:r>
                <w:rPr>
                  <w:rFonts w:ascii="Cambria Math" w:hAnsi="Cambria Math"/>
                  <w:szCs w:val="20"/>
                </w:rPr>
                <m:t>i,t</m:t>
              </m:r>
            </m:sub>
          </m:sSub>
          <m:r>
            <w:rPr>
              <w:rFonts w:ascii="Cambria Math" w:hAnsi="Cambria Math"/>
              <w:szCs w:val="20"/>
            </w:rPr>
            <m:t>+</m:t>
          </m:r>
          <m:sSub>
            <m:sSubPr>
              <m:ctrlPr>
                <w:rPr>
                  <w:rFonts w:ascii="Cambria Math" w:hAnsi="Cambria Math"/>
                  <w:i/>
                  <w:iCs/>
                  <w:szCs w:val="20"/>
                </w:rPr>
              </m:ctrlPr>
            </m:sSubPr>
            <m:e>
              <m:r>
                <w:rPr>
                  <w:rFonts w:ascii="Cambria Math" w:hAnsi="Cambria Math"/>
                  <w:szCs w:val="20"/>
                </w:rPr>
                <m:t>u</m:t>
              </m:r>
            </m:e>
            <m:sub>
              <m:r>
                <w:rPr>
                  <w:rFonts w:ascii="Cambria Math" w:hAnsi="Cambria Math"/>
                  <w:szCs w:val="20"/>
                </w:rPr>
                <m:t>i</m:t>
              </m:r>
            </m:sub>
          </m:sSub>
          <m:r>
            <w:rPr>
              <w:rFonts w:ascii="Cambria Math" w:hAnsi="Cambria Math"/>
              <w:szCs w:val="20"/>
            </w:rPr>
            <m:t> </m:t>
          </m:r>
        </m:oMath>
      </m:oMathPara>
    </w:p>
    <w:p w:rsidR="00F0094E" w:rsidRPr="000D3BA6" w:rsidRDefault="00F0094E" w:rsidP="00F0094E">
      <w:pPr>
        <w:pStyle w:val="BodyParagraph"/>
        <w:spacing w:after="0" w:line="276" w:lineRule="auto"/>
        <w:ind w:firstLine="360"/>
        <w:rPr>
          <w:rFonts w:ascii="Times New Roman" w:hAnsi="Times New Roman"/>
          <w:szCs w:val="20"/>
        </w:rPr>
      </w:pPr>
    </w:p>
    <w:tbl>
      <w:tblPr>
        <w:tblStyle w:val="TableGrid"/>
        <w:tblW w:w="0" w:type="auto"/>
        <w:jc w:val="center"/>
        <w:shd w:val="clear" w:color="auto" w:fill="C1BED1"/>
        <w:tblLook w:val="04A0" w:firstRow="1" w:lastRow="0" w:firstColumn="1" w:lastColumn="0" w:noHBand="0" w:noVBand="1"/>
      </w:tblPr>
      <w:tblGrid>
        <w:gridCol w:w="1601"/>
        <w:gridCol w:w="7597"/>
      </w:tblGrid>
      <w:tr w:rsidR="00F0094E" w:rsidRPr="000D3BA6" w:rsidTr="00C7586E">
        <w:trPr>
          <w:cantSplit/>
          <w:tblHeader/>
          <w:jc w:val="center"/>
        </w:trPr>
        <w:tc>
          <w:tcPr>
            <w:tcW w:w="1601" w:type="dxa"/>
            <w:tcBorders>
              <w:top w:val="single" w:sz="4" w:space="0" w:color="auto"/>
              <w:left w:val="single" w:sz="4" w:space="0" w:color="auto"/>
              <w:bottom w:val="single" w:sz="4" w:space="0" w:color="1F497D" w:themeColor="text2"/>
              <w:right w:val="single" w:sz="4" w:space="0" w:color="FFFFFF" w:themeColor="background1"/>
            </w:tcBorders>
            <w:shd w:val="clear" w:color="auto" w:fill="1F497D" w:themeFill="text2"/>
            <w:hideMark/>
          </w:tcPr>
          <w:p w:rsidR="00F0094E" w:rsidRPr="00C7586E" w:rsidRDefault="00F0094E" w:rsidP="00F0094E">
            <w:pPr>
              <w:pStyle w:val="TableHeader"/>
              <w:spacing w:before="0" w:after="0" w:line="276" w:lineRule="auto"/>
              <w:ind w:firstLine="360"/>
              <w:jc w:val="left"/>
              <w:rPr>
                <w:rFonts w:ascii="Times New Roman" w:hAnsi="Times New Roman"/>
                <w:szCs w:val="20"/>
              </w:rPr>
            </w:pPr>
            <w:r w:rsidRPr="00C7586E">
              <w:rPr>
                <w:rFonts w:ascii="Times New Roman" w:hAnsi="Times New Roman"/>
                <w:szCs w:val="20"/>
              </w:rPr>
              <w:t>Variable</w:t>
            </w:r>
          </w:p>
        </w:tc>
        <w:tc>
          <w:tcPr>
            <w:tcW w:w="7597" w:type="dxa"/>
            <w:tcBorders>
              <w:top w:val="single" w:sz="4" w:space="0" w:color="auto"/>
              <w:left w:val="single" w:sz="4" w:space="0" w:color="FFFFFF" w:themeColor="background1"/>
              <w:bottom w:val="single" w:sz="4" w:space="0" w:color="1F497D" w:themeColor="text2"/>
              <w:right w:val="single" w:sz="4" w:space="0" w:color="auto"/>
            </w:tcBorders>
            <w:shd w:val="clear" w:color="auto" w:fill="1F497D" w:themeFill="text2"/>
            <w:hideMark/>
          </w:tcPr>
          <w:p w:rsidR="00F0094E" w:rsidRPr="00C7586E" w:rsidRDefault="00F0094E" w:rsidP="00F0094E">
            <w:pPr>
              <w:pStyle w:val="TableHeader"/>
              <w:spacing w:before="0" w:after="0" w:line="276" w:lineRule="auto"/>
              <w:ind w:firstLine="360"/>
              <w:jc w:val="left"/>
              <w:rPr>
                <w:rFonts w:ascii="Times New Roman" w:hAnsi="Times New Roman"/>
                <w:szCs w:val="20"/>
              </w:rPr>
            </w:pPr>
            <w:r w:rsidRPr="00C7586E">
              <w:rPr>
                <w:rFonts w:ascii="Times New Roman" w:hAnsi="Times New Roman"/>
                <w:szCs w:val="20"/>
              </w:rPr>
              <w:t>Definition</w:t>
            </w:r>
          </w:p>
        </w:tc>
      </w:tr>
      <w:tr w:rsidR="00F0094E" w:rsidRPr="000D3BA6" w:rsidTr="00C7586E">
        <w:trPr>
          <w:jc w:val="center"/>
        </w:trPr>
        <w:tc>
          <w:tcPr>
            <w:tcW w:w="1601" w:type="dxa"/>
            <w:tcBorders>
              <w:top w:val="single" w:sz="4" w:space="0" w:color="1F497D" w:themeColor="text2"/>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F0094E">
            <w:pPr>
              <w:pStyle w:val="BodyParagraph"/>
              <w:spacing w:after="0" w:line="276" w:lineRule="auto"/>
              <w:ind w:firstLine="360"/>
              <w:rPr>
                <w:rFonts w:ascii="Times New Roman" w:hAnsi="Times New Roman"/>
                <w:i/>
                <w:szCs w:val="20"/>
              </w:rPr>
            </w:pPr>
            <w:r w:rsidRPr="00C7586E">
              <w:rPr>
                <w:rFonts w:ascii="Times New Roman" w:hAnsi="Times New Roman"/>
                <w:i/>
                <w:szCs w:val="20"/>
              </w:rPr>
              <w:t xml:space="preserve">    i, t</w:t>
            </w:r>
          </w:p>
        </w:tc>
        <w:tc>
          <w:tcPr>
            <w:tcW w:w="7597" w:type="dxa"/>
            <w:tcBorders>
              <w:top w:val="single" w:sz="4" w:space="0" w:color="1F497D" w:themeColor="text2"/>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C7586E">
            <w:pPr>
              <w:pStyle w:val="TableText"/>
              <w:spacing w:before="0" w:after="0" w:line="276" w:lineRule="auto"/>
              <w:rPr>
                <w:rFonts w:ascii="Times New Roman" w:hAnsi="Times New Roman"/>
                <w:sz w:val="20"/>
                <w:szCs w:val="20"/>
              </w:rPr>
            </w:pPr>
            <w:r w:rsidRPr="00C7586E">
              <w:rPr>
                <w:rFonts w:ascii="Times New Roman" w:hAnsi="Times New Roman"/>
                <w:sz w:val="20"/>
                <w:szCs w:val="20"/>
              </w:rPr>
              <w:t>Indicate observations for each individual (i) and date (t).</w:t>
            </w:r>
          </w:p>
        </w:tc>
      </w:tr>
      <w:tr w:rsidR="00F0094E" w:rsidRPr="000D3BA6" w:rsidTr="00C7586E">
        <w:trPr>
          <w:jc w:val="center"/>
        </w:trPr>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24252A" w:rsidP="00F0094E">
            <w:pPr>
              <w:pStyle w:val="BodyParagraph"/>
              <w:spacing w:after="0" w:line="276" w:lineRule="auto"/>
              <w:ind w:firstLine="360"/>
              <w:rPr>
                <w:rFonts w:ascii="Times New Roman" w:hAnsi="Times New Roman"/>
                <w:i/>
                <w:szCs w:val="20"/>
              </w:rPr>
            </w:pPr>
            <m:oMathPara>
              <m:oMath>
                <m:sSub>
                  <m:sSubPr>
                    <m:ctrlPr>
                      <w:rPr>
                        <w:rFonts w:ascii="Cambria Math" w:hAnsi="Cambria Math"/>
                        <w:i/>
                        <w:iCs/>
                        <w:szCs w:val="20"/>
                      </w:rPr>
                    </m:ctrlPr>
                  </m:sSubPr>
                  <m:e>
                    <m:r>
                      <w:rPr>
                        <w:rFonts w:ascii="Cambria Math" w:hAnsi="Cambria Math"/>
                        <w:szCs w:val="20"/>
                      </w:rPr>
                      <m:t>β</m:t>
                    </m:r>
                  </m:e>
                  <m:sub>
                    <m:r>
                      <w:rPr>
                        <w:rFonts w:ascii="Cambria Math" w:hAnsi="Cambria Math"/>
                        <w:szCs w:val="20"/>
                      </w:rPr>
                      <m:t>0</m:t>
                    </m:r>
                  </m:sub>
                </m:sSub>
              </m:oMath>
            </m:oMathPara>
          </w:p>
        </w:tc>
        <w:tc>
          <w:tcPr>
            <w:tcW w:w="7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C7586E">
            <w:pPr>
              <w:pStyle w:val="TableText"/>
              <w:spacing w:before="0" w:after="0" w:line="276" w:lineRule="auto"/>
              <w:rPr>
                <w:rFonts w:ascii="Times New Roman" w:hAnsi="Times New Roman"/>
                <w:sz w:val="20"/>
                <w:szCs w:val="20"/>
              </w:rPr>
            </w:pPr>
            <w:r w:rsidRPr="00C7586E">
              <w:rPr>
                <w:rFonts w:ascii="Times New Roman" w:hAnsi="Times New Roman"/>
                <w:sz w:val="20"/>
                <w:szCs w:val="20"/>
              </w:rPr>
              <w:t>The model constant.</w:t>
            </w:r>
          </w:p>
        </w:tc>
      </w:tr>
      <w:tr w:rsidR="00F0094E" w:rsidRPr="000D3BA6" w:rsidTr="00C7586E">
        <w:trPr>
          <w:jc w:val="center"/>
        </w:trPr>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24252A" w:rsidP="00F0094E">
            <w:pPr>
              <w:pStyle w:val="BodyParagraph"/>
              <w:spacing w:after="0" w:line="276" w:lineRule="auto"/>
              <w:ind w:firstLine="360"/>
              <w:rPr>
                <w:rFonts w:ascii="Times New Roman" w:hAnsi="Times New Roman"/>
                <w:i/>
                <w:szCs w:val="20"/>
              </w:rPr>
            </w:pPr>
            <m:oMathPara>
              <m:oMath>
                <m:sSub>
                  <m:sSubPr>
                    <m:ctrlPr>
                      <w:rPr>
                        <w:rFonts w:ascii="Cambria Math" w:hAnsi="Cambria Math"/>
                        <w:i/>
                        <w:iCs/>
                        <w:szCs w:val="20"/>
                      </w:rPr>
                    </m:ctrlPr>
                  </m:sSubPr>
                  <m:e>
                    <m:r>
                      <w:rPr>
                        <w:rFonts w:ascii="Cambria Math" w:hAnsi="Cambria Math"/>
                        <w:szCs w:val="20"/>
                      </w:rPr>
                      <m:t>β</m:t>
                    </m:r>
                  </m:e>
                  <m:sub>
                    <m:r>
                      <w:rPr>
                        <w:rFonts w:ascii="Cambria Math" w:hAnsi="Cambria Math"/>
                        <w:szCs w:val="20"/>
                      </w:rPr>
                      <m:t>1</m:t>
                    </m:r>
                  </m:sub>
                </m:sSub>
              </m:oMath>
            </m:oMathPara>
          </w:p>
        </w:tc>
        <w:tc>
          <w:tcPr>
            <w:tcW w:w="7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C7586E">
            <w:pPr>
              <w:pStyle w:val="TableText"/>
              <w:spacing w:before="0" w:after="0" w:line="276" w:lineRule="auto"/>
              <w:rPr>
                <w:rFonts w:ascii="Times New Roman" w:hAnsi="Times New Roman"/>
                <w:sz w:val="20"/>
                <w:szCs w:val="20"/>
              </w:rPr>
            </w:pPr>
            <w:r w:rsidRPr="00C7586E">
              <w:rPr>
                <w:rFonts w:ascii="Times New Roman" w:hAnsi="Times New Roman"/>
                <w:sz w:val="20"/>
                <w:szCs w:val="20"/>
              </w:rPr>
              <w:t>The change in electricity use due to the treatment. This change is only experienced by the treatment group after TOU is implemented. The parameter represents the difference-in-differences.</w:t>
            </w:r>
          </w:p>
        </w:tc>
      </w:tr>
      <w:tr w:rsidR="00F0094E" w:rsidRPr="000D3BA6" w:rsidTr="00C7586E">
        <w:trPr>
          <w:jc w:val="center"/>
        </w:trPr>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24252A" w:rsidP="00F0094E">
            <w:pPr>
              <w:pStyle w:val="BodyParagraph"/>
              <w:spacing w:after="0" w:line="276" w:lineRule="auto"/>
              <w:ind w:firstLine="360"/>
              <w:rPr>
                <w:rFonts w:ascii="Times New Roman" w:hAnsi="Times New Roman"/>
                <w:i/>
                <w:szCs w:val="20"/>
              </w:rPr>
            </w:pPr>
            <m:oMathPara>
              <m:oMath>
                <m:sSub>
                  <m:sSubPr>
                    <m:ctrlPr>
                      <w:rPr>
                        <w:rFonts w:ascii="Cambria Math" w:hAnsi="Cambria Math"/>
                        <w:i/>
                        <w:iCs/>
                        <w:szCs w:val="20"/>
                      </w:rPr>
                    </m:ctrlPr>
                  </m:sSubPr>
                  <m:e>
                    <m:r>
                      <w:rPr>
                        <w:rFonts w:ascii="Cambria Math" w:hAnsi="Cambria Math"/>
                        <w:szCs w:val="20"/>
                      </w:rPr>
                      <m:t>β</m:t>
                    </m:r>
                  </m:e>
                  <m:sub>
                    <m:r>
                      <w:rPr>
                        <w:rFonts w:ascii="Cambria Math" w:hAnsi="Cambria Math"/>
                        <w:szCs w:val="20"/>
                      </w:rPr>
                      <m:t>2</m:t>
                    </m:r>
                  </m:sub>
                </m:sSub>
              </m:oMath>
            </m:oMathPara>
          </w:p>
        </w:tc>
        <w:tc>
          <w:tcPr>
            <w:tcW w:w="7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C7586E">
            <w:pPr>
              <w:pStyle w:val="TableText"/>
              <w:spacing w:before="0" w:after="0" w:line="276" w:lineRule="auto"/>
              <w:rPr>
                <w:rFonts w:ascii="Times New Roman" w:hAnsi="Times New Roman"/>
                <w:sz w:val="20"/>
                <w:szCs w:val="20"/>
              </w:rPr>
            </w:pPr>
            <w:r w:rsidRPr="00C7586E">
              <w:rPr>
                <w:rFonts w:ascii="Times New Roman" w:hAnsi="Times New Roman"/>
                <w:sz w:val="20"/>
                <w:szCs w:val="20"/>
              </w:rPr>
              <w:t>The difference pre and post TOU implementation period unrelated to treatment.</w:t>
            </w:r>
          </w:p>
        </w:tc>
      </w:tr>
      <w:tr w:rsidR="00F0094E" w:rsidRPr="000D3BA6" w:rsidTr="00C7586E">
        <w:trPr>
          <w:jc w:val="center"/>
        </w:trPr>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24252A" w:rsidP="00F0094E">
            <w:pPr>
              <w:pStyle w:val="BodyParagraph"/>
              <w:spacing w:after="0" w:line="276" w:lineRule="auto"/>
              <w:ind w:firstLine="360"/>
              <w:rPr>
                <w:rFonts w:ascii="Times New Roman" w:hAnsi="Times New Roman"/>
                <w:i/>
                <w:szCs w:val="20"/>
              </w:rPr>
            </w:pPr>
            <m:oMathPara>
              <m:oMath>
                <m:sSub>
                  <m:sSubPr>
                    <m:ctrlPr>
                      <w:rPr>
                        <w:rFonts w:ascii="Cambria Math" w:hAnsi="Cambria Math"/>
                        <w:i/>
                        <w:iCs/>
                        <w:szCs w:val="20"/>
                      </w:rPr>
                    </m:ctrlPr>
                  </m:sSubPr>
                  <m:e>
                    <m:r>
                      <w:rPr>
                        <w:rFonts w:ascii="Cambria Math" w:hAnsi="Cambria Math"/>
                        <w:szCs w:val="20"/>
                      </w:rPr>
                      <m:t>β</m:t>
                    </m:r>
                  </m:e>
                  <m:sub>
                    <m:r>
                      <w:rPr>
                        <w:rFonts w:ascii="Cambria Math" w:hAnsi="Cambria Math"/>
                        <w:szCs w:val="20"/>
                      </w:rPr>
                      <m:t>3</m:t>
                    </m:r>
                  </m:sub>
                </m:sSub>
              </m:oMath>
            </m:oMathPara>
          </w:p>
        </w:tc>
        <w:tc>
          <w:tcPr>
            <w:tcW w:w="7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C7586E">
            <w:pPr>
              <w:pStyle w:val="TableText"/>
              <w:spacing w:before="0" w:after="0" w:line="276" w:lineRule="auto"/>
              <w:rPr>
                <w:rFonts w:ascii="Times New Roman" w:hAnsi="Times New Roman"/>
                <w:sz w:val="20"/>
                <w:szCs w:val="20"/>
              </w:rPr>
            </w:pPr>
            <w:r w:rsidRPr="00C7586E">
              <w:rPr>
                <w:rFonts w:ascii="Times New Roman" w:hAnsi="Times New Roman"/>
                <w:sz w:val="20"/>
                <w:szCs w:val="20"/>
              </w:rPr>
              <w:t xml:space="preserve">Change in electricity use due to weather (Avg. temperature during first 17 hours of </w:t>
            </w:r>
            <w:r w:rsidRPr="00C7586E">
              <w:rPr>
                <w:rFonts w:ascii="Times New Roman" w:hAnsi="Times New Roman"/>
                <w:sz w:val="20"/>
                <w:szCs w:val="20"/>
              </w:rPr>
              <w:br/>
              <w:t>the day).</w:t>
            </w:r>
          </w:p>
        </w:tc>
      </w:tr>
      <w:tr w:rsidR="00F0094E" w:rsidRPr="000D3BA6" w:rsidTr="00C7586E">
        <w:trPr>
          <w:jc w:val="center"/>
        </w:trPr>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24252A" w:rsidP="00F0094E">
            <w:pPr>
              <w:pStyle w:val="BodyParagraph"/>
              <w:spacing w:after="0" w:line="276" w:lineRule="auto"/>
              <w:ind w:firstLine="360"/>
              <w:rPr>
                <w:rFonts w:ascii="Times New Roman" w:hAnsi="Times New Roman"/>
                <w:i/>
                <w:szCs w:val="20"/>
              </w:rPr>
            </w:pPr>
            <m:oMathPara>
              <m:oMath>
                <m:sSub>
                  <m:sSubPr>
                    <m:ctrlPr>
                      <w:rPr>
                        <w:rFonts w:ascii="Cambria Math" w:hAnsi="Cambria Math"/>
                        <w:i/>
                        <w:iCs/>
                        <w:szCs w:val="20"/>
                      </w:rPr>
                    </m:ctrlPr>
                  </m:sSubPr>
                  <m:e>
                    <m:r>
                      <w:rPr>
                        <w:rFonts w:ascii="Cambria Math" w:hAnsi="Cambria Math"/>
                        <w:szCs w:val="20"/>
                      </w:rPr>
                      <m:t>β</m:t>
                    </m:r>
                  </m:e>
                  <m:sub>
                    <m:r>
                      <w:rPr>
                        <w:rFonts w:ascii="Cambria Math" w:hAnsi="Cambria Math"/>
                        <w:szCs w:val="20"/>
                      </w:rPr>
                      <m:t>4</m:t>
                    </m:r>
                  </m:sub>
                </m:sSub>
              </m:oMath>
            </m:oMathPara>
          </w:p>
        </w:tc>
        <w:tc>
          <w:tcPr>
            <w:tcW w:w="7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C7586E">
            <w:pPr>
              <w:pStyle w:val="TableText"/>
              <w:spacing w:before="0" w:after="0" w:line="276" w:lineRule="auto"/>
              <w:rPr>
                <w:rFonts w:ascii="Times New Roman" w:hAnsi="Times New Roman"/>
                <w:sz w:val="20"/>
                <w:szCs w:val="20"/>
              </w:rPr>
            </w:pPr>
            <w:r w:rsidRPr="00C7586E">
              <w:rPr>
                <w:rFonts w:ascii="Times New Roman" w:hAnsi="Times New Roman"/>
                <w:sz w:val="20"/>
                <w:szCs w:val="20"/>
              </w:rPr>
              <w:t>Change in electricity use due to month.</w:t>
            </w:r>
          </w:p>
        </w:tc>
      </w:tr>
      <w:tr w:rsidR="00F0094E" w:rsidRPr="000D3BA6" w:rsidTr="00C7586E">
        <w:trPr>
          <w:cantSplit/>
          <w:jc w:val="center"/>
        </w:trPr>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24252A" w:rsidP="00F0094E">
            <w:pPr>
              <w:pStyle w:val="BodyParagraph"/>
              <w:spacing w:after="0" w:line="276" w:lineRule="auto"/>
              <w:ind w:firstLine="360"/>
              <w:rPr>
                <w:rFonts w:ascii="Times New Roman" w:hAnsi="Times New Roman"/>
                <w:i/>
                <w:szCs w:val="20"/>
              </w:rPr>
            </w:pPr>
            <m:oMathPara>
              <m:oMath>
                <m:sSub>
                  <m:sSubPr>
                    <m:ctrlPr>
                      <w:rPr>
                        <w:rFonts w:ascii="Cambria Math" w:hAnsi="Cambria Math"/>
                        <w:i/>
                        <w:iCs/>
                        <w:szCs w:val="20"/>
                      </w:rPr>
                    </m:ctrlPr>
                  </m:sSubPr>
                  <m:e>
                    <m:r>
                      <w:rPr>
                        <w:rFonts w:ascii="Cambria Math" w:hAnsi="Cambria Math"/>
                        <w:szCs w:val="20"/>
                      </w:rPr>
                      <m:t>u</m:t>
                    </m:r>
                  </m:e>
                  <m:sub>
                    <m:r>
                      <w:rPr>
                        <w:rFonts w:ascii="Cambria Math" w:hAnsi="Cambria Math"/>
                        <w:szCs w:val="20"/>
                      </w:rPr>
                      <m:t>i</m:t>
                    </m:r>
                  </m:sub>
                </m:sSub>
              </m:oMath>
            </m:oMathPara>
          </w:p>
        </w:tc>
        <w:tc>
          <w:tcPr>
            <w:tcW w:w="7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C7586E">
            <w:pPr>
              <w:pStyle w:val="TableText"/>
              <w:spacing w:before="0" w:after="0" w:line="276" w:lineRule="auto"/>
              <w:rPr>
                <w:rFonts w:ascii="Times New Roman" w:hAnsi="Times New Roman"/>
                <w:sz w:val="20"/>
                <w:szCs w:val="20"/>
              </w:rPr>
            </w:pPr>
            <w:r w:rsidRPr="00C7586E">
              <w:rPr>
                <w:rFonts w:ascii="Times New Roman" w:hAnsi="Times New Roman"/>
                <w:sz w:val="20"/>
                <w:szCs w:val="20"/>
              </w:rPr>
              <w:t>Customer fixed effects, which control for unobserved factors that are time invariant and unique to each customer. They do not control for fixed characteristics such as air conditioning that interact with time varying factors like weather.</w:t>
            </w:r>
          </w:p>
        </w:tc>
      </w:tr>
      <w:tr w:rsidR="00F0094E" w:rsidRPr="000D3BA6" w:rsidTr="00C7586E">
        <w:trPr>
          <w:jc w:val="center"/>
        </w:trPr>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24252A" w:rsidP="00F0094E">
            <w:pPr>
              <w:pStyle w:val="BodyParagraph"/>
              <w:spacing w:after="0" w:line="276" w:lineRule="auto"/>
              <w:ind w:firstLine="360"/>
              <w:rPr>
                <w:rFonts w:ascii="Times New Roman" w:hAnsi="Times New Roman"/>
                <w:i/>
                <w:szCs w:val="20"/>
              </w:rPr>
            </w:pPr>
            <m:oMathPara>
              <m:oMath>
                <m:sSub>
                  <m:sSubPr>
                    <m:ctrlPr>
                      <w:rPr>
                        <w:rFonts w:ascii="Cambria Math" w:hAnsi="Cambria Math"/>
                        <w:i/>
                        <w:iCs/>
                        <w:szCs w:val="20"/>
                      </w:rPr>
                    </m:ctrlPr>
                  </m:sSubPr>
                  <m:e>
                    <m:r>
                      <w:rPr>
                        <w:rFonts w:ascii="Cambria Math" w:hAnsi="Cambria Math"/>
                        <w:szCs w:val="20"/>
                      </w:rPr>
                      <m:t>ε</m:t>
                    </m:r>
                  </m:e>
                  <m:sub>
                    <m:r>
                      <w:rPr>
                        <w:rFonts w:ascii="Cambria Math" w:hAnsi="Cambria Math"/>
                        <w:szCs w:val="20"/>
                      </w:rPr>
                      <m:t>i,t</m:t>
                    </m:r>
                  </m:sub>
                </m:sSub>
              </m:oMath>
            </m:oMathPara>
          </w:p>
        </w:tc>
        <w:tc>
          <w:tcPr>
            <w:tcW w:w="7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C7586E">
            <w:pPr>
              <w:pStyle w:val="TableText"/>
              <w:spacing w:before="0" w:after="0" w:line="276" w:lineRule="auto"/>
              <w:rPr>
                <w:rFonts w:ascii="Times New Roman" w:hAnsi="Times New Roman"/>
                <w:sz w:val="20"/>
                <w:szCs w:val="20"/>
              </w:rPr>
            </w:pPr>
            <w:r w:rsidRPr="00C7586E">
              <w:rPr>
                <w:rFonts w:ascii="Times New Roman" w:hAnsi="Times New Roman"/>
                <w:sz w:val="20"/>
                <w:szCs w:val="20"/>
              </w:rPr>
              <w:t>The idiosyncratic (white-noise) error for each individual customer and time period.</w:t>
            </w:r>
          </w:p>
        </w:tc>
      </w:tr>
      <w:tr w:rsidR="00F0094E" w:rsidRPr="000D3BA6" w:rsidTr="00C7586E">
        <w:trPr>
          <w:jc w:val="center"/>
        </w:trPr>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24252A" w:rsidP="00F0094E">
            <w:pPr>
              <w:pStyle w:val="BodyParagraph"/>
              <w:spacing w:after="0" w:line="276" w:lineRule="auto"/>
              <w:ind w:firstLine="360"/>
              <w:rPr>
                <w:rFonts w:ascii="Times New Roman" w:hAnsi="Times New Roman"/>
                <w:i/>
                <w:szCs w:val="20"/>
              </w:rPr>
            </w:pPr>
            <m:oMathPara>
              <m:oMath>
                <m:sSub>
                  <m:sSubPr>
                    <m:ctrlPr>
                      <w:rPr>
                        <w:rFonts w:ascii="Cambria Math" w:hAnsi="Cambria Math"/>
                        <w:i/>
                        <w:iCs/>
                        <w:szCs w:val="20"/>
                      </w:rPr>
                    </m:ctrlPr>
                  </m:sSubPr>
                  <m:e>
                    <m:r>
                      <w:rPr>
                        <w:rFonts w:ascii="Cambria Math" w:hAnsi="Cambria Math"/>
                        <w:szCs w:val="20"/>
                      </w:rPr>
                      <m:t>treatment</m:t>
                    </m:r>
                  </m:e>
                  <m:sub>
                    <m:r>
                      <w:rPr>
                        <w:rFonts w:ascii="Cambria Math" w:hAnsi="Cambria Math"/>
                        <w:szCs w:val="20"/>
                      </w:rPr>
                      <m:t>i</m:t>
                    </m:r>
                  </m:sub>
                </m:sSub>
              </m:oMath>
            </m:oMathPara>
          </w:p>
        </w:tc>
        <w:tc>
          <w:tcPr>
            <w:tcW w:w="7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C7586E">
            <w:pPr>
              <w:pStyle w:val="TableText"/>
              <w:spacing w:before="0" w:after="0" w:line="276" w:lineRule="auto"/>
              <w:rPr>
                <w:rFonts w:ascii="Times New Roman" w:hAnsi="Times New Roman"/>
                <w:sz w:val="20"/>
                <w:szCs w:val="20"/>
              </w:rPr>
            </w:pPr>
            <w:r w:rsidRPr="00C7586E">
              <w:rPr>
                <w:rFonts w:ascii="Times New Roman" w:hAnsi="Times New Roman"/>
                <w:sz w:val="20"/>
                <w:szCs w:val="20"/>
              </w:rPr>
              <w:t>A binary indicator of whether or not the customer is part of the treatment or control group.</w:t>
            </w:r>
          </w:p>
        </w:tc>
      </w:tr>
      <w:tr w:rsidR="00F0094E" w:rsidRPr="000D3BA6" w:rsidTr="00C7586E">
        <w:trPr>
          <w:jc w:val="center"/>
        </w:trPr>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24252A" w:rsidP="00F0094E">
            <w:pPr>
              <w:pStyle w:val="BodyParagraph"/>
              <w:spacing w:after="0" w:line="276" w:lineRule="auto"/>
              <w:ind w:firstLine="360"/>
              <w:rPr>
                <w:rFonts w:ascii="Times New Roman" w:hAnsi="Times New Roman"/>
                <w:i/>
                <w:szCs w:val="20"/>
              </w:rPr>
            </w:pPr>
            <m:oMathPara>
              <m:oMath>
                <m:sSub>
                  <m:sSubPr>
                    <m:ctrlPr>
                      <w:rPr>
                        <w:rFonts w:ascii="Cambria Math" w:hAnsi="Cambria Math"/>
                        <w:i/>
                        <w:iCs/>
                        <w:szCs w:val="20"/>
                      </w:rPr>
                    </m:ctrlPr>
                  </m:sSubPr>
                  <m:e>
                    <m:r>
                      <w:rPr>
                        <w:rFonts w:ascii="Cambria Math" w:hAnsi="Cambria Math"/>
                        <w:szCs w:val="20"/>
                      </w:rPr>
                      <m:t>posttreatment</m:t>
                    </m:r>
                  </m:e>
                  <m:sub>
                    <m:r>
                      <w:rPr>
                        <w:rFonts w:ascii="Cambria Math" w:hAnsi="Cambria Math"/>
                        <w:szCs w:val="20"/>
                      </w:rPr>
                      <m:t>t</m:t>
                    </m:r>
                  </m:sub>
                </m:sSub>
              </m:oMath>
            </m:oMathPara>
          </w:p>
        </w:tc>
        <w:tc>
          <w:tcPr>
            <w:tcW w:w="7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C7586E">
            <w:pPr>
              <w:pStyle w:val="TableText"/>
              <w:spacing w:before="0" w:after="0" w:line="276" w:lineRule="auto"/>
              <w:rPr>
                <w:rFonts w:ascii="Times New Roman" w:hAnsi="Times New Roman"/>
                <w:sz w:val="20"/>
                <w:szCs w:val="20"/>
              </w:rPr>
            </w:pPr>
            <w:r w:rsidRPr="00C7586E">
              <w:rPr>
                <w:rFonts w:ascii="Times New Roman" w:hAnsi="Times New Roman"/>
                <w:sz w:val="20"/>
                <w:szCs w:val="20"/>
              </w:rPr>
              <w:t>A binary indicator of whether the time period occurs before (0) or after (1) implementation of TOU.</w:t>
            </w:r>
          </w:p>
        </w:tc>
      </w:tr>
      <w:tr w:rsidR="00F0094E" w:rsidRPr="000D3BA6" w:rsidTr="00C7586E">
        <w:trPr>
          <w:jc w:val="center"/>
        </w:trPr>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24252A" w:rsidP="00F0094E">
            <w:pPr>
              <w:pStyle w:val="BodyParagraph"/>
              <w:spacing w:after="0" w:line="276" w:lineRule="auto"/>
              <w:ind w:firstLine="360"/>
              <w:rPr>
                <w:rFonts w:ascii="Times New Roman" w:hAnsi="Times New Roman"/>
                <w:i/>
                <w:szCs w:val="20"/>
              </w:rPr>
            </w:pPr>
            <m:oMathPara>
              <m:oMath>
                <m:sSub>
                  <m:sSubPr>
                    <m:ctrlPr>
                      <w:rPr>
                        <w:rFonts w:ascii="Cambria Math" w:hAnsi="Cambria Math"/>
                        <w:i/>
                        <w:iCs/>
                        <w:szCs w:val="20"/>
                      </w:rPr>
                    </m:ctrlPr>
                  </m:sSubPr>
                  <m:e>
                    <m:r>
                      <w:rPr>
                        <w:rFonts w:ascii="Cambria Math" w:hAnsi="Cambria Math"/>
                        <w:szCs w:val="20"/>
                      </w:rPr>
                      <m:t>mean17</m:t>
                    </m:r>
                  </m:e>
                  <m:sub>
                    <m:r>
                      <w:rPr>
                        <w:rFonts w:ascii="Cambria Math" w:hAnsi="Cambria Math"/>
                        <w:szCs w:val="20"/>
                      </w:rPr>
                      <m:t>i,t</m:t>
                    </m:r>
                  </m:sub>
                </m:sSub>
              </m:oMath>
            </m:oMathPara>
          </w:p>
        </w:tc>
        <w:tc>
          <w:tcPr>
            <w:tcW w:w="7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C7586E">
            <w:pPr>
              <w:pStyle w:val="TableText"/>
              <w:spacing w:before="0" w:after="0" w:line="276" w:lineRule="auto"/>
              <w:rPr>
                <w:rFonts w:ascii="Times New Roman" w:hAnsi="Times New Roman"/>
                <w:sz w:val="20"/>
                <w:szCs w:val="20"/>
              </w:rPr>
            </w:pPr>
            <w:r w:rsidRPr="00C7586E">
              <w:rPr>
                <w:rFonts w:ascii="Times New Roman" w:hAnsi="Times New Roman"/>
                <w:sz w:val="20"/>
                <w:szCs w:val="20"/>
              </w:rPr>
              <w:t>Average temperature during first 17 hours of the day.</w:t>
            </w:r>
          </w:p>
        </w:tc>
      </w:tr>
      <w:tr w:rsidR="00F0094E" w:rsidRPr="000D3BA6" w:rsidTr="00C7586E">
        <w:trPr>
          <w:jc w:val="center"/>
        </w:trPr>
        <w:tc>
          <w:tcPr>
            <w:tcW w:w="16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24252A" w:rsidP="00F0094E">
            <w:pPr>
              <w:pStyle w:val="BodyParagraph"/>
              <w:spacing w:after="0" w:line="276" w:lineRule="auto"/>
              <w:ind w:firstLine="360"/>
              <w:rPr>
                <w:rFonts w:ascii="Times New Roman" w:hAnsi="Times New Roman"/>
                <w:i/>
                <w:szCs w:val="20"/>
              </w:rPr>
            </w:pPr>
            <m:oMathPara>
              <m:oMath>
                <m:sSub>
                  <m:sSubPr>
                    <m:ctrlPr>
                      <w:rPr>
                        <w:rFonts w:ascii="Cambria Math" w:hAnsi="Cambria Math"/>
                        <w:i/>
                        <w:iCs/>
                        <w:szCs w:val="20"/>
                      </w:rPr>
                    </m:ctrlPr>
                  </m:sSubPr>
                  <m:e>
                    <m:r>
                      <w:rPr>
                        <w:rFonts w:ascii="Cambria Math" w:hAnsi="Cambria Math"/>
                        <w:szCs w:val="20"/>
                      </w:rPr>
                      <m:t>month</m:t>
                    </m:r>
                  </m:e>
                  <m:sub>
                    <m:r>
                      <w:rPr>
                        <w:rFonts w:ascii="Cambria Math" w:hAnsi="Cambria Math"/>
                        <w:szCs w:val="20"/>
                      </w:rPr>
                      <m:t>t</m:t>
                    </m:r>
                  </m:sub>
                </m:sSub>
              </m:oMath>
            </m:oMathPara>
          </w:p>
        </w:tc>
        <w:tc>
          <w:tcPr>
            <w:tcW w:w="75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C7586E">
            <w:pPr>
              <w:pStyle w:val="TableText"/>
              <w:spacing w:before="0" w:after="0" w:line="276" w:lineRule="auto"/>
              <w:rPr>
                <w:rFonts w:ascii="Times New Roman" w:hAnsi="Times New Roman"/>
                <w:sz w:val="20"/>
                <w:szCs w:val="20"/>
              </w:rPr>
            </w:pPr>
            <w:r w:rsidRPr="00C7586E">
              <w:rPr>
                <w:rFonts w:ascii="Times New Roman" w:hAnsi="Times New Roman"/>
                <w:sz w:val="20"/>
                <w:szCs w:val="20"/>
              </w:rPr>
              <w:t>Set of dummy variables for each summer month.</w:t>
            </w:r>
          </w:p>
        </w:tc>
      </w:tr>
    </w:tbl>
    <w:p w:rsidR="00F0094E" w:rsidRDefault="00F0094E" w:rsidP="00F0094E">
      <w:pPr>
        <w:ind w:firstLine="360"/>
        <w:rPr>
          <w:sz w:val="20"/>
          <w:szCs w:val="20"/>
        </w:rPr>
      </w:pPr>
    </w:p>
    <w:p w:rsidR="00C7586E" w:rsidRDefault="00C7586E" w:rsidP="00F0094E">
      <w:pPr>
        <w:ind w:firstLine="360"/>
        <w:rPr>
          <w:sz w:val="20"/>
          <w:szCs w:val="20"/>
        </w:rPr>
      </w:pPr>
    </w:p>
    <w:p w:rsidR="00C7586E" w:rsidRPr="000D3BA6" w:rsidRDefault="00C7586E" w:rsidP="00F0094E">
      <w:pPr>
        <w:ind w:firstLine="360"/>
        <w:rPr>
          <w:sz w:val="20"/>
          <w:szCs w:val="20"/>
        </w:rPr>
      </w:pPr>
    </w:p>
    <w:p w:rsidR="00F0094E" w:rsidRPr="00416A58" w:rsidRDefault="00F0094E" w:rsidP="003562F8">
      <w:pPr>
        <w:pStyle w:val="Heading2"/>
        <w:numPr>
          <w:ilvl w:val="1"/>
          <w:numId w:val="40"/>
        </w:numPr>
        <w:spacing w:before="0" w:after="0" w:line="276" w:lineRule="auto"/>
        <w:ind w:left="0" w:firstLine="0"/>
        <w:rPr>
          <w:rFonts w:ascii="Times New Roman" w:hAnsi="Times New Roman" w:cs="Times New Roman"/>
          <w:i w:val="0"/>
          <w:color w:val="000000" w:themeColor="text1"/>
          <w:szCs w:val="24"/>
        </w:rPr>
      </w:pPr>
      <w:bookmarkStart w:id="259" w:name="_Toc415749032"/>
      <w:r w:rsidRPr="00416A58">
        <w:rPr>
          <w:rFonts w:ascii="Times New Roman" w:hAnsi="Times New Roman" w:cs="Times New Roman"/>
          <w:color w:val="000000" w:themeColor="text1"/>
          <w:szCs w:val="24"/>
        </w:rPr>
        <w:t xml:space="preserve">  </w:t>
      </w:r>
      <w:bookmarkStart w:id="260" w:name="_Toc447179844"/>
      <w:r w:rsidRPr="00416A58">
        <w:rPr>
          <w:rFonts w:ascii="Times New Roman" w:hAnsi="Times New Roman" w:cs="Times New Roman"/>
          <w:color w:val="000000" w:themeColor="text1"/>
          <w:szCs w:val="24"/>
        </w:rPr>
        <w:t xml:space="preserve">Small Commercial SPP Rates </w:t>
      </w:r>
      <w:r w:rsidR="008C46A8">
        <w:rPr>
          <w:rFonts w:ascii="Times New Roman" w:hAnsi="Times New Roman" w:cs="Times New Roman"/>
          <w:color w:val="000000" w:themeColor="text1"/>
          <w:szCs w:val="24"/>
        </w:rPr>
        <w:t>Ex-Post</w:t>
      </w:r>
      <w:r w:rsidRPr="00416A58">
        <w:rPr>
          <w:rFonts w:ascii="Times New Roman" w:hAnsi="Times New Roman" w:cs="Times New Roman"/>
          <w:color w:val="000000" w:themeColor="text1"/>
          <w:szCs w:val="24"/>
        </w:rPr>
        <w:t xml:space="preserve"> Load Impact Estimates</w:t>
      </w:r>
      <w:bookmarkEnd w:id="259"/>
      <w:bookmarkEnd w:id="260"/>
    </w:p>
    <w:p w:rsidR="00F0094E" w:rsidRPr="000D3BA6" w:rsidRDefault="00F0094E" w:rsidP="00F0094E">
      <w:pPr>
        <w:pStyle w:val="BodyParagraph"/>
        <w:spacing w:after="0" w:line="276" w:lineRule="auto"/>
        <w:ind w:firstLine="360"/>
        <w:rPr>
          <w:rFonts w:ascii="Times New Roman" w:hAnsi="Times New Roman"/>
          <w:noProof/>
          <w:sz w:val="24"/>
          <w:szCs w:val="24"/>
        </w:rPr>
      </w:pPr>
    </w:p>
    <w:p w:rsidR="00F0094E" w:rsidRDefault="00F0094E" w:rsidP="00F0094E">
      <w:pPr>
        <w:pStyle w:val="BodyParagraph"/>
        <w:spacing w:after="0" w:line="276" w:lineRule="auto"/>
        <w:ind w:firstLine="360"/>
        <w:rPr>
          <w:rFonts w:ascii="Times New Roman" w:hAnsi="Times New Roman"/>
          <w:noProof/>
          <w:color w:val="000000" w:themeColor="text1"/>
          <w:sz w:val="24"/>
          <w:szCs w:val="24"/>
        </w:rPr>
      </w:pPr>
      <w:r w:rsidRPr="00B777EF">
        <w:rPr>
          <w:rFonts w:ascii="Times New Roman" w:hAnsi="Times New Roman"/>
          <w:noProof/>
          <w:color w:val="000000" w:themeColor="text1"/>
          <w:sz w:val="24"/>
          <w:szCs w:val="24"/>
        </w:rPr>
        <w:t>This section presen</w:t>
      </w:r>
      <w:r w:rsidRPr="00B777EF">
        <w:rPr>
          <w:rFonts w:ascii="Times New Roman" w:hAnsi="Times New Roman"/>
          <w:color w:val="000000" w:themeColor="text1"/>
          <w:sz w:val="24"/>
          <w:szCs w:val="24"/>
        </w:rPr>
        <w:t xml:space="preserve">t the results of the </w:t>
      </w:r>
      <w:r w:rsidR="008C46A8" w:rsidRPr="00B777EF">
        <w:rPr>
          <w:rFonts w:ascii="Times New Roman" w:hAnsi="Times New Roman"/>
          <w:color w:val="000000" w:themeColor="text1"/>
          <w:sz w:val="24"/>
          <w:szCs w:val="24"/>
        </w:rPr>
        <w:t>ex-post</w:t>
      </w:r>
      <w:r w:rsidRPr="00B777EF">
        <w:rPr>
          <w:rFonts w:ascii="Times New Roman" w:hAnsi="Times New Roman"/>
          <w:color w:val="000000" w:themeColor="text1"/>
          <w:sz w:val="24"/>
          <w:szCs w:val="24"/>
        </w:rPr>
        <w:t xml:space="preserve"> impact evaluation for each SPP (TOU/TOU-CPP) rate along with their interpretations</w:t>
      </w:r>
      <w:r w:rsidRPr="00B777EF">
        <w:rPr>
          <w:rFonts w:ascii="Times New Roman" w:hAnsi="Times New Roman"/>
          <w:noProof/>
          <w:color w:val="000000" w:themeColor="text1"/>
          <w:sz w:val="24"/>
          <w:szCs w:val="24"/>
        </w:rPr>
        <w:t xml:space="preserve">. </w:t>
      </w:r>
    </w:p>
    <w:p w:rsidR="0015193D" w:rsidRPr="00B777EF" w:rsidRDefault="0015193D" w:rsidP="00F0094E">
      <w:pPr>
        <w:pStyle w:val="BodyParagraph"/>
        <w:spacing w:after="0" w:line="276" w:lineRule="auto"/>
        <w:ind w:firstLine="360"/>
        <w:rPr>
          <w:rFonts w:ascii="Times New Roman" w:hAnsi="Times New Roman"/>
          <w:noProof/>
          <w:color w:val="000000" w:themeColor="text1"/>
          <w:sz w:val="24"/>
          <w:szCs w:val="24"/>
        </w:rPr>
      </w:pPr>
    </w:p>
    <w:p w:rsidR="00F0094E" w:rsidRPr="00B777EF" w:rsidRDefault="00F0094E" w:rsidP="00F0094E">
      <w:pPr>
        <w:pStyle w:val="BodyParagraph"/>
        <w:spacing w:after="0" w:line="276" w:lineRule="auto"/>
        <w:ind w:firstLine="360"/>
        <w:rPr>
          <w:rFonts w:ascii="Times New Roman" w:hAnsi="Times New Roman"/>
          <w:noProof/>
          <w:color w:val="000000" w:themeColor="text1"/>
          <w:sz w:val="24"/>
          <w:szCs w:val="24"/>
        </w:rPr>
      </w:pPr>
    </w:p>
    <w:p w:rsidR="00F0094E" w:rsidRDefault="00F0094E" w:rsidP="003562F8">
      <w:pPr>
        <w:pStyle w:val="Heading3"/>
        <w:keepLines/>
        <w:numPr>
          <w:ilvl w:val="2"/>
          <w:numId w:val="40"/>
        </w:numPr>
        <w:spacing w:before="0" w:after="0" w:line="276" w:lineRule="auto"/>
        <w:ind w:left="0" w:firstLine="0"/>
        <w:rPr>
          <w:rFonts w:ascii="Times New Roman" w:hAnsi="Times New Roman" w:cs="Times New Roman"/>
          <w:color w:val="000000" w:themeColor="text1"/>
          <w:szCs w:val="24"/>
        </w:rPr>
      </w:pPr>
      <w:bookmarkStart w:id="261" w:name="_Toc445871621"/>
      <w:bookmarkStart w:id="262" w:name="_Toc447179845"/>
      <w:r w:rsidRPr="00B777EF">
        <w:rPr>
          <w:rFonts w:ascii="Times New Roman" w:hAnsi="Times New Roman" w:cs="Times New Roman"/>
          <w:color w:val="000000" w:themeColor="text1"/>
          <w:szCs w:val="24"/>
        </w:rPr>
        <w:t>TOU Results</w:t>
      </w:r>
      <w:bookmarkEnd w:id="262"/>
      <w:r w:rsidRPr="00B777EF">
        <w:rPr>
          <w:rFonts w:ascii="Times New Roman" w:hAnsi="Times New Roman" w:cs="Times New Roman"/>
          <w:color w:val="000000" w:themeColor="text1"/>
          <w:szCs w:val="24"/>
        </w:rPr>
        <w:t xml:space="preserve"> </w:t>
      </w:r>
      <w:bookmarkEnd w:id="261"/>
    </w:p>
    <w:p w:rsidR="0015193D" w:rsidRDefault="0015193D" w:rsidP="00D84FC4"/>
    <w:p w:rsidR="0015193D" w:rsidRPr="00D84FC4" w:rsidRDefault="0015193D" w:rsidP="00D84FC4">
      <w:r>
        <w:t>E</w:t>
      </w:r>
      <w:r w:rsidRPr="00206605">
        <w:t xml:space="preserve">stimated </w:t>
      </w:r>
      <w:r>
        <w:t xml:space="preserve">ex-post </w:t>
      </w:r>
      <w:r w:rsidRPr="00206605">
        <w:t>impacts that wer</w:t>
      </w:r>
      <w:r>
        <w:t>e not statistically significant for the TOU rate.</w:t>
      </w:r>
    </w:p>
    <w:p w:rsidR="00B777EF" w:rsidRDefault="00B777EF" w:rsidP="00F0094E">
      <w:pPr>
        <w:pStyle w:val="BodyParagraph"/>
        <w:spacing w:after="0" w:line="276" w:lineRule="auto"/>
        <w:ind w:firstLine="360"/>
        <w:jc w:val="center"/>
        <w:rPr>
          <w:rFonts w:ascii="Times New Roman" w:hAnsi="Times New Roman"/>
          <w:szCs w:val="20"/>
        </w:rPr>
      </w:pPr>
    </w:p>
    <w:p w:rsidR="00B777EF" w:rsidRDefault="00B777EF" w:rsidP="00F0094E">
      <w:pPr>
        <w:pStyle w:val="BodyParagraph"/>
        <w:spacing w:after="0" w:line="276" w:lineRule="auto"/>
        <w:ind w:firstLine="360"/>
        <w:jc w:val="center"/>
        <w:rPr>
          <w:rFonts w:ascii="Times New Roman" w:hAnsi="Times New Roman"/>
          <w:szCs w:val="20"/>
        </w:rPr>
      </w:pPr>
    </w:p>
    <w:p w:rsidR="0024252A" w:rsidRDefault="0024252A" w:rsidP="00F0094E">
      <w:pPr>
        <w:pStyle w:val="BodyParagraph"/>
        <w:spacing w:after="0" w:line="276" w:lineRule="auto"/>
        <w:ind w:firstLine="360"/>
        <w:jc w:val="center"/>
        <w:rPr>
          <w:rFonts w:ascii="Times New Roman" w:hAnsi="Times New Roman"/>
          <w:szCs w:val="20"/>
        </w:rPr>
      </w:pPr>
    </w:p>
    <w:p w:rsidR="00B777EF" w:rsidRPr="000D3BA6" w:rsidRDefault="00B777EF" w:rsidP="00F0094E">
      <w:pPr>
        <w:pStyle w:val="BodyParagraph"/>
        <w:spacing w:after="0" w:line="276" w:lineRule="auto"/>
        <w:ind w:firstLine="360"/>
        <w:jc w:val="center"/>
        <w:rPr>
          <w:rFonts w:ascii="Times New Roman" w:hAnsi="Times New Roman"/>
          <w:szCs w:val="20"/>
        </w:rPr>
      </w:pPr>
    </w:p>
    <w:p w:rsidR="00F0094E" w:rsidRPr="00E32D76" w:rsidRDefault="00F0094E" w:rsidP="003562F8">
      <w:pPr>
        <w:pStyle w:val="Heading2"/>
        <w:numPr>
          <w:ilvl w:val="1"/>
          <w:numId w:val="40"/>
        </w:numPr>
        <w:spacing w:before="0" w:after="0" w:line="276" w:lineRule="auto"/>
        <w:ind w:left="0" w:firstLine="0"/>
        <w:rPr>
          <w:rFonts w:ascii="Times New Roman" w:hAnsi="Times New Roman" w:cs="Times New Roman"/>
          <w:i w:val="0"/>
          <w:color w:val="000000" w:themeColor="text1"/>
          <w:szCs w:val="24"/>
        </w:rPr>
      </w:pPr>
      <w:r w:rsidRPr="00E32D76">
        <w:rPr>
          <w:rFonts w:ascii="Times New Roman" w:hAnsi="Times New Roman" w:cs="Times New Roman"/>
          <w:color w:val="000000" w:themeColor="text1"/>
          <w:szCs w:val="24"/>
        </w:rPr>
        <w:lastRenderedPageBreak/>
        <w:t xml:space="preserve">  </w:t>
      </w:r>
      <w:bookmarkStart w:id="263" w:name="_Toc447179846"/>
      <w:r w:rsidRPr="00E32D76">
        <w:rPr>
          <w:rFonts w:ascii="Times New Roman" w:hAnsi="Times New Roman" w:cs="Times New Roman"/>
          <w:color w:val="000000" w:themeColor="text1"/>
          <w:szCs w:val="24"/>
        </w:rPr>
        <w:t>TOU-CPP Results</w:t>
      </w:r>
      <w:bookmarkEnd w:id="263"/>
    </w:p>
    <w:p w:rsidR="00F0094E" w:rsidRPr="000D3BA6" w:rsidRDefault="00F0094E" w:rsidP="00F0094E">
      <w:pPr>
        <w:pStyle w:val="BodyParagraph"/>
        <w:spacing w:after="0" w:line="276" w:lineRule="auto"/>
        <w:ind w:firstLine="360"/>
        <w:rPr>
          <w:rFonts w:ascii="Times New Roman" w:hAnsi="Times New Roman"/>
          <w:sz w:val="24"/>
          <w:szCs w:val="24"/>
        </w:rPr>
      </w:pP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Due to the nature of the TOU-CPP rate, there are two separate analyses to be considered: one for non-event weekdays and a second for event days. The non-event day analysis is identical to the TOU analysis since TOU and TOU-CPP rates are equivalent on those days. For event days, several modifications to the analysis must be made. The simplest of these is that the post-treatment days of interest for the TOU-CPP rate are each of the four CPP event days called during the summer of 2015 (August 28</w:t>
      </w:r>
      <w:r w:rsidRPr="00B777EF">
        <w:rPr>
          <w:rFonts w:ascii="Times New Roman" w:hAnsi="Times New Roman"/>
          <w:color w:val="000000" w:themeColor="text1"/>
          <w:sz w:val="24"/>
          <w:szCs w:val="24"/>
          <w:vertAlign w:val="superscript"/>
        </w:rPr>
        <w:t>th</w:t>
      </w:r>
      <w:r w:rsidRPr="00B777EF">
        <w:rPr>
          <w:rFonts w:ascii="Times New Roman" w:hAnsi="Times New Roman"/>
          <w:color w:val="000000" w:themeColor="text1"/>
          <w:sz w:val="24"/>
          <w:szCs w:val="24"/>
        </w:rPr>
        <w:t>, September 9</w:t>
      </w:r>
      <w:r w:rsidRPr="00B777EF">
        <w:rPr>
          <w:rFonts w:ascii="Times New Roman" w:hAnsi="Times New Roman"/>
          <w:color w:val="000000" w:themeColor="text1"/>
          <w:sz w:val="24"/>
          <w:szCs w:val="24"/>
          <w:vertAlign w:val="superscript"/>
        </w:rPr>
        <w:t>th</w:t>
      </w:r>
      <w:r w:rsidRPr="00B777EF">
        <w:rPr>
          <w:rFonts w:ascii="Times New Roman" w:hAnsi="Times New Roman"/>
          <w:color w:val="000000" w:themeColor="text1"/>
          <w:sz w:val="24"/>
          <w:szCs w:val="24"/>
        </w:rPr>
        <w:t>, 10</w:t>
      </w:r>
      <w:r w:rsidRPr="00B777EF">
        <w:rPr>
          <w:rFonts w:ascii="Times New Roman" w:hAnsi="Times New Roman"/>
          <w:color w:val="000000" w:themeColor="text1"/>
          <w:sz w:val="24"/>
          <w:szCs w:val="24"/>
          <w:vertAlign w:val="superscript"/>
        </w:rPr>
        <w:t>th</w:t>
      </w:r>
      <w:r w:rsidRPr="00B777EF">
        <w:rPr>
          <w:rFonts w:ascii="Times New Roman" w:hAnsi="Times New Roman"/>
          <w:color w:val="000000" w:themeColor="text1"/>
          <w:sz w:val="24"/>
          <w:szCs w:val="24"/>
        </w:rPr>
        <w:t xml:space="preserve"> and 11th). Because CPP events are typically called on days that are particularly hot, it is also important to identify “event-like” days in the pre-treatment period and remove all other days in the pre-treatment period from the analysis dataset. These proxy days were chosen from the pre-treatment period weekdays that had both high system load and high average temperature. </w:t>
      </w: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Results for the TOU-CPP customers on CPP days was significant for the event hours on average, however individual days failed to meet significance criteria. For the non-event days, results were quite similar to those of the TOU customer population, with few significant results which were likely due to random chance. </w:t>
      </w: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p w:rsidR="00F0094E" w:rsidRPr="00B777EF" w:rsidRDefault="00F0094E" w:rsidP="003562F8">
      <w:pPr>
        <w:pStyle w:val="Heading3"/>
        <w:keepLines/>
        <w:numPr>
          <w:ilvl w:val="2"/>
          <w:numId w:val="40"/>
        </w:numPr>
        <w:spacing w:before="0" w:after="0" w:line="276" w:lineRule="auto"/>
        <w:ind w:left="0" w:firstLine="0"/>
        <w:rPr>
          <w:rFonts w:ascii="Times New Roman" w:hAnsi="Times New Roman" w:cs="Times New Roman"/>
          <w:color w:val="000000" w:themeColor="text1"/>
          <w:szCs w:val="24"/>
        </w:rPr>
      </w:pPr>
      <w:bookmarkStart w:id="264" w:name="_Toc445871625"/>
      <w:bookmarkStart w:id="265" w:name="_Toc447179847"/>
      <w:r w:rsidRPr="00B777EF">
        <w:rPr>
          <w:rFonts w:ascii="Times New Roman" w:hAnsi="Times New Roman" w:cs="Times New Roman"/>
          <w:color w:val="000000" w:themeColor="text1"/>
          <w:szCs w:val="24"/>
        </w:rPr>
        <w:t>Overall Event Day Impacts</w:t>
      </w:r>
      <w:bookmarkEnd w:id="264"/>
      <w:bookmarkEnd w:id="265"/>
      <w:r w:rsidRPr="00B777EF">
        <w:rPr>
          <w:rFonts w:ascii="Times New Roman" w:hAnsi="Times New Roman" w:cs="Times New Roman"/>
          <w:color w:val="000000" w:themeColor="text1"/>
          <w:szCs w:val="24"/>
        </w:rPr>
        <w:t xml:space="preserve"> </w:t>
      </w: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Events were called on August 28</w:t>
      </w:r>
      <w:r w:rsidRPr="00B777EF">
        <w:rPr>
          <w:rFonts w:ascii="Times New Roman" w:hAnsi="Times New Roman"/>
          <w:color w:val="000000" w:themeColor="text1"/>
          <w:sz w:val="24"/>
          <w:szCs w:val="24"/>
          <w:vertAlign w:val="superscript"/>
        </w:rPr>
        <w:t>th</w:t>
      </w:r>
      <w:r w:rsidRPr="00B777EF">
        <w:rPr>
          <w:rFonts w:ascii="Times New Roman" w:hAnsi="Times New Roman"/>
          <w:color w:val="000000" w:themeColor="text1"/>
          <w:sz w:val="24"/>
          <w:szCs w:val="24"/>
        </w:rPr>
        <w:t>, September 9</w:t>
      </w:r>
      <w:r w:rsidRPr="00B777EF">
        <w:rPr>
          <w:rFonts w:ascii="Times New Roman" w:hAnsi="Times New Roman"/>
          <w:color w:val="000000" w:themeColor="text1"/>
          <w:sz w:val="24"/>
          <w:szCs w:val="24"/>
          <w:vertAlign w:val="superscript"/>
        </w:rPr>
        <w:t>th</w:t>
      </w:r>
      <w:r w:rsidRPr="00B777EF">
        <w:rPr>
          <w:rFonts w:ascii="Times New Roman" w:hAnsi="Times New Roman"/>
          <w:color w:val="000000" w:themeColor="text1"/>
          <w:sz w:val="24"/>
          <w:szCs w:val="24"/>
        </w:rPr>
        <w:t>, 10</w:t>
      </w:r>
      <w:r w:rsidRPr="00B777EF">
        <w:rPr>
          <w:rFonts w:ascii="Times New Roman" w:hAnsi="Times New Roman"/>
          <w:color w:val="000000" w:themeColor="text1"/>
          <w:sz w:val="24"/>
          <w:szCs w:val="24"/>
          <w:vertAlign w:val="superscript"/>
        </w:rPr>
        <w:t>th</w:t>
      </w:r>
      <w:r w:rsidRPr="00B777EF">
        <w:rPr>
          <w:rFonts w:ascii="Times New Roman" w:hAnsi="Times New Roman"/>
          <w:color w:val="000000" w:themeColor="text1"/>
          <w:sz w:val="24"/>
          <w:szCs w:val="24"/>
        </w:rPr>
        <w:t xml:space="preserve"> and 11</w:t>
      </w:r>
      <w:r w:rsidRPr="00B777EF">
        <w:rPr>
          <w:rFonts w:ascii="Times New Roman" w:hAnsi="Times New Roman"/>
          <w:color w:val="000000" w:themeColor="text1"/>
          <w:sz w:val="24"/>
          <w:szCs w:val="24"/>
          <w:vertAlign w:val="superscript"/>
        </w:rPr>
        <w:t>th</w:t>
      </w:r>
      <w:r w:rsidRPr="00B777EF">
        <w:rPr>
          <w:rFonts w:ascii="Times New Roman" w:hAnsi="Times New Roman"/>
          <w:color w:val="000000" w:themeColor="text1"/>
          <w:sz w:val="24"/>
          <w:szCs w:val="24"/>
        </w:rPr>
        <w:t xml:space="preserve"> from 11am to 6pm. During this time, treatment customers reduced their use by 7.2% or 0.2MW across the 1468 accounts that were enrolled on the CPP rate during those events. The remainder of the event day failed to deliver significant, or even nonzero, impacts.</w:t>
      </w:r>
    </w:p>
    <w:p w:rsidR="00F0094E" w:rsidRPr="000D3BA6" w:rsidRDefault="00F0094E" w:rsidP="00F0094E">
      <w:pPr>
        <w:pStyle w:val="BodyParagraph"/>
        <w:spacing w:after="0" w:line="276" w:lineRule="auto"/>
        <w:ind w:firstLine="360"/>
        <w:rPr>
          <w:rFonts w:ascii="Times New Roman" w:hAnsi="Times New Roman"/>
          <w:sz w:val="24"/>
          <w:szCs w:val="24"/>
        </w:rPr>
      </w:pPr>
    </w:p>
    <w:p w:rsidR="00F0094E" w:rsidRPr="00B777EF" w:rsidRDefault="00F0094E" w:rsidP="00F0094E">
      <w:pPr>
        <w:pStyle w:val="BodyParagraph"/>
        <w:spacing w:after="0" w:line="276" w:lineRule="auto"/>
        <w:rPr>
          <w:color w:val="000000" w:themeColor="text1"/>
        </w:rPr>
      </w:pPr>
    </w:p>
    <w:p w:rsidR="00F0094E" w:rsidRPr="00B777EF" w:rsidRDefault="00F0094E" w:rsidP="003562F8">
      <w:pPr>
        <w:pStyle w:val="Heading2"/>
        <w:numPr>
          <w:ilvl w:val="1"/>
          <w:numId w:val="40"/>
        </w:numPr>
        <w:spacing w:before="0" w:after="0" w:line="276" w:lineRule="auto"/>
        <w:ind w:left="450" w:hanging="450"/>
        <w:rPr>
          <w:rFonts w:ascii="Times New Roman" w:hAnsi="Times New Roman" w:cs="Times New Roman"/>
          <w:i w:val="0"/>
          <w:color w:val="000000" w:themeColor="text1"/>
          <w:szCs w:val="24"/>
        </w:rPr>
      </w:pPr>
      <w:bookmarkStart w:id="266" w:name="_Toc447179848"/>
      <w:r w:rsidRPr="00B777EF">
        <w:rPr>
          <w:rFonts w:ascii="Times New Roman" w:hAnsi="Times New Roman" w:cs="Times New Roman"/>
          <w:color w:val="000000" w:themeColor="text1"/>
          <w:szCs w:val="24"/>
        </w:rPr>
        <w:t xml:space="preserve">Small Commercial SPP Ex-Ante </w:t>
      </w:r>
      <w:r w:rsidR="001F1158" w:rsidRPr="00B777EF">
        <w:rPr>
          <w:rFonts w:ascii="Times New Roman" w:hAnsi="Times New Roman" w:cs="Times New Roman"/>
          <w:color w:val="000000" w:themeColor="text1"/>
          <w:szCs w:val="24"/>
        </w:rPr>
        <w:t xml:space="preserve">Evaluation </w:t>
      </w:r>
      <w:r w:rsidRPr="00B777EF">
        <w:rPr>
          <w:rFonts w:ascii="Times New Roman" w:hAnsi="Times New Roman" w:cs="Times New Roman"/>
          <w:color w:val="000000" w:themeColor="text1"/>
          <w:szCs w:val="24"/>
        </w:rPr>
        <w:t>Methodology</w:t>
      </w:r>
      <w:bookmarkEnd w:id="266"/>
    </w:p>
    <w:p w:rsidR="00F0094E" w:rsidRPr="00B777EF" w:rsidRDefault="00F0094E" w:rsidP="00F0094E">
      <w:pPr>
        <w:pStyle w:val="BodyParagraph"/>
        <w:spacing w:after="0" w:line="276" w:lineRule="auto"/>
        <w:rPr>
          <w:color w:val="000000" w:themeColor="text1"/>
        </w:rPr>
      </w:pP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This section provides an overview of small commercial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estimates. Results for both SDG&amp;E and CAISO 1-in-2 and 1-in-10 weather forecasts are provided by industry. The enrollment forecast and reference loads are explained in the subsequent sections. </w:t>
      </w:r>
    </w:p>
    <w:p w:rsidR="00F0094E" w:rsidRPr="00B777EF" w:rsidRDefault="00F0094E" w:rsidP="00F0094E">
      <w:pPr>
        <w:pStyle w:val="BodyParagraph"/>
        <w:spacing w:after="0" w:line="276" w:lineRule="auto"/>
        <w:rPr>
          <w:color w:val="000000" w:themeColor="text1"/>
        </w:rPr>
      </w:pPr>
    </w:p>
    <w:p w:rsidR="00F0094E" w:rsidRPr="00B777EF" w:rsidRDefault="00F0094E" w:rsidP="003562F8">
      <w:pPr>
        <w:pStyle w:val="Heading3"/>
        <w:keepLines/>
        <w:numPr>
          <w:ilvl w:val="2"/>
          <w:numId w:val="40"/>
        </w:numPr>
        <w:spacing w:before="0" w:after="0" w:line="276" w:lineRule="auto"/>
        <w:ind w:left="0" w:firstLine="0"/>
        <w:rPr>
          <w:rFonts w:ascii="Times New Roman" w:hAnsi="Times New Roman" w:cs="Times New Roman"/>
          <w:color w:val="000000" w:themeColor="text1"/>
          <w:szCs w:val="24"/>
        </w:rPr>
      </w:pPr>
      <w:bookmarkStart w:id="267" w:name="_Toc447179849"/>
      <w:r w:rsidRPr="00B777EF">
        <w:rPr>
          <w:rFonts w:ascii="Times New Roman" w:hAnsi="Times New Roman" w:cs="Times New Roman"/>
          <w:color w:val="000000" w:themeColor="text1"/>
          <w:szCs w:val="24"/>
        </w:rPr>
        <w:t>Enrollment Forecast</w:t>
      </w:r>
      <w:bookmarkEnd w:id="267"/>
    </w:p>
    <w:p w:rsidR="00F0094E" w:rsidRPr="00B777EF" w:rsidRDefault="00F0094E" w:rsidP="00F0094E">
      <w:pPr>
        <w:pStyle w:val="BodyParagraph"/>
        <w:spacing w:after="0" w:line="276" w:lineRule="auto"/>
        <w:rPr>
          <w:color w:val="000000" w:themeColor="text1"/>
        </w:rPr>
      </w:pPr>
    </w:p>
    <w:p w:rsidR="00260B68" w:rsidRPr="00B777EF" w:rsidRDefault="00F0094E" w:rsidP="00260B68">
      <w:pPr>
        <w:pStyle w:val="BodyParagraph"/>
        <w:spacing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SDG&amp;E provided an enrollment forecast for monthly enrollment in both TOU and TOU CPP rates starting in January of 2016. Customers began to be defaulted on to the TOU CPP rate starting in November of 2015, with the option of opting out and on to the TOU-only rate. </w:t>
      </w:r>
    </w:p>
    <w:p w:rsidR="00F0094E" w:rsidRPr="00B777EF" w:rsidRDefault="00260B68" w:rsidP="00F0094E">
      <w:pPr>
        <w:pStyle w:val="BodyParagraph"/>
        <w:spacing w:after="0" w:line="276" w:lineRule="auto"/>
        <w:ind w:firstLine="360"/>
        <w:rPr>
          <w:rFonts w:ascii="Times New Roman" w:hAnsi="Times New Roman"/>
          <w:color w:val="000000" w:themeColor="text1"/>
          <w:sz w:val="24"/>
          <w:szCs w:val="24"/>
        </w:rPr>
      </w:pPr>
      <w:r w:rsidRPr="00260B68">
        <w:rPr>
          <w:rFonts w:ascii="Times New Roman" w:hAnsi="Times New Roman"/>
          <w:color w:val="000000" w:themeColor="text1"/>
          <w:sz w:val="22"/>
        </w:rPr>
        <w:t>Table 9-</w:t>
      </w:r>
      <w:r w:rsidR="0024252A">
        <w:rPr>
          <w:rFonts w:ascii="Times New Roman" w:hAnsi="Times New Roman"/>
          <w:color w:val="000000" w:themeColor="text1"/>
          <w:sz w:val="22"/>
        </w:rPr>
        <w:t>2</w:t>
      </w:r>
      <w:r>
        <w:rPr>
          <w:rFonts w:ascii="Times New Roman" w:hAnsi="Times New Roman"/>
          <w:color w:val="000000" w:themeColor="text1"/>
          <w:sz w:val="24"/>
          <w:szCs w:val="24"/>
        </w:rPr>
        <w:t xml:space="preserve"> </w:t>
      </w:r>
      <w:r w:rsidR="00F0094E" w:rsidRPr="00B777EF">
        <w:rPr>
          <w:rFonts w:ascii="Times New Roman" w:hAnsi="Times New Roman"/>
          <w:color w:val="000000" w:themeColor="text1"/>
          <w:sz w:val="24"/>
          <w:szCs w:val="24"/>
        </w:rPr>
        <w:t>shows the overall growth of small commercial and agricultural customers over time, combined with a decreasing TOU-CPP yield which leads to a growing number of customers on the TOU-only rate over time.</w:t>
      </w:r>
    </w:p>
    <w:p w:rsidR="00F0094E" w:rsidRPr="00F0094E" w:rsidRDefault="00F0094E" w:rsidP="006114B7">
      <w:pPr>
        <w:pStyle w:val="Caption"/>
        <w:keepNext/>
        <w:spacing w:after="120"/>
        <w:jc w:val="center"/>
        <w:rPr>
          <w:sz w:val="22"/>
          <w:szCs w:val="22"/>
        </w:rPr>
      </w:pPr>
      <w:bookmarkStart w:id="268" w:name="_Ref446058487"/>
      <w:r w:rsidRPr="00F0094E">
        <w:rPr>
          <w:sz w:val="22"/>
          <w:szCs w:val="22"/>
        </w:rPr>
        <w:lastRenderedPageBreak/>
        <w:t>Table 9-</w:t>
      </w:r>
      <w:r w:rsidR="0024252A">
        <w:rPr>
          <w:sz w:val="22"/>
          <w:szCs w:val="22"/>
        </w:rPr>
        <w:t>2</w:t>
      </w:r>
      <w:r w:rsidRPr="00F0094E">
        <w:rPr>
          <w:sz w:val="22"/>
          <w:szCs w:val="22"/>
        </w:rPr>
        <w:t xml:space="preserve">: Enrollment Estimates by Rate Type for August of </w:t>
      </w:r>
      <w:r w:rsidR="008C46A8">
        <w:rPr>
          <w:sz w:val="22"/>
          <w:szCs w:val="22"/>
        </w:rPr>
        <w:t>Ex-Ante</w:t>
      </w:r>
      <w:r w:rsidRPr="00F0094E">
        <w:rPr>
          <w:sz w:val="22"/>
          <w:szCs w:val="22"/>
        </w:rPr>
        <w:t xml:space="preserve"> Years</w:t>
      </w:r>
      <w:bookmarkEnd w:id="268"/>
    </w:p>
    <w:tbl>
      <w:tblPr>
        <w:tblStyle w:val="TableGrid"/>
        <w:tblW w:w="0" w:type="auto"/>
        <w:jc w:val="center"/>
        <w:tblLook w:val="04A0" w:firstRow="1" w:lastRow="0" w:firstColumn="1" w:lastColumn="0" w:noHBand="0" w:noVBand="1"/>
      </w:tblPr>
      <w:tblGrid>
        <w:gridCol w:w="1008"/>
        <w:gridCol w:w="1326"/>
        <w:gridCol w:w="1440"/>
        <w:gridCol w:w="1386"/>
      </w:tblGrid>
      <w:tr w:rsidR="00F0094E" w:rsidRPr="000D3BA6" w:rsidTr="00F0094E">
        <w:trPr>
          <w:trHeight w:val="647"/>
          <w:jc w:val="center"/>
        </w:trPr>
        <w:tc>
          <w:tcPr>
            <w:tcW w:w="1008" w:type="dxa"/>
            <w:shd w:val="clear" w:color="auto" w:fill="1F497D" w:themeFill="text2"/>
            <w:vAlign w:val="center"/>
          </w:tcPr>
          <w:p w:rsidR="00F0094E" w:rsidRPr="000D3BA6" w:rsidRDefault="00F0094E" w:rsidP="00FE5CBB">
            <w:pPr>
              <w:spacing w:line="276" w:lineRule="auto"/>
              <w:jc w:val="center"/>
              <w:rPr>
                <w:color w:val="FFFFFF" w:themeColor="background1"/>
                <w:sz w:val="20"/>
                <w:szCs w:val="20"/>
              </w:rPr>
            </w:pPr>
            <w:r w:rsidRPr="000D3BA6">
              <w:rPr>
                <w:b/>
                <w:bCs/>
                <w:color w:val="FFFFFF" w:themeColor="background1"/>
                <w:sz w:val="20"/>
                <w:szCs w:val="20"/>
              </w:rPr>
              <w:t>Year</w:t>
            </w:r>
          </w:p>
        </w:tc>
        <w:tc>
          <w:tcPr>
            <w:tcW w:w="1326" w:type="dxa"/>
            <w:shd w:val="clear" w:color="auto" w:fill="1F497D" w:themeFill="text2"/>
            <w:vAlign w:val="center"/>
          </w:tcPr>
          <w:p w:rsidR="00F0094E" w:rsidRPr="000D3BA6" w:rsidRDefault="00F0094E" w:rsidP="00FE5CBB">
            <w:pPr>
              <w:spacing w:line="276" w:lineRule="auto"/>
              <w:jc w:val="center"/>
              <w:rPr>
                <w:b/>
                <w:bCs/>
                <w:color w:val="FFFFFF" w:themeColor="background1"/>
                <w:sz w:val="20"/>
                <w:szCs w:val="20"/>
              </w:rPr>
            </w:pPr>
            <w:r w:rsidRPr="000D3BA6">
              <w:rPr>
                <w:b/>
                <w:bCs/>
                <w:color w:val="FFFFFF" w:themeColor="background1"/>
                <w:sz w:val="20"/>
                <w:szCs w:val="20"/>
              </w:rPr>
              <w:t>TOU-CPP</w:t>
            </w:r>
          </w:p>
        </w:tc>
        <w:tc>
          <w:tcPr>
            <w:tcW w:w="1440" w:type="dxa"/>
            <w:shd w:val="clear" w:color="auto" w:fill="1F497D" w:themeFill="text2"/>
            <w:vAlign w:val="center"/>
          </w:tcPr>
          <w:p w:rsidR="00F0094E" w:rsidRPr="000D3BA6" w:rsidRDefault="00F0094E" w:rsidP="00FE5CBB">
            <w:pPr>
              <w:spacing w:line="276" w:lineRule="auto"/>
              <w:ind w:firstLine="360"/>
              <w:rPr>
                <w:b/>
                <w:bCs/>
                <w:color w:val="FFFFFF" w:themeColor="background1"/>
                <w:sz w:val="20"/>
                <w:szCs w:val="20"/>
              </w:rPr>
            </w:pPr>
            <w:r w:rsidRPr="000D3BA6">
              <w:rPr>
                <w:b/>
                <w:bCs/>
                <w:color w:val="FFFFFF" w:themeColor="background1"/>
                <w:sz w:val="20"/>
                <w:szCs w:val="20"/>
              </w:rPr>
              <w:t>TOU</w:t>
            </w:r>
          </w:p>
        </w:tc>
        <w:tc>
          <w:tcPr>
            <w:tcW w:w="1386" w:type="dxa"/>
            <w:shd w:val="clear" w:color="auto" w:fill="1F497D" w:themeFill="text2"/>
            <w:vAlign w:val="center"/>
          </w:tcPr>
          <w:p w:rsidR="00F0094E" w:rsidRPr="000D3BA6" w:rsidRDefault="00F0094E" w:rsidP="00FE5CBB">
            <w:pPr>
              <w:spacing w:line="276" w:lineRule="auto"/>
              <w:ind w:firstLine="360"/>
              <w:rPr>
                <w:b/>
                <w:bCs/>
                <w:color w:val="FFFFFF" w:themeColor="background1"/>
                <w:sz w:val="20"/>
                <w:szCs w:val="20"/>
              </w:rPr>
            </w:pPr>
            <w:r w:rsidRPr="000D3BA6">
              <w:rPr>
                <w:b/>
                <w:bCs/>
                <w:color w:val="FFFFFF" w:themeColor="background1"/>
                <w:sz w:val="20"/>
                <w:szCs w:val="20"/>
              </w:rPr>
              <w:t>All</w:t>
            </w:r>
          </w:p>
        </w:tc>
      </w:tr>
      <w:tr w:rsidR="00F0094E" w:rsidRPr="000D3BA6" w:rsidTr="00F0094E">
        <w:trPr>
          <w:jc w:val="center"/>
        </w:trPr>
        <w:tc>
          <w:tcPr>
            <w:tcW w:w="1008"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2016</w:t>
            </w:r>
          </w:p>
        </w:tc>
        <w:tc>
          <w:tcPr>
            <w:tcW w:w="132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106,274</w:t>
            </w:r>
          </w:p>
        </w:tc>
        <w:tc>
          <w:tcPr>
            <w:tcW w:w="1440"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9,844</w:t>
            </w:r>
          </w:p>
        </w:tc>
        <w:tc>
          <w:tcPr>
            <w:tcW w:w="138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116,118</w:t>
            </w:r>
          </w:p>
        </w:tc>
      </w:tr>
      <w:tr w:rsidR="00F0094E" w:rsidRPr="000D3BA6" w:rsidTr="00F0094E">
        <w:trPr>
          <w:jc w:val="center"/>
        </w:trPr>
        <w:tc>
          <w:tcPr>
            <w:tcW w:w="1008"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2017</w:t>
            </w:r>
          </w:p>
        </w:tc>
        <w:tc>
          <w:tcPr>
            <w:tcW w:w="132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95,105</w:t>
            </w:r>
          </w:p>
        </w:tc>
        <w:tc>
          <w:tcPr>
            <w:tcW w:w="1440"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21,284</w:t>
            </w:r>
          </w:p>
        </w:tc>
        <w:tc>
          <w:tcPr>
            <w:tcW w:w="138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116,389</w:t>
            </w:r>
          </w:p>
        </w:tc>
      </w:tr>
      <w:tr w:rsidR="00F0094E" w:rsidRPr="000D3BA6" w:rsidTr="00F0094E">
        <w:trPr>
          <w:jc w:val="center"/>
        </w:trPr>
        <w:tc>
          <w:tcPr>
            <w:tcW w:w="1008"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2018</w:t>
            </w:r>
          </w:p>
        </w:tc>
        <w:tc>
          <w:tcPr>
            <w:tcW w:w="132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89,520</w:t>
            </w:r>
          </w:p>
        </w:tc>
        <w:tc>
          <w:tcPr>
            <w:tcW w:w="1440"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26,979</w:t>
            </w:r>
          </w:p>
        </w:tc>
        <w:tc>
          <w:tcPr>
            <w:tcW w:w="138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116,499</w:t>
            </w:r>
          </w:p>
        </w:tc>
      </w:tr>
      <w:tr w:rsidR="00F0094E" w:rsidRPr="000D3BA6" w:rsidTr="00F0094E">
        <w:trPr>
          <w:jc w:val="center"/>
        </w:trPr>
        <w:tc>
          <w:tcPr>
            <w:tcW w:w="1008"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2019</w:t>
            </w:r>
          </w:p>
        </w:tc>
        <w:tc>
          <w:tcPr>
            <w:tcW w:w="132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89,520</w:t>
            </w:r>
          </w:p>
        </w:tc>
        <w:tc>
          <w:tcPr>
            <w:tcW w:w="1440"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27,106</w:t>
            </w:r>
          </w:p>
        </w:tc>
        <w:tc>
          <w:tcPr>
            <w:tcW w:w="138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116,627</w:t>
            </w:r>
          </w:p>
        </w:tc>
      </w:tr>
      <w:tr w:rsidR="00F0094E" w:rsidRPr="000D3BA6" w:rsidTr="00F0094E">
        <w:trPr>
          <w:jc w:val="center"/>
        </w:trPr>
        <w:tc>
          <w:tcPr>
            <w:tcW w:w="1008"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2020</w:t>
            </w:r>
          </w:p>
        </w:tc>
        <w:tc>
          <w:tcPr>
            <w:tcW w:w="132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89,520</w:t>
            </w:r>
          </w:p>
        </w:tc>
        <w:tc>
          <w:tcPr>
            <w:tcW w:w="1440"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27,215</w:t>
            </w:r>
          </w:p>
        </w:tc>
        <w:tc>
          <w:tcPr>
            <w:tcW w:w="138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116,735</w:t>
            </w:r>
          </w:p>
        </w:tc>
      </w:tr>
      <w:tr w:rsidR="00F0094E" w:rsidRPr="000D3BA6" w:rsidTr="00F0094E">
        <w:trPr>
          <w:jc w:val="center"/>
        </w:trPr>
        <w:tc>
          <w:tcPr>
            <w:tcW w:w="1008"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2021</w:t>
            </w:r>
          </w:p>
        </w:tc>
        <w:tc>
          <w:tcPr>
            <w:tcW w:w="132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89,520</w:t>
            </w:r>
          </w:p>
        </w:tc>
        <w:tc>
          <w:tcPr>
            <w:tcW w:w="1440"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27,318</w:t>
            </w:r>
          </w:p>
        </w:tc>
        <w:tc>
          <w:tcPr>
            <w:tcW w:w="138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116,839</w:t>
            </w:r>
          </w:p>
        </w:tc>
      </w:tr>
      <w:tr w:rsidR="00F0094E" w:rsidRPr="000D3BA6" w:rsidTr="00F0094E">
        <w:trPr>
          <w:jc w:val="center"/>
        </w:trPr>
        <w:tc>
          <w:tcPr>
            <w:tcW w:w="1008"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2022</w:t>
            </w:r>
          </w:p>
        </w:tc>
        <w:tc>
          <w:tcPr>
            <w:tcW w:w="132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89,520</w:t>
            </w:r>
          </w:p>
        </w:tc>
        <w:tc>
          <w:tcPr>
            <w:tcW w:w="1440"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27,318</w:t>
            </w:r>
          </w:p>
        </w:tc>
        <w:tc>
          <w:tcPr>
            <w:tcW w:w="138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116,839</w:t>
            </w:r>
          </w:p>
        </w:tc>
      </w:tr>
      <w:tr w:rsidR="00F0094E" w:rsidRPr="000D3BA6" w:rsidTr="00F0094E">
        <w:trPr>
          <w:jc w:val="center"/>
        </w:trPr>
        <w:tc>
          <w:tcPr>
            <w:tcW w:w="1008"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2023</w:t>
            </w:r>
          </w:p>
        </w:tc>
        <w:tc>
          <w:tcPr>
            <w:tcW w:w="132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89,520</w:t>
            </w:r>
          </w:p>
        </w:tc>
        <w:tc>
          <w:tcPr>
            <w:tcW w:w="1440"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27,318</w:t>
            </w:r>
          </w:p>
        </w:tc>
        <w:tc>
          <w:tcPr>
            <w:tcW w:w="138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116,839</w:t>
            </w:r>
          </w:p>
        </w:tc>
      </w:tr>
      <w:tr w:rsidR="00F0094E" w:rsidRPr="000D3BA6" w:rsidTr="00F0094E">
        <w:trPr>
          <w:jc w:val="center"/>
        </w:trPr>
        <w:tc>
          <w:tcPr>
            <w:tcW w:w="1008"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2024</w:t>
            </w:r>
          </w:p>
        </w:tc>
        <w:tc>
          <w:tcPr>
            <w:tcW w:w="132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89,520</w:t>
            </w:r>
          </w:p>
        </w:tc>
        <w:tc>
          <w:tcPr>
            <w:tcW w:w="1440"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27,318</w:t>
            </w:r>
          </w:p>
        </w:tc>
        <w:tc>
          <w:tcPr>
            <w:tcW w:w="138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116,839</w:t>
            </w:r>
          </w:p>
        </w:tc>
      </w:tr>
      <w:tr w:rsidR="00F0094E" w:rsidRPr="000D3BA6" w:rsidTr="00F0094E">
        <w:trPr>
          <w:jc w:val="center"/>
        </w:trPr>
        <w:tc>
          <w:tcPr>
            <w:tcW w:w="1008"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2025</w:t>
            </w:r>
          </w:p>
        </w:tc>
        <w:tc>
          <w:tcPr>
            <w:tcW w:w="132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89,520</w:t>
            </w:r>
          </w:p>
        </w:tc>
        <w:tc>
          <w:tcPr>
            <w:tcW w:w="1440"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27,318</w:t>
            </w:r>
          </w:p>
        </w:tc>
        <w:tc>
          <w:tcPr>
            <w:tcW w:w="138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116,839</w:t>
            </w:r>
          </w:p>
        </w:tc>
      </w:tr>
      <w:tr w:rsidR="00F0094E" w:rsidRPr="000D3BA6" w:rsidTr="00F0094E">
        <w:trPr>
          <w:jc w:val="center"/>
        </w:trPr>
        <w:tc>
          <w:tcPr>
            <w:tcW w:w="1008"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2026</w:t>
            </w:r>
          </w:p>
        </w:tc>
        <w:tc>
          <w:tcPr>
            <w:tcW w:w="132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89,520</w:t>
            </w:r>
          </w:p>
        </w:tc>
        <w:tc>
          <w:tcPr>
            <w:tcW w:w="1440"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27,318</w:t>
            </w:r>
          </w:p>
        </w:tc>
        <w:tc>
          <w:tcPr>
            <w:tcW w:w="1386" w:type="dxa"/>
            <w:vAlign w:val="bottom"/>
          </w:tcPr>
          <w:p w:rsidR="00F0094E" w:rsidRPr="000D3BA6" w:rsidRDefault="00F0094E" w:rsidP="00F0094E">
            <w:pPr>
              <w:spacing w:line="276" w:lineRule="auto"/>
              <w:ind w:firstLine="360"/>
              <w:jc w:val="center"/>
              <w:rPr>
                <w:color w:val="000000"/>
                <w:sz w:val="20"/>
                <w:szCs w:val="20"/>
              </w:rPr>
            </w:pPr>
            <w:r w:rsidRPr="000D3BA6">
              <w:rPr>
                <w:color w:val="000000"/>
                <w:sz w:val="20"/>
                <w:szCs w:val="20"/>
              </w:rPr>
              <w:t>116,839</w:t>
            </w:r>
          </w:p>
        </w:tc>
      </w:tr>
    </w:tbl>
    <w:p w:rsidR="00F0094E" w:rsidRPr="000D3BA6" w:rsidRDefault="00F0094E" w:rsidP="00F0094E">
      <w:pPr>
        <w:pStyle w:val="BodyParagraph"/>
        <w:spacing w:after="0" w:line="276" w:lineRule="auto"/>
        <w:ind w:firstLine="360"/>
        <w:jc w:val="center"/>
        <w:rPr>
          <w:rFonts w:ascii="Times New Roman" w:hAnsi="Times New Roman"/>
          <w:szCs w:val="20"/>
        </w:rPr>
      </w:pPr>
    </w:p>
    <w:p w:rsidR="00F0094E" w:rsidRPr="00E32D76" w:rsidRDefault="00F0094E" w:rsidP="003562F8">
      <w:pPr>
        <w:pStyle w:val="Heading3"/>
        <w:keepLines/>
        <w:numPr>
          <w:ilvl w:val="2"/>
          <w:numId w:val="40"/>
        </w:numPr>
        <w:spacing w:before="0" w:after="0" w:line="276" w:lineRule="auto"/>
        <w:ind w:left="0" w:firstLine="0"/>
        <w:rPr>
          <w:rFonts w:ascii="Times New Roman" w:hAnsi="Times New Roman" w:cs="Times New Roman"/>
          <w:szCs w:val="24"/>
        </w:rPr>
      </w:pPr>
      <w:bookmarkStart w:id="269" w:name="_Toc447179850"/>
      <w:r w:rsidRPr="00E32D76">
        <w:rPr>
          <w:rFonts w:ascii="Times New Roman" w:hAnsi="Times New Roman" w:cs="Times New Roman"/>
          <w:szCs w:val="24"/>
        </w:rPr>
        <w:t>Reference Loads</w:t>
      </w:r>
      <w:bookmarkEnd w:id="269"/>
    </w:p>
    <w:p w:rsidR="00F0094E" w:rsidRDefault="00F0094E" w:rsidP="00F0094E">
      <w:pPr>
        <w:pStyle w:val="BodyParagraph"/>
        <w:spacing w:after="0" w:line="276" w:lineRule="auto"/>
        <w:ind w:firstLine="360"/>
        <w:rPr>
          <w:rFonts w:ascii="Times New Roman" w:hAnsi="Times New Roman"/>
          <w:sz w:val="24"/>
          <w:szCs w:val="24"/>
        </w:rPr>
      </w:pP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Reference loads provide a baseline level of consumption for customers representing what their electricity usage would be in the future if they did not switch to an SPP rate, but rather remained on their current rate. Reference loads can be compared to the predicted loads for customers after they transition to SPP rates to assess the effect of the new rates. </w:t>
      </w: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Since nearly all small commercial customers in SDG&amp;E’s service territory are currently on a non-time-varying rate, there is ample data that can be used to model reference loads. The best approach for this modeling (in the absence of holding back a control group) is to develop a regression model that predicts electricity consumption as a function of weather conditions, month, day of week, hour of day, and other variables that influence usage. To develop the best possible model, various specifications were tested and the one that most accurately predicted loads during an out-of-sample test on 10% of the customers was selected as the final model. This model is shown as Equation 2:</w:t>
      </w: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8"/>
        <w:gridCol w:w="8468"/>
      </w:tblGrid>
      <w:tr w:rsidR="00F0094E" w:rsidRPr="000D3BA6" w:rsidTr="00F0094E">
        <w:trPr>
          <w:trHeight w:val="720"/>
          <w:jc w:val="center"/>
        </w:trPr>
        <w:tc>
          <w:tcPr>
            <w:tcW w:w="846" w:type="dxa"/>
            <w:hideMark/>
          </w:tcPr>
          <w:p w:rsidR="00F0094E" w:rsidRPr="000D3BA6" w:rsidRDefault="00F0094E" w:rsidP="00F0094E">
            <w:pPr>
              <w:pStyle w:val="BodyParagraph"/>
              <w:spacing w:after="0" w:line="276" w:lineRule="auto"/>
              <w:ind w:firstLine="360"/>
              <w:rPr>
                <w:rFonts w:ascii="Times New Roman" w:hAnsi="Times New Roman"/>
                <w:szCs w:val="20"/>
              </w:rPr>
            </w:pPr>
          </w:p>
        </w:tc>
        <w:tc>
          <w:tcPr>
            <w:tcW w:w="9107" w:type="dxa"/>
            <w:vAlign w:val="center"/>
            <w:hideMark/>
          </w:tcPr>
          <w:p w:rsidR="00F0094E" w:rsidRPr="000D3BA6" w:rsidRDefault="0024252A" w:rsidP="00F0094E">
            <w:pPr>
              <w:pStyle w:val="BodyParagraph"/>
              <w:spacing w:after="0" w:line="276" w:lineRule="auto"/>
              <w:ind w:firstLine="360"/>
              <w:rPr>
                <w:rFonts w:ascii="Times New Roman" w:hAnsi="Times New Roman"/>
                <w:szCs w:val="20"/>
              </w:rPr>
            </w:pPr>
            <m:oMath>
              <m:sSub>
                <m:sSubPr>
                  <m:ctrlPr>
                    <w:rPr>
                      <w:rFonts w:ascii="Cambria Math" w:hAnsi="Cambria Math"/>
                      <w:i/>
                      <w:iCs/>
                      <w:szCs w:val="20"/>
                    </w:rPr>
                  </m:ctrlPr>
                </m:sSubPr>
                <m:e>
                  <m:r>
                    <w:rPr>
                      <w:rFonts w:ascii="Cambria Math" w:hAnsi="Cambria Math"/>
                      <w:szCs w:val="20"/>
                    </w:rPr>
                    <m:t>kwh</m:t>
                  </m:r>
                </m:e>
                <m:sub>
                  <m:r>
                    <w:rPr>
                      <w:rFonts w:ascii="Cambria Math" w:hAnsi="Cambria Math"/>
                      <w:szCs w:val="20"/>
                    </w:rPr>
                    <m:t>i,  h</m:t>
                  </m:r>
                </m:sub>
              </m:sSub>
              <m:r>
                <w:rPr>
                  <w:rFonts w:ascii="Cambria Math" w:hAnsi="Cambria Math"/>
                  <w:szCs w:val="20"/>
                </w:rPr>
                <m:t>=</m:t>
              </m:r>
              <m:sSub>
                <m:sSubPr>
                  <m:ctrlPr>
                    <w:rPr>
                      <w:rFonts w:ascii="Cambria Math" w:hAnsi="Cambria Math"/>
                      <w:i/>
                      <w:iCs/>
                      <w:szCs w:val="20"/>
                    </w:rPr>
                  </m:ctrlPr>
                </m:sSubPr>
                <m:e>
                  <m:r>
                    <w:rPr>
                      <w:rFonts w:ascii="Cambria Math" w:hAnsi="Cambria Math"/>
                      <w:szCs w:val="20"/>
                    </w:rPr>
                    <m:t>β</m:t>
                  </m:r>
                </m:e>
                <m:sub>
                  <m:r>
                    <w:rPr>
                      <w:rFonts w:ascii="Cambria Math" w:hAnsi="Cambria Math"/>
                      <w:szCs w:val="20"/>
                    </w:rPr>
                    <m:t>0</m:t>
                  </m:r>
                </m:sub>
              </m:sSub>
              <m:r>
                <w:rPr>
                  <w:rFonts w:ascii="Cambria Math" w:hAnsi="Cambria Math"/>
                  <w:szCs w:val="20"/>
                </w:rPr>
                <m:t>+</m:t>
              </m:r>
              <m:sSub>
                <m:sSubPr>
                  <m:ctrlPr>
                    <w:rPr>
                      <w:rFonts w:ascii="Cambria Math" w:hAnsi="Cambria Math"/>
                      <w:i/>
                      <w:iCs/>
                      <w:szCs w:val="20"/>
                    </w:rPr>
                  </m:ctrlPr>
                </m:sSubPr>
                <m:e>
                  <m:r>
                    <w:rPr>
                      <w:rFonts w:ascii="Cambria Math" w:hAnsi="Cambria Math"/>
                      <w:szCs w:val="20"/>
                    </w:rPr>
                    <m:t>β</m:t>
                  </m:r>
                </m:e>
                <m:sub>
                  <m:r>
                    <w:rPr>
                      <w:rFonts w:ascii="Cambria Math" w:hAnsi="Cambria Math"/>
                      <w:szCs w:val="20"/>
                    </w:rPr>
                    <m:t>1</m:t>
                  </m:r>
                </m:sub>
              </m:sSub>
              <m:d>
                <m:dPr>
                  <m:ctrlPr>
                    <w:rPr>
                      <w:rFonts w:ascii="Cambria Math" w:hAnsi="Cambria Math"/>
                      <w:i/>
                      <w:iCs/>
                      <w:szCs w:val="20"/>
                    </w:rPr>
                  </m:ctrlPr>
                </m:dPr>
                <m:e>
                  <m:sSub>
                    <m:sSubPr>
                      <m:ctrlPr>
                        <w:rPr>
                          <w:rFonts w:ascii="Cambria Math" w:hAnsi="Cambria Math"/>
                          <w:i/>
                          <w:iCs/>
                          <w:szCs w:val="20"/>
                        </w:rPr>
                      </m:ctrlPr>
                    </m:sSubPr>
                    <m:e>
                      <m:r>
                        <w:rPr>
                          <w:rFonts w:ascii="Cambria Math" w:hAnsi="Cambria Math"/>
                          <w:szCs w:val="20"/>
                        </w:rPr>
                        <m:t>CDD</m:t>
                      </m:r>
                    </m:e>
                    <m:sub>
                      <m:r>
                        <w:rPr>
                          <w:rFonts w:ascii="Cambria Math" w:hAnsi="Cambria Math"/>
                          <w:szCs w:val="20"/>
                        </w:rPr>
                        <m:t>d</m:t>
                      </m:r>
                    </m:sub>
                  </m:sSub>
                  <m:r>
                    <w:rPr>
                      <w:rFonts w:ascii="Cambria Math" w:hAnsi="Cambria Math"/>
                      <w:szCs w:val="20"/>
                    </w:rPr>
                    <m:t>*</m:t>
                  </m:r>
                  <m:sSub>
                    <m:sSubPr>
                      <m:ctrlPr>
                        <w:rPr>
                          <w:rFonts w:ascii="Cambria Math" w:hAnsi="Cambria Math"/>
                          <w:i/>
                          <w:iCs/>
                          <w:szCs w:val="20"/>
                        </w:rPr>
                      </m:ctrlPr>
                    </m:sSubPr>
                    <m:e>
                      <m:r>
                        <w:rPr>
                          <w:rFonts w:ascii="Cambria Math" w:hAnsi="Cambria Math"/>
                          <w:szCs w:val="20"/>
                        </w:rPr>
                        <m:t>weekday</m:t>
                      </m:r>
                    </m:e>
                    <m:sub>
                      <m:r>
                        <w:rPr>
                          <w:rFonts w:ascii="Cambria Math" w:hAnsi="Cambria Math"/>
                          <w:szCs w:val="20"/>
                        </w:rPr>
                        <m:t>d</m:t>
                      </m:r>
                    </m:sub>
                  </m:sSub>
                </m:e>
              </m:d>
              <m:r>
                <w:rPr>
                  <w:rFonts w:ascii="Cambria Math" w:hAnsi="Cambria Math"/>
                  <w:szCs w:val="20"/>
                </w:rPr>
                <m:t>+</m:t>
              </m:r>
              <m:sSub>
                <m:sSubPr>
                  <m:ctrlPr>
                    <w:rPr>
                      <w:rFonts w:ascii="Cambria Math" w:hAnsi="Cambria Math"/>
                      <w:i/>
                      <w:iCs/>
                      <w:szCs w:val="20"/>
                    </w:rPr>
                  </m:ctrlPr>
                </m:sSubPr>
                <m:e>
                  <m:r>
                    <w:rPr>
                      <w:rFonts w:ascii="Cambria Math" w:hAnsi="Cambria Math"/>
                      <w:szCs w:val="20"/>
                    </w:rPr>
                    <m:t>β</m:t>
                  </m:r>
                </m:e>
                <m:sub>
                  <m:r>
                    <w:rPr>
                      <w:rFonts w:ascii="Cambria Math" w:hAnsi="Cambria Math"/>
                      <w:szCs w:val="20"/>
                    </w:rPr>
                    <m:t>2</m:t>
                  </m:r>
                </m:sub>
              </m:sSub>
              <m:d>
                <m:dPr>
                  <m:ctrlPr>
                    <w:rPr>
                      <w:rFonts w:ascii="Cambria Math" w:hAnsi="Cambria Math"/>
                      <w:i/>
                      <w:iCs/>
                      <w:szCs w:val="20"/>
                    </w:rPr>
                  </m:ctrlPr>
                </m:dPr>
                <m:e>
                  <m:sSubSup>
                    <m:sSubSupPr>
                      <m:ctrlPr>
                        <w:rPr>
                          <w:rFonts w:ascii="Cambria Math" w:hAnsi="Cambria Math"/>
                          <w:i/>
                          <w:iCs/>
                          <w:szCs w:val="20"/>
                        </w:rPr>
                      </m:ctrlPr>
                    </m:sSubSupPr>
                    <m:e>
                      <m:r>
                        <w:rPr>
                          <w:rFonts w:ascii="Cambria Math" w:hAnsi="Cambria Math"/>
                          <w:szCs w:val="20"/>
                        </w:rPr>
                        <m:t>CDD</m:t>
                      </m:r>
                    </m:e>
                    <m:sub>
                      <m:r>
                        <w:rPr>
                          <w:rFonts w:ascii="Cambria Math" w:hAnsi="Cambria Math"/>
                          <w:szCs w:val="20"/>
                        </w:rPr>
                        <m:t>d</m:t>
                      </m:r>
                    </m:sub>
                    <m:sup>
                      <m:r>
                        <w:rPr>
                          <w:rFonts w:ascii="Cambria Math" w:hAnsi="Cambria Math"/>
                          <w:szCs w:val="20"/>
                        </w:rPr>
                        <m:t>2</m:t>
                      </m:r>
                    </m:sup>
                  </m:sSubSup>
                  <m:r>
                    <w:rPr>
                      <w:rFonts w:ascii="Cambria Math" w:hAnsi="Cambria Math"/>
                      <w:szCs w:val="20"/>
                    </w:rPr>
                    <m:t>*</m:t>
                  </m:r>
                  <m:sSub>
                    <m:sSubPr>
                      <m:ctrlPr>
                        <w:rPr>
                          <w:rFonts w:ascii="Cambria Math" w:hAnsi="Cambria Math"/>
                          <w:i/>
                          <w:iCs/>
                          <w:szCs w:val="20"/>
                        </w:rPr>
                      </m:ctrlPr>
                    </m:sSubPr>
                    <m:e>
                      <m:r>
                        <w:rPr>
                          <w:rFonts w:ascii="Cambria Math" w:hAnsi="Cambria Math"/>
                          <w:szCs w:val="20"/>
                        </w:rPr>
                        <m:t>weekday</m:t>
                      </m:r>
                    </m:e>
                    <m:sub>
                      <m:r>
                        <w:rPr>
                          <w:rFonts w:ascii="Cambria Math" w:hAnsi="Cambria Math"/>
                          <w:szCs w:val="20"/>
                        </w:rPr>
                        <m:t>d</m:t>
                      </m:r>
                    </m:sub>
                  </m:sSub>
                </m:e>
              </m:d>
              <m:r>
                <w:rPr>
                  <w:rFonts w:ascii="Cambria Math" w:hAnsi="Cambria Math"/>
                  <w:szCs w:val="20"/>
                </w:rPr>
                <m:t>+</m:t>
              </m:r>
              <m:sSub>
                <m:sSubPr>
                  <m:ctrlPr>
                    <w:rPr>
                      <w:rFonts w:ascii="Cambria Math" w:hAnsi="Cambria Math"/>
                      <w:i/>
                      <w:iCs/>
                      <w:szCs w:val="20"/>
                    </w:rPr>
                  </m:ctrlPr>
                </m:sSubPr>
                <m:e>
                  <m:r>
                    <w:rPr>
                      <w:rFonts w:ascii="Cambria Math" w:hAnsi="Cambria Math"/>
                      <w:szCs w:val="20"/>
                    </w:rPr>
                    <m:t>β</m:t>
                  </m:r>
                </m:e>
                <m:sub>
                  <m:r>
                    <w:rPr>
                      <w:rFonts w:ascii="Cambria Math" w:hAnsi="Cambria Math"/>
                      <w:szCs w:val="20"/>
                    </w:rPr>
                    <m:t>3</m:t>
                  </m:r>
                </m:sub>
              </m:sSub>
              <m:sSub>
                <m:sSubPr>
                  <m:ctrlPr>
                    <w:rPr>
                      <w:rFonts w:ascii="Cambria Math" w:hAnsi="Cambria Math"/>
                      <w:i/>
                      <w:iCs/>
                      <w:szCs w:val="20"/>
                    </w:rPr>
                  </m:ctrlPr>
                </m:sSubPr>
                <m:e>
                  <m:r>
                    <w:rPr>
                      <w:rFonts w:ascii="Cambria Math" w:hAnsi="Cambria Math"/>
                      <w:szCs w:val="20"/>
                    </w:rPr>
                    <m:t>weekday</m:t>
                  </m:r>
                </m:e>
                <m:sub>
                  <m:r>
                    <w:rPr>
                      <w:rFonts w:ascii="Cambria Math" w:hAnsi="Cambria Math"/>
                      <w:szCs w:val="20"/>
                    </w:rPr>
                    <m:t>d</m:t>
                  </m:r>
                </m:sub>
              </m:sSub>
              <m:r>
                <w:rPr>
                  <w:rFonts w:ascii="Cambria Math" w:hAnsi="Cambria Math"/>
                  <w:szCs w:val="20"/>
                </w:rPr>
                <m:t>+</m:t>
              </m:r>
              <m:sSub>
                <m:sSubPr>
                  <m:ctrlPr>
                    <w:rPr>
                      <w:rFonts w:ascii="Cambria Math" w:hAnsi="Cambria Math"/>
                      <w:i/>
                      <w:iCs/>
                      <w:szCs w:val="20"/>
                    </w:rPr>
                  </m:ctrlPr>
                </m:sSubPr>
                <m:e>
                  <m:sSub>
                    <m:sSubPr>
                      <m:ctrlPr>
                        <w:rPr>
                          <w:rFonts w:ascii="Cambria Math" w:hAnsi="Cambria Math"/>
                          <w:i/>
                          <w:iCs/>
                          <w:szCs w:val="20"/>
                        </w:rPr>
                      </m:ctrlPr>
                    </m:sSubPr>
                    <m:e>
                      <m:r>
                        <w:rPr>
                          <w:rFonts w:ascii="Cambria Math" w:hAnsi="Cambria Math"/>
                          <w:szCs w:val="20"/>
                        </w:rPr>
                        <m:t>β</m:t>
                      </m:r>
                    </m:e>
                    <m:sub>
                      <m:r>
                        <w:rPr>
                          <w:rFonts w:ascii="Cambria Math" w:hAnsi="Cambria Math"/>
                          <w:szCs w:val="20"/>
                        </w:rPr>
                        <m:t>4</m:t>
                      </m:r>
                    </m:sub>
                  </m:sSub>
                  <m:r>
                    <w:rPr>
                      <w:rFonts w:ascii="Cambria Math" w:hAnsi="Cambria Math"/>
                      <w:szCs w:val="20"/>
                    </w:rPr>
                    <m:t>month</m:t>
                  </m:r>
                </m:e>
                <m:sub>
                  <m:r>
                    <w:rPr>
                      <w:rFonts w:ascii="Cambria Math" w:hAnsi="Cambria Math"/>
                      <w:szCs w:val="20"/>
                    </w:rPr>
                    <m:t>d</m:t>
                  </m:r>
                </m:sub>
              </m:sSub>
              <m:r>
                <w:rPr>
                  <w:rFonts w:ascii="Cambria Math" w:hAnsi="Cambria Math"/>
                  <w:szCs w:val="20"/>
                </w:rPr>
                <m:t>+</m:t>
              </m:r>
              <m:sSub>
                <m:sSubPr>
                  <m:ctrlPr>
                    <w:rPr>
                      <w:rFonts w:ascii="Cambria Math" w:hAnsi="Cambria Math"/>
                      <w:i/>
                      <w:iCs/>
                      <w:szCs w:val="20"/>
                    </w:rPr>
                  </m:ctrlPr>
                </m:sSubPr>
                <m:e>
                  <m:r>
                    <w:rPr>
                      <w:rFonts w:ascii="Cambria Math" w:hAnsi="Cambria Math"/>
                      <w:szCs w:val="20"/>
                    </w:rPr>
                    <m:t>ε</m:t>
                  </m:r>
                </m:e>
                <m:sub>
                  <m:r>
                    <w:rPr>
                      <w:rFonts w:ascii="Cambria Math" w:hAnsi="Cambria Math"/>
                      <w:szCs w:val="20"/>
                    </w:rPr>
                    <m:t>i,h</m:t>
                  </m:r>
                </m:sub>
              </m:sSub>
              <m:r>
                <w:rPr>
                  <w:rFonts w:ascii="Cambria Math" w:hAnsi="Cambria Math"/>
                  <w:szCs w:val="20"/>
                </w:rPr>
                <m:t> </m:t>
              </m:r>
            </m:oMath>
            <w:r w:rsidR="00F0094E" w:rsidRPr="000D3BA6">
              <w:rPr>
                <w:rFonts w:ascii="Times New Roman" w:hAnsi="Times New Roman"/>
                <w:szCs w:val="20"/>
              </w:rPr>
              <w:t xml:space="preserve"> </w:t>
            </w:r>
          </w:p>
          <w:p w:rsidR="00F0094E" w:rsidRPr="000D3BA6" w:rsidRDefault="00F0094E" w:rsidP="00F0094E">
            <w:pPr>
              <w:pStyle w:val="BodyParagraph"/>
              <w:spacing w:after="0" w:line="276" w:lineRule="auto"/>
              <w:ind w:firstLine="360"/>
              <w:rPr>
                <w:rFonts w:ascii="Times New Roman" w:hAnsi="Times New Roman"/>
                <w:szCs w:val="20"/>
              </w:rPr>
            </w:pPr>
          </w:p>
        </w:tc>
      </w:tr>
      <w:tr w:rsidR="00F0094E" w:rsidRPr="000D3BA6" w:rsidTr="00F009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BED1"/>
        </w:tblPrEx>
        <w:trPr>
          <w:cantSplit/>
          <w:tblHeader/>
          <w:jc w:val="center"/>
        </w:trPr>
        <w:tc>
          <w:tcPr>
            <w:tcW w:w="846" w:type="dxa"/>
            <w:tcBorders>
              <w:top w:val="single" w:sz="4" w:space="0" w:color="auto"/>
              <w:left w:val="single" w:sz="4" w:space="0" w:color="auto"/>
              <w:bottom w:val="single" w:sz="4" w:space="0" w:color="1F497D" w:themeColor="text2"/>
              <w:right w:val="single" w:sz="4" w:space="0" w:color="FFFFFF" w:themeColor="background1"/>
            </w:tcBorders>
            <w:shd w:val="clear" w:color="auto" w:fill="1F497D" w:themeFill="text2"/>
            <w:hideMark/>
          </w:tcPr>
          <w:p w:rsidR="00F0094E" w:rsidRPr="00C7586E" w:rsidRDefault="00F0094E" w:rsidP="00F0094E">
            <w:pPr>
              <w:pStyle w:val="TableHeader"/>
              <w:spacing w:before="0" w:after="0" w:line="276" w:lineRule="auto"/>
              <w:jc w:val="left"/>
              <w:rPr>
                <w:rFonts w:ascii="Times New Roman" w:hAnsi="Times New Roman"/>
                <w:szCs w:val="20"/>
              </w:rPr>
            </w:pPr>
            <w:r w:rsidRPr="00C7586E">
              <w:rPr>
                <w:rFonts w:ascii="Times New Roman" w:hAnsi="Times New Roman"/>
                <w:szCs w:val="20"/>
              </w:rPr>
              <w:t>Variable</w:t>
            </w:r>
          </w:p>
        </w:tc>
        <w:tc>
          <w:tcPr>
            <w:tcW w:w="9107" w:type="dxa"/>
            <w:tcBorders>
              <w:top w:val="single" w:sz="4" w:space="0" w:color="auto"/>
              <w:left w:val="single" w:sz="4" w:space="0" w:color="FFFFFF" w:themeColor="background1"/>
              <w:bottom w:val="single" w:sz="4" w:space="0" w:color="1F497D" w:themeColor="text2"/>
              <w:right w:val="single" w:sz="4" w:space="0" w:color="auto"/>
            </w:tcBorders>
            <w:shd w:val="clear" w:color="auto" w:fill="1F497D" w:themeFill="text2"/>
            <w:hideMark/>
          </w:tcPr>
          <w:p w:rsidR="00F0094E" w:rsidRPr="00C7586E" w:rsidRDefault="00F0094E" w:rsidP="00F0094E">
            <w:pPr>
              <w:pStyle w:val="TableHeader"/>
              <w:spacing w:before="0" w:after="0" w:line="276" w:lineRule="auto"/>
              <w:ind w:firstLine="360"/>
              <w:jc w:val="left"/>
              <w:rPr>
                <w:rFonts w:ascii="Times New Roman" w:hAnsi="Times New Roman"/>
                <w:szCs w:val="20"/>
              </w:rPr>
            </w:pPr>
            <w:r w:rsidRPr="00C7586E">
              <w:rPr>
                <w:rFonts w:ascii="Times New Roman" w:hAnsi="Times New Roman"/>
                <w:szCs w:val="20"/>
              </w:rPr>
              <w:t>Definition</w:t>
            </w:r>
          </w:p>
        </w:tc>
      </w:tr>
      <w:tr w:rsidR="00F0094E" w:rsidRPr="000D3BA6" w:rsidTr="00F009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BED1"/>
        </w:tblPrEx>
        <w:trPr>
          <w:jc w:val="center"/>
        </w:trPr>
        <w:tc>
          <w:tcPr>
            <w:tcW w:w="846" w:type="dxa"/>
            <w:tcBorders>
              <w:top w:val="single" w:sz="4" w:space="0" w:color="1F497D" w:themeColor="text2"/>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F0094E">
            <w:pPr>
              <w:pStyle w:val="BodyParagraph"/>
              <w:spacing w:after="0" w:line="276" w:lineRule="auto"/>
              <w:ind w:firstLine="360"/>
              <w:rPr>
                <w:rFonts w:ascii="Times New Roman" w:hAnsi="Times New Roman"/>
                <w:i/>
                <w:szCs w:val="20"/>
              </w:rPr>
            </w:pPr>
            <w:r w:rsidRPr="00C7586E">
              <w:rPr>
                <w:rFonts w:ascii="Times New Roman" w:hAnsi="Times New Roman"/>
                <w:i/>
                <w:szCs w:val="20"/>
              </w:rPr>
              <w:t>h, i, d</w:t>
            </w:r>
          </w:p>
        </w:tc>
        <w:tc>
          <w:tcPr>
            <w:tcW w:w="9107" w:type="dxa"/>
            <w:tcBorders>
              <w:top w:val="single" w:sz="4" w:space="0" w:color="1F497D" w:themeColor="text2"/>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F0094E">
            <w:pPr>
              <w:pStyle w:val="TableText"/>
              <w:spacing w:before="0" w:after="0" w:line="276" w:lineRule="auto"/>
              <w:ind w:firstLine="360"/>
              <w:rPr>
                <w:rFonts w:ascii="Times New Roman" w:hAnsi="Times New Roman"/>
                <w:sz w:val="20"/>
                <w:szCs w:val="20"/>
              </w:rPr>
            </w:pPr>
            <w:r w:rsidRPr="00C7586E">
              <w:rPr>
                <w:rFonts w:ascii="Times New Roman" w:hAnsi="Times New Roman"/>
                <w:sz w:val="20"/>
                <w:szCs w:val="20"/>
              </w:rPr>
              <w:t>Indicate observations for each hour (h), industry (i) and day (d).</w:t>
            </w:r>
          </w:p>
        </w:tc>
      </w:tr>
      <w:tr w:rsidR="00F0094E" w:rsidRPr="000D3BA6" w:rsidTr="00F009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BED1"/>
        </w:tblPrEx>
        <w:trPr>
          <w:jc w:val="center"/>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24252A" w:rsidP="00F0094E">
            <w:pPr>
              <w:pStyle w:val="BodyParagraph"/>
              <w:spacing w:after="0" w:line="276" w:lineRule="auto"/>
              <w:ind w:firstLine="360"/>
              <w:rPr>
                <w:rFonts w:ascii="Times New Roman" w:hAnsi="Times New Roman"/>
                <w:i/>
                <w:szCs w:val="20"/>
              </w:rPr>
            </w:pPr>
            <m:oMathPara>
              <m:oMath>
                <m:sSub>
                  <m:sSubPr>
                    <m:ctrlPr>
                      <w:rPr>
                        <w:rFonts w:ascii="Cambria Math" w:hAnsi="Cambria Math"/>
                        <w:i/>
                        <w:iCs/>
                        <w:szCs w:val="20"/>
                      </w:rPr>
                    </m:ctrlPr>
                  </m:sSubPr>
                  <m:e>
                    <m:r>
                      <w:rPr>
                        <w:rFonts w:ascii="Cambria Math" w:hAnsi="Cambria Math"/>
                        <w:szCs w:val="20"/>
                      </w:rPr>
                      <m:t>β</m:t>
                    </m:r>
                  </m:e>
                  <m:sub>
                    <m:r>
                      <w:rPr>
                        <w:rFonts w:ascii="Cambria Math" w:hAnsi="Cambria Math"/>
                        <w:szCs w:val="20"/>
                      </w:rPr>
                      <m:t>0</m:t>
                    </m:r>
                  </m:sub>
                </m:sSub>
              </m:oMath>
            </m:oMathPara>
          </w:p>
        </w:tc>
        <w:tc>
          <w:tcPr>
            <w:tcW w:w="91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F0094E">
            <w:pPr>
              <w:pStyle w:val="TableText"/>
              <w:spacing w:before="0" w:after="0" w:line="276" w:lineRule="auto"/>
              <w:ind w:firstLine="360"/>
              <w:rPr>
                <w:rFonts w:ascii="Times New Roman" w:hAnsi="Times New Roman"/>
                <w:sz w:val="20"/>
                <w:szCs w:val="20"/>
              </w:rPr>
            </w:pPr>
            <w:r w:rsidRPr="00C7586E">
              <w:rPr>
                <w:rFonts w:ascii="Times New Roman" w:hAnsi="Times New Roman"/>
                <w:sz w:val="20"/>
                <w:szCs w:val="20"/>
              </w:rPr>
              <w:t>The model constant.</w:t>
            </w:r>
          </w:p>
        </w:tc>
      </w:tr>
      <w:tr w:rsidR="00F0094E" w:rsidRPr="000D3BA6" w:rsidTr="00F009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BED1"/>
        </w:tblPrEx>
        <w:trPr>
          <w:jc w:val="center"/>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24252A" w:rsidP="00F0094E">
            <w:pPr>
              <w:pStyle w:val="BodyParagraph"/>
              <w:spacing w:after="0" w:line="276" w:lineRule="auto"/>
              <w:ind w:firstLine="360"/>
              <w:rPr>
                <w:rFonts w:ascii="Times New Roman" w:hAnsi="Times New Roman"/>
                <w:i/>
                <w:szCs w:val="20"/>
              </w:rPr>
            </w:pPr>
            <m:oMathPara>
              <m:oMath>
                <m:sSub>
                  <m:sSubPr>
                    <m:ctrlPr>
                      <w:rPr>
                        <w:rFonts w:ascii="Cambria Math" w:hAnsi="Cambria Math"/>
                        <w:i/>
                        <w:iCs/>
                        <w:szCs w:val="20"/>
                      </w:rPr>
                    </m:ctrlPr>
                  </m:sSubPr>
                  <m:e>
                    <m:r>
                      <w:rPr>
                        <w:rFonts w:ascii="Cambria Math" w:hAnsi="Cambria Math"/>
                        <w:szCs w:val="20"/>
                      </w:rPr>
                      <m:t>CDD</m:t>
                    </m:r>
                  </m:e>
                  <m:sub>
                    <m:r>
                      <w:rPr>
                        <w:rFonts w:ascii="Cambria Math" w:hAnsi="Cambria Math"/>
                        <w:szCs w:val="20"/>
                      </w:rPr>
                      <m:t>d</m:t>
                    </m:r>
                  </m:sub>
                </m:sSub>
              </m:oMath>
            </m:oMathPara>
          </w:p>
        </w:tc>
        <w:tc>
          <w:tcPr>
            <w:tcW w:w="91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F0094E">
            <w:pPr>
              <w:pStyle w:val="TableText"/>
              <w:spacing w:before="0" w:after="0" w:line="276" w:lineRule="auto"/>
              <w:ind w:firstLine="360"/>
              <w:rPr>
                <w:rFonts w:ascii="Times New Roman" w:hAnsi="Times New Roman"/>
                <w:sz w:val="20"/>
                <w:szCs w:val="20"/>
              </w:rPr>
            </w:pPr>
            <w:r w:rsidRPr="00C7586E">
              <w:rPr>
                <w:rFonts w:ascii="Times New Roman" w:hAnsi="Times New Roman"/>
                <w:sz w:val="20"/>
                <w:szCs w:val="20"/>
              </w:rPr>
              <w:t>Cooling degree days on day d, defined as max(0, Avg. daily temp – 60).</w:t>
            </w:r>
          </w:p>
        </w:tc>
      </w:tr>
      <w:tr w:rsidR="00F0094E" w:rsidRPr="000D3BA6" w:rsidTr="00F009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BED1"/>
        </w:tblPrEx>
        <w:trPr>
          <w:jc w:val="center"/>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24252A" w:rsidP="00F0094E">
            <w:pPr>
              <w:pStyle w:val="BodyParagraph"/>
              <w:spacing w:after="0" w:line="276" w:lineRule="auto"/>
              <w:ind w:firstLine="360"/>
              <w:rPr>
                <w:rFonts w:ascii="Times New Roman" w:hAnsi="Times New Roman"/>
                <w:i/>
                <w:szCs w:val="20"/>
              </w:rPr>
            </w:pPr>
            <m:oMathPara>
              <m:oMath>
                <m:sSub>
                  <m:sSubPr>
                    <m:ctrlPr>
                      <w:rPr>
                        <w:rFonts w:ascii="Cambria Math" w:hAnsi="Cambria Math"/>
                        <w:i/>
                        <w:iCs/>
                        <w:szCs w:val="20"/>
                      </w:rPr>
                    </m:ctrlPr>
                  </m:sSubPr>
                  <m:e>
                    <m:r>
                      <w:rPr>
                        <w:rFonts w:ascii="Cambria Math" w:hAnsi="Cambria Math"/>
                        <w:szCs w:val="20"/>
                      </w:rPr>
                      <m:t>weekday</m:t>
                    </m:r>
                  </m:e>
                  <m:sub>
                    <m:r>
                      <w:rPr>
                        <w:rFonts w:ascii="Cambria Math" w:hAnsi="Cambria Math"/>
                        <w:szCs w:val="20"/>
                      </w:rPr>
                      <m:t>d</m:t>
                    </m:r>
                  </m:sub>
                </m:sSub>
              </m:oMath>
            </m:oMathPara>
          </w:p>
        </w:tc>
        <w:tc>
          <w:tcPr>
            <w:tcW w:w="91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F0094E">
            <w:pPr>
              <w:pStyle w:val="TableText"/>
              <w:spacing w:before="0" w:after="0" w:line="276" w:lineRule="auto"/>
              <w:ind w:firstLine="360"/>
              <w:rPr>
                <w:rFonts w:ascii="Times New Roman" w:hAnsi="Times New Roman"/>
                <w:sz w:val="20"/>
                <w:szCs w:val="20"/>
              </w:rPr>
            </w:pPr>
            <w:r w:rsidRPr="00C7586E">
              <w:rPr>
                <w:rFonts w:ascii="Times New Roman" w:hAnsi="Times New Roman"/>
                <w:sz w:val="20"/>
                <w:szCs w:val="20"/>
              </w:rPr>
              <w:t>A binary indicator of whether the day of the observation is a weekday (0=weekend, 1=weekday).</w:t>
            </w:r>
          </w:p>
        </w:tc>
      </w:tr>
      <w:tr w:rsidR="00F0094E" w:rsidRPr="000D3BA6" w:rsidTr="00F009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BED1"/>
        </w:tblPrEx>
        <w:trPr>
          <w:jc w:val="center"/>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24252A" w:rsidP="00F0094E">
            <w:pPr>
              <w:pStyle w:val="BodyParagraph"/>
              <w:spacing w:after="0" w:line="276" w:lineRule="auto"/>
              <w:ind w:firstLine="360"/>
              <w:rPr>
                <w:rFonts w:ascii="Times New Roman" w:hAnsi="Times New Roman"/>
                <w:i/>
                <w:szCs w:val="20"/>
              </w:rPr>
            </w:pPr>
            <m:oMathPara>
              <m:oMath>
                <m:sSub>
                  <m:sSubPr>
                    <m:ctrlPr>
                      <w:rPr>
                        <w:rFonts w:ascii="Cambria Math" w:hAnsi="Cambria Math"/>
                        <w:i/>
                        <w:iCs/>
                        <w:szCs w:val="20"/>
                      </w:rPr>
                    </m:ctrlPr>
                  </m:sSubPr>
                  <m:e>
                    <m:r>
                      <w:rPr>
                        <w:rFonts w:ascii="Cambria Math" w:hAnsi="Cambria Math"/>
                        <w:szCs w:val="20"/>
                      </w:rPr>
                      <m:t>month</m:t>
                    </m:r>
                  </m:e>
                  <m:sub>
                    <m:r>
                      <w:rPr>
                        <w:rFonts w:ascii="Cambria Math" w:hAnsi="Cambria Math"/>
                        <w:szCs w:val="20"/>
                      </w:rPr>
                      <m:t>d</m:t>
                    </m:r>
                  </m:sub>
                </m:sSub>
              </m:oMath>
            </m:oMathPara>
          </w:p>
        </w:tc>
        <w:tc>
          <w:tcPr>
            <w:tcW w:w="91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rsidR="00F0094E" w:rsidRPr="00C7586E" w:rsidRDefault="00F0094E" w:rsidP="00F0094E">
            <w:pPr>
              <w:pStyle w:val="TableText"/>
              <w:spacing w:before="0" w:after="0" w:line="276" w:lineRule="auto"/>
              <w:ind w:firstLine="360"/>
              <w:rPr>
                <w:rFonts w:ascii="Times New Roman" w:hAnsi="Times New Roman"/>
                <w:sz w:val="20"/>
                <w:szCs w:val="20"/>
              </w:rPr>
            </w:pPr>
            <w:r w:rsidRPr="00C7586E">
              <w:rPr>
                <w:rFonts w:ascii="Times New Roman" w:hAnsi="Times New Roman"/>
                <w:sz w:val="20"/>
                <w:szCs w:val="20"/>
              </w:rPr>
              <w:t>Set of dummy variables for each month of the year.</w:t>
            </w:r>
          </w:p>
        </w:tc>
      </w:tr>
      <w:tr w:rsidR="00F0094E" w:rsidRPr="000D3BA6" w:rsidTr="00F009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1BED1"/>
        </w:tblPrEx>
        <w:trPr>
          <w:jc w:val="center"/>
        </w:trPr>
        <w:tc>
          <w:tcPr>
            <w:tcW w:w="8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0094E" w:rsidRPr="00C7586E" w:rsidRDefault="0024252A" w:rsidP="00F0094E">
            <w:pPr>
              <w:pStyle w:val="BodyParagraph"/>
              <w:spacing w:after="0" w:line="276" w:lineRule="auto"/>
              <w:ind w:firstLine="360"/>
              <w:rPr>
                <w:rFonts w:ascii="Times New Roman" w:eastAsia="SimSun" w:hAnsi="Times New Roman"/>
                <w:iCs/>
                <w:szCs w:val="20"/>
              </w:rPr>
            </w:pPr>
            <m:oMathPara>
              <m:oMath>
                <m:sSub>
                  <m:sSubPr>
                    <m:ctrlPr>
                      <w:rPr>
                        <w:rFonts w:ascii="Cambria Math" w:hAnsi="Cambria Math"/>
                        <w:i/>
                        <w:iCs/>
                        <w:szCs w:val="20"/>
                      </w:rPr>
                    </m:ctrlPr>
                  </m:sSubPr>
                  <m:e>
                    <m:r>
                      <w:rPr>
                        <w:rFonts w:ascii="Cambria Math" w:hAnsi="Cambria Math"/>
                        <w:szCs w:val="20"/>
                      </w:rPr>
                      <m:t>ε</m:t>
                    </m:r>
                  </m:e>
                  <m:sub>
                    <m:r>
                      <w:rPr>
                        <w:rFonts w:ascii="Cambria Math" w:hAnsi="Cambria Math"/>
                        <w:szCs w:val="20"/>
                      </w:rPr>
                      <m:t>h</m:t>
                    </m:r>
                  </m:sub>
                </m:sSub>
              </m:oMath>
            </m:oMathPara>
          </w:p>
        </w:tc>
        <w:tc>
          <w:tcPr>
            <w:tcW w:w="91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rsidR="00F0094E" w:rsidRPr="00C7586E" w:rsidRDefault="00F0094E" w:rsidP="00F0094E">
            <w:pPr>
              <w:pStyle w:val="TableText"/>
              <w:spacing w:before="0" w:after="0" w:line="276" w:lineRule="auto"/>
              <w:ind w:firstLine="360"/>
              <w:rPr>
                <w:rFonts w:ascii="Times New Roman" w:hAnsi="Times New Roman"/>
                <w:sz w:val="20"/>
                <w:szCs w:val="20"/>
              </w:rPr>
            </w:pPr>
            <w:r w:rsidRPr="00C7586E">
              <w:rPr>
                <w:rFonts w:ascii="Times New Roman" w:hAnsi="Times New Roman"/>
                <w:sz w:val="20"/>
                <w:szCs w:val="20"/>
              </w:rPr>
              <w:t>Error term (assumed to be mean zero and independent of all other regressors).</w:t>
            </w:r>
          </w:p>
        </w:tc>
      </w:tr>
    </w:tbl>
    <w:p w:rsidR="00F0094E" w:rsidRDefault="00F0094E" w:rsidP="00F0094E">
      <w:pPr>
        <w:pStyle w:val="BodyParaAfterTableFigure"/>
        <w:spacing w:before="0" w:after="0" w:line="276" w:lineRule="auto"/>
        <w:ind w:firstLine="360"/>
        <w:rPr>
          <w:rFonts w:ascii="Times New Roman" w:hAnsi="Times New Roman"/>
          <w:sz w:val="24"/>
          <w:szCs w:val="24"/>
        </w:rPr>
      </w:pPr>
    </w:p>
    <w:p w:rsidR="00F0094E" w:rsidRPr="00B777EF" w:rsidRDefault="00F0094E" w:rsidP="00260B68">
      <w:pPr>
        <w:pStyle w:val="BodyParaAfterTableFigure"/>
        <w:rPr>
          <w:rFonts w:ascii="Times New Roman" w:hAnsi="Times New Roman"/>
          <w:color w:val="000000" w:themeColor="text1"/>
          <w:sz w:val="24"/>
          <w:szCs w:val="24"/>
        </w:rPr>
      </w:pPr>
      <w:r w:rsidRPr="00B777EF">
        <w:rPr>
          <w:rFonts w:ascii="Times New Roman" w:hAnsi="Times New Roman"/>
          <w:color w:val="000000" w:themeColor="text1"/>
          <w:sz w:val="24"/>
          <w:szCs w:val="24"/>
        </w:rPr>
        <w:lastRenderedPageBreak/>
        <w:t xml:space="preserve">The reference load model was estimated separately for each small commercial industry type for each hour of the day and includes terms for a weekday dummy variable interacted with cooling degree days, the same weekday dummy interacted with cooling degree days squared, the weekday dummy by itself, and a set of dummy variables for the months of the year. This specification captures changes in weather conditions as well as seasonal variation in electricity usage and was used to estimate reference loads for every combination of industry, day type (weekday or weekend), month, and set of weather conditions. Estimated reference loads for the average small commercial customer throughout the year are presented in </w:t>
      </w:r>
      <w:r w:rsidR="00260B68" w:rsidRPr="00260B68">
        <w:rPr>
          <w:rFonts w:ascii="Times New Roman" w:hAnsi="Times New Roman"/>
          <w:color w:val="000000" w:themeColor="text1"/>
          <w:sz w:val="22"/>
        </w:rPr>
        <w:t xml:space="preserve">Table </w:t>
      </w:r>
      <w:r w:rsidR="00260B68">
        <w:rPr>
          <w:rFonts w:ascii="Times New Roman" w:hAnsi="Times New Roman"/>
          <w:color w:val="000000" w:themeColor="text1"/>
          <w:sz w:val="22"/>
        </w:rPr>
        <w:t>9-</w:t>
      </w:r>
      <w:r w:rsidR="0024252A">
        <w:rPr>
          <w:rFonts w:ascii="Times New Roman" w:hAnsi="Times New Roman"/>
          <w:color w:val="000000" w:themeColor="text1"/>
          <w:sz w:val="22"/>
        </w:rPr>
        <w:t>3</w:t>
      </w:r>
      <w:r w:rsidR="00260B68">
        <w:rPr>
          <w:rFonts w:ascii="Times New Roman" w:hAnsi="Times New Roman"/>
          <w:color w:val="000000" w:themeColor="text1"/>
          <w:sz w:val="22"/>
        </w:rPr>
        <w:t>.</w:t>
      </w:r>
    </w:p>
    <w:p w:rsidR="00B777EF" w:rsidRDefault="00F0094E" w:rsidP="00B777EF">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The values in the table represent average peak period load during the peak period for monthly peak days under each set of weather conditions. The highest reference loads during the peak period for this group of customers occur in September for each of the weather scenarios, with the exception of the CAISO 1-in-2 scenario, which peaks in August. During the summer months, the CAISO and SDG&amp;E based reference loads (and underlying weather) are quite similar under 1-in-2 year conditions. For 1-in-10 year conditions, the SDG&amp;E based weather conditions are typically a bit higher than the CAISO based conditions. </w:t>
      </w:r>
      <w:bookmarkStart w:id="270" w:name="_Ref446059285"/>
    </w:p>
    <w:p w:rsidR="00B777EF" w:rsidRDefault="00B777EF" w:rsidP="00B777EF">
      <w:pPr>
        <w:pStyle w:val="BodyParagraph"/>
        <w:spacing w:after="0" w:line="276" w:lineRule="auto"/>
        <w:ind w:firstLine="360"/>
        <w:rPr>
          <w:rFonts w:ascii="Times New Roman" w:hAnsi="Times New Roman"/>
          <w:color w:val="000000" w:themeColor="text1"/>
          <w:sz w:val="24"/>
          <w:szCs w:val="24"/>
        </w:rPr>
      </w:pPr>
    </w:p>
    <w:p w:rsidR="00F0094E" w:rsidRPr="00B777EF" w:rsidRDefault="00F0094E" w:rsidP="00B777EF">
      <w:pPr>
        <w:pStyle w:val="BodyParagraph"/>
        <w:spacing w:after="120" w:line="240" w:lineRule="auto"/>
        <w:ind w:firstLine="360"/>
        <w:jc w:val="center"/>
        <w:rPr>
          <w:rFonts w:ascii="Times New Roman" w:hAnsi="Times New Roman"/>
          <w:b/>
          <w:bCs/>
          <w:sz w:val="22"/>
        </w:rPr>
      </w:pPr>
      <w:r w:rsidRPr="00B777EF">
        <w:rPr>
          <w:rFonts w:ascii="Times New Roman" w:hAnsi="Times New Roman"/>
          <w:b/>
          <w:bCs/>
          <w:sz w:val="22"/>
        </w:rPr>
        <w:t>Table 9-</w:t>
      </w:r>
      <w:r w:rsidR="0024252A">
        <w:rPr>
          <w:rFonts w:ascii="Times New Roman" w:hAnsi="Times New Roman"/>
          <w:b/>
          <w:bCs/>
          <w:sz w:val="22"/>
        </w:rPr>
        <w:t>3</w:t>
      </w:r>
      <w:r w:rsidRPr="00B777EF">
        <w:rPr>
          <w:rFonts w:ascii="Times New Roman" w:hAnsi="Times New Roman"/>
          <w:b/>
          <w:bCs/>
          <w:sz w:val="22"/>
        </w:rPr>
        <w:t>: Estimated Peak Period Reference Loads for Small</w:t>
      </w:r>
      <w:bookmarkEnd w:id="270"/>
    </w:p>
    <w:p w:rsidR="00F0094E" w:rsidRPr="000D3BA6" w:rsidRDefault="00F0094E" w:rsidP="00B777EF">
      <w:pPr>
        <w:pStyle w:val="Caption"/>
        <w:keepNext/>
        <w:spacing w:after="120"/>
        <w:jc w:val="center"/>
      </w:pPr>
      <w:r w:rsidRPr="006114B7">
        <w:rPr>
          <w:bCs w:val="0"/>
          <w:sz w:val="22"/>
          <w:szCs w:val="22"/>
        </w:rPr>
        <w:t xml:space="preserve">Commercial and Agricultural Customers Under </w:t>
      </w:r>
      <w:r w:rsidR="008C46A8">
        <w:rPr>
          <w:bCs w:val="0"/>
          <w:sz w:val="22"/>
          <w:szCs w:val="22"/>
        </w:rPr>
        <w:t>Ex-Ante</w:t>
      </w:r>
      <w:r w:rsidRPr="006114B7">
        <w:rPr>
          <w:bCs w:val="0"/>
          <w:sz w:val="22"/>
          <w:szCs w:val="22"/>
        </w:rPr>
        <w:t xml:space="preserve"> Weather Conditions</w:t>
      </w:r>
    </w:p>
    <w:tbl>
      <w:tblPr>
        <w:tblW w:w="6325" w:type="dxa"/>
        <w:jc w:val="center"/>
        <w:tblInd w:w="1053" w:type="dxa"/>
        <w:tblLook w:val="04A0" w:firstRow="1" w:lastRow="0" w:firstColumn="1" w:lastColumn="0" w:noHBand="0" w:noVBand="1"/>
      </w:tblPr>
      <w:tblGrid>
        <w:gridCol w:w="1510"/>
        <w:gridCol w:w="1125"/>
        <w:gridCol w:w="1350"/>
        <w:gridCol w:w="1158"/>
        <w:gridCol w:w="1182"/>
      </w:tblGrid>
      <w:tr w:rsidR="00F0094E" w:rsidRPr="00F0094E" w:rsidTr="00F0094E">
        <w:trPr>
          <w:trHeight w:val="285"/>
          <w:jc w:val="center"/>
        </w:trPr>
        <w:tc>
          <w:tcPr>
            <w:tcW w:w="1510" w:type="dxa"/>
            <w:vMerge w:val="restart"/>
            <w:tcBorders>
              <w:top w:val="single" w:sz="4" w:space="0" w:color="auto"/>
              <w:left w:val="single" w:sz="4" w:space="0" w:color="auto"/>
              <w:bottom w:val="single" w:sz="4" w:space="0" w:color="000000"/>
              <w:right w:val="single" w:sz="4" w:space="0" w:color="FFFFFF"/>
            </w:tcBorders>
            <w:shd w:val="clear" w:color="auto" w:fill="1F497D" w:themeFill="text2"/>
            <w:vAlign w:val="center"/>
            <w:hideMark/>
          </w:tcPr>
          <w:p w:rsidR="00F0094E" w:rsidRPr="00FE5CBB" w:rsidRDefault="00F0094E" w:rsidP="00F0094E">
            <w:pPr>
              <w:pStyle w:val="TableHeader"/>
              <w:spacing w:before="0" w:after="0" w:line="276" w:lineRule="auto"/>
              <w:ind w:firstLine="360"/>
              <w:jc w:val="left"/>
              <w:rPr>
                <w:rFonts w:ascii="Times New Roman" w:hAnsi="Times New Roman"/>
                <w:szCs w:val="20"/>
              </w:rPr>
            </w:pPr>
            <w:r w:rsidRPr="00FE5CBB">
              <w:rPr>
                <w:rFonts w:ascii="Times New Roman" w:hAnsi="Times New Roman"/>
                <w:szCs w:val="20"/>
              </w:rPr>
              <w:t>Month</w:t>
            </w:r>
          </w:p>
        </w:tc>
        <w:tc>
          <w:tcPr>
            <w:tcW w:w="4815" w:type="dxa"/>
            <w:gridSpan w:val="4"/>
            <w:tcBorders>
              <w:top w:val="single" w:sz="4" w:space="0" w:color="auto"/>
              <w:left w:val="nil"/>
              <w:bottom w:val="single" w:sz="4" w:space="0" w:color="FFFFFF"/>
              <w:right w:val="single" w:sz="4" w:space="0" w:color="000000"/>
            </w:tcBorders>
            <w:shd w:val="clear" w:color="auto" w:fill="1F497D" w:themeFill="text2"/>
            <w:vAlign w:val="center"/>
            <w:hideMark/>
          </w:tcPr>
          <w:p w:rsidR="00F0094E" w:rsidRPr="00FE5CBB" w:rsidRDefault="00F0094E" w:rsidP="00F0094E">
            <w:pPr>
              <w:pStyle w:val="TableHeader"/>
              <w:spacing w:before="0" w:after="0" w:line="276" w:lineRule="auto"/>
              <w:ind w:firstLine="360"/>
              <w:rPr>
                <w:rFonts w:ascii="Times New Roman" w:hAnsi="Times New Roman"/>
                <w:szCs w:val="20"/>
              </w:rPr>
            </w:pPr>
            <w:r w:rsidRPr="00FE5CBB">
              <w:rPr>
                <w:rFonts w:ascii="Times New Roman" w:hAnsi="Times New Roman"/>
                <w:szCs w:val="20"/>
              </w:rPr>
              <w:t>Reference Loads (kW)</w:t>
            </w:r>
          </w:p>
        </w:tc>
      </w:tr>
      <w:tr w:rsidR="00F0094E" w:rsidRPr="00F0094E" w:rsidTr="00F0094E">
        <w:trPr>
          <w:trHeight w:val="285"/>
          <w:jc w:val="center"/>
        </w:trPr>
        <w:tc>
          <w:tcPr>
            <w:tcW w:w="1510" w:type="dxa"/>
            <w:vMerge/>
            <w:tcBorders>
              <w:top w:val="single" w:sz="4" w:space="0" w:color="auto"/>
              <w:left w:val="single" w:sz="4" w:space="0" w:color="auto"/>
              <w:bottom w:val="single" w:sz="4" w:space="0" w:color="000000"/>
              <w:right w:val="single" w:sz="4" w:space="0" w:color="FFFFFF"/>
            </w:tcBorders>
            <w:shd w:val="clear" w:color="auto" w:fill="1F497D" w:themeFill="text2"/>
            <w:vAlign w:val="center"/>
            <w:hideMark/>
          </w:tcPr>
          <w:p w:rsidR="00F0094E" w:rsidRPr="00FE5CBB" w:rsidRDefault="00F0094E" w:rsidP="00F0094E">
            <w:pPr>
              <w:pStyle w:val="TableHeader"/>
              <w:spacing w:before="0" w:after="0" w:line="276" w:lineRule="auto"/>
              <w:ind w:firstLine="360"/>
              <w:rPr>
                <w:rFonts w:ascii="Times New Roman" w:hAnsi="Times New Roman"/>
                <w:szCs w:val="20"/>
              </w:rPr>
            </w:pPr>
          </w:p>
        </w:tc>
        <w:tc>
          <w:tcPr>
            <w:tcW w:w="2475" w:type="dxa"/>
            <w:gridSpan w:val="2"/>
            <w:tcBorders>
              <w:top w:val="single" w:sz="4" w:space="0" w:color="FFFFFF"/>
              <w:left w:val="nil"/>
              <w:bottom w:val="single" w:sz="4" w:space="0" w:color="FFFFFF"/>
              <w:right w:val="single" w:sz="4" w:space="0" w:color="FFFFFF"/>
            </w:tcBorders>
            <w:shd w:val="clear" w:color="auto" w:fill="1F497D" w:themeFill="text2"/>
            <w:noWrap/>
            <w:vAlign w:val="center"/>
            <w:hideMark/>
          </w:tcPr>
          <w:p w:rsidR="00F0094E" w:rsidRPr="00FE5CBB" w:rsidRDefault="00F0094E" w:rsidP="00F0094E">
            <w:pPr>
              <w:pStyle w:val="TableHeader"/>
              <w:spacing w:before="0" w:after="0" w:line="276" w:lineRule="auto"/>
              <w:ind w:firstLine="360"/>
              <w:rPr>
                <w:rFonts w:ascii="Times New Roman" w:hAnsi="Times New Roman"/>
                <w:szCs w:val="20"/>
              </w:rPr>
            </w:pPr>
            <w:r w:rsidRPr="00FE5CBB">
              <w:rPr>
                <w:rFonts w:ascii="Times New Roman" w:hAnsi="Times New Roman"/>
                <w:szCs w:val="20"/>
              </w:rPr>
              <w:t>CAISO</w:t>
            </w:r>
          </w:p>
        </w:tc>
        <w:tc>
          <w:tcPr>
            <w:tcW w:w="2340" w:type="dxa"/>
            <w:gridSpan w:val="2"/>
            <w:tcBorders>
              <w:top w:val="single" w:sz="4" w:space="0" w:color="FFFFFF"/>
              <w:left w:val="nil"/>
              <w:bottom w:val="single" w:sz="4" w:space="0" w:color="FFFFFF"/>
              <w:right w:val="single" w:sz="4" w:space="0" w:color="000000"/>
            </w:tcBorders>
            <w:shd w:val="clear" w:color="auto" w:fill="1F497D" w:themeFill="text2"/>
            <w:noWrap/>
            <w:vAlign w:val="center"/>
            <w:hideMark/>
          </w:tcPr>
          <w:p w:rsidR="00F0094E" w:rsidRPr="00FE5CBB" w:rsidRDefault="00F0094E" w:rsidP="00F0094E">
            <w:pPr>
              <w:pStyle w:val="TableHeader"/>
              <w:spacing w:before="0" w:after="0" w:line="276" w:lineRule="auto"/>
              <w:ind w:firstLine="360"/>
              <w:rPr>
                <w:rFonts w:ascii="Times New Roman" w:hAnsi="Times New Roman"/>
                <w:szCs w:val="20"/>
              </w:rPr>
            </w:pPr>
            <w:r w:rsidRPr="00FE5CBB">
              <w:rPr>
                <w:rFonts w:ascii="Times New Roman" w:hAnsi="Times New Roman"/>
                <w:szCs w:val="20"/>
              </w:rPr>
              <w:t>SDG&amp;E</w:t>
            </w:r>
          </w:p>
        </w:tc>
      </w:tr>
      <w:tr w:rsidR="00F0094E" w:rsidRPr="00F0094E" w:rsidTr="00F0094E">
        <w:trPr>
          <w:trHeight w:val="285"/>
          <w:jc w:val="center"/>
        </w:trPr>
        <w:tc>
          <w:tcPr>
            <w:tcW w:w="1510" w:type="dxa"/>
            <w:vMerge/>
            <w:tcBorders>
              <w:top w:val="single" w:sz="4" w:space="0" w:color="auto"/>
              <w:left w:val="single" w:sz="4" w:space="0" w:color="auto"/>
              <w:bottom w:val="single" w:sz="4" w:space="0" w:color="000000"/>
              <w:right w:val="single" w:sz="4" w:space="0" w:color="FFFFFF"/>
            </w:tcBorders>
            <w:shd w:val="clear" w:color="auto" w:fill="1F497D" w:themeFill="text2"/>
            <w:vAlign w:val="center"/>
            <w:hideMark/>
          </w:tcPr>
          <w:p w:rsidR="00F0094E" w:rsidRPr="00FE5CBB" w:rsidRDefault="00F0094E" w:rsidP="00F0094E">
            <w:pPr>
              <w:pStyle w:val="TableHeader"/>
              <w:spacing w:before="0" w:after="0" w:line="276" w:lineRule="auto"/>
              <w:ind w:firstLine="360"/>
              <w:rPr>
                <w:rFonts w:ascii="Times New Roman" w:hAnsi="Times New Roman"/>
                <w:szCs w:val="20"/>
              </w:rPr>
            </w:pPr>
          </w:p>
        </w:tc>
        <w:tc>
          <w:tcPr>
            <w:tcW w:w="1125" w:type="dxa"/>
            <w:tcBorders>
              <w:top w:val="nil"/>
              <w:left w:val="nil"/>
              <w:bottom w:val="single" w:sz="4" w:space="0" w:color="auto"/>
              <w:right w:val="single" w:sz="4" w:space="0" w:color="FFFFFF"/>
            </w:tcBorders>
            <w:shd w:val="clear" w:color="auto" w:fill="1F497D" w:themeFill="text2"/>
            <w:noWrap/>
            <w:vAlign w:val="center"/>
            <w:hideMark/>
          </w:tcPr>
          <w:p w:rsidR="00F0094E" w:rsidRPr="00FE5CBB" w:rsidRDefault="00F0094E" w:rsidP="00C7586E">
            <w:pPr>
              <w:pStyle w:val="TableHeader"/>
              <w:spacing w:before="0" w:after="0" w:line="276" w:lineRule="auto"/>
              <w:rPr>
                <w:rFonts w:ascii="Times New Roman" w:hAnsi="Times New Roman"/>
                <w:szCs w:val="20"/>
              </w:rPr>
            </w:pPr>
            <w:r w:rsidRPr="00FE5CBB">
              <w:rPr>
                <w:rFonts w:ascii="Times New Roman" w:hAnsi="Times New Roman"/>
                <w:szCs w:val="20"/>
              </w:rPr>
              <w:t>1-in-2</w:t>
            </w:r>
          </w:p>
        </w:tc>
        <w:tc>
          <w:tcPr>
            <w:tcW w:w="1350" w:type="dxa"/>
            <w:tcBorders>
              <w:top w:val="nil"/>
              <w:left w:val="nil"/>
              <w:bottom w:val="single" w:sz="4" w:space="0" w:color="auto"/>
              <w:right w:val="single" w:sz="4" w:space="0" w:color="FFFFFF"/>
            </w:tcBorders>
            <w:shd w:val="clear" w:color="auto" w:fill="1F497D" w:themeFill="text2"/>
            <w:noWrap/>
            <w:vAlign w:val="center"/>
            <w:hideMark/>
          </w:tcPr>
          <w:p w:rsidR="00F0094E" w:rsidRPr="00FE5CBB" w:rsidRDefault="00F0094E" w:rsidP="00C7586E">
            <w:pPr>
              <w:pStyle w:val="TableHeader"/>
              <w:spacing w:before="0" w:after="0" w:line="276" w:lineRule="auto"/>
              <w:rPr>
                <w:rFonts w:ascii="Times New Roman" w:hAnsi="Times New Roman"/>
                <w:szCs w:val="20"/>
              </w:rPr>
            </w:pPr>
            <w:r w:rsidRPr="00FE5CBB">
              <w:rPr>
                <w:rFonts w:ascii="Times New Roman" w:hAnsi="Times New Roman"/>
                <w:szCs w:val="20"/>
              </w:rPr>
              <w:t>1-in-10</w:t>
            </w:r>
          </w:p>
        </w:tc>
        <w:tc>
          <w:tcPr>
            <w:tcW w:w="1158" w:type="dxa"/>
            <w:tcBorders>
              <w:top w:val="nil"/>
              <w:left w:val="nil"/>
              <w:bottom w:val="single" w:sz="4" w:space="0" w:color="auto"/>
              <w:right w:val="single" w:sz="4" w:space="0" w:color="FFFFFF"/>
            </w:tcBorders>
            <w:shd w:val="clear" w:color="auto" w:fill="1F497D" w:themeFill="text2"/>
            <w:noWrap/>
            <w:vAlign w:val="center"/>
            <w:hideMark/>
          </w:tcPr>
          <w:p w:rsidR="00F0094E" w:rsidRPr="00FE5CBB" w:rsidRDefault="00F0094E" w:rsidP="00C7586E">
            <w:pPr>
              <w:pStyle w:val="TableHeader"/>
              <w:spacing w:before="0" w:after="0" w:line="276" w:lineRule="auto"/>
              <w:rPr>
                <w:rFonts w:ascii="Times New Roman" w:hAnsi="Times New Roman"/>
                <w:szCs w:val="20"/>
              </w:rPr>
            </w:pPr>
            <w:r w:rsidRPr="00FE5CBB">
              <w:rPr>
                <w:rFonts w:ascii="Times New Roman" w:hAnsi="Times New Roman"/>
                <w:szCs w:val="20"/>
              </w:rPr>
              <w:t>1-in-2</w:t>
            </w:r>
          </w:p>
        </w:tc>
        <w:tc>
          <w:tcPr>
            <w:tcW w:w="1182" w:type="dxa"/>
            <w:tcBorders>
              <w:top w:val="nil"/>
              <w:left w:val="nil"/>
              <w:bottom w:val="single" w:sz="4" w:space="0" w:color="auto"/>
              <w:right w:val="single" w:sz="4" w:space="0" w:color="auto"/>
            </w:tcBorders>
            <w:shd w:val="clear" w:color="auto" w:fill="1F497D" w:themeFill="text2"/>
            <w:noWrap/>
            <w:vAlign w:val="center"/>
            <w:hideMark/>
          </w:tcPr>
          <w:p w:rsidR="00F0094E" w:rsidRPr="00FE5CBB" w:rsidRDefault="00F0094E" w:rsidP="00C7586E">
            <w:pPr>
              <w:pStyle w:val="TableHeader"/>
              <w:spacing w:before="0" w:after="0" w:line="276" w:lineRule="auto"/>
              <w:rPr>
                <w:rFonts w:ascii="Times New Roman" w:hAnsi="Times New Roman"/>
                <w:szCs w:val="20"/>
              </w:rPr>
            </w:pPr>
            <w:r w:rsidRPr="00FE5CBB">
              <w:rPr>
                <w:rFonts w:ascii="Times New Roman" w:hAnsi="Times New Roman"/>
                <w:szCs w:val="20"/>
              </w:rPr>
              <w:t>1-in-10</w:t>
            </w:r>
          </w:p>
        </w:tc>
      </w:tr>
      <w:tr w:rsidR="00F0094E" w:rsidRPr="00F0094E" w:rsidTr="00F0094E">
        <w:trPr>
          <w:trHeight w:val="285"/>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5CBB" w:rsidRDefault="00F0094E" w:rsidP="00C7586E">
            <w:pPr>
              <w:pStyle w:val="TableText"/>
              <w:spacing w:before="0" w:after="0" w:line="276" w:lineRule="auto"/>
              <w:contextualSpacing/>
              <w:rPr>
                <w:rFonts w:ascii="Times New Roman" w:hAnsi="Times New Roman"/>
                <w:color w:val="000000" w:themeColor="text1"/>
                <w:sz w:val="20"/>
                <w:szCs w:val="20"/>
              </w:rPr>
            </w:pPr>
            <w:r w:rsidRPr="00FE5CBB">
              <w:rPr>
                <w:rFonts w:ascii="Times New Roman" w:hAnsi="Times New Roman"/>
                <w:color w:val="000000" w:themeColor="text1"/>
                <w:sz w:val="20"/>
                <w:szCs w:val="20"/>
              </w:rPr>
              <w:t>January</w:t>
            </w:r>
          </w:p>
        </w:tc>
        <w:tc>
          <w:tcPr>
            <w:tcW w:w="1125"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2.05</w:t>
            </w:r>
          </w:p>
        </w:tc>
        <w:tc>
          <w:tcPr>
            <w:tcW w:w="1350"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2.05</w:t>
            </w:r>
          </w:p>
        </w:tc>
        <w:tc>
          <w:tcPr>
            <w:tcW w:w="1158"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2.05</w:t>
            </w:r>
          </w:p>
        </w:tc>
        <w:tc>
          <w:tcPr>
            <w:tcW w:w="1182"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2.05</w:t>
            </w:r>
          </w:p>
        </w:tc>
      </w:tr>
      <w:tr w:rsidR="00F0094E" w:rsidRPr="00F0094E" w:rsidTr="00F0094E">
        <w:trPr>
          <w:trHeight w:val="285"/>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5CBB" w:rsidRDefault="00F0094E" w:rsidP="00C7586E">
            <w:pPr>
              <w:pStyle w:val="TableText"/>
              <w:spacing w:before="0" w:after="0" w:line="276" w:lineRule="auto"/>
              <w:contextualSpacing/>
              <w:rPr>
                <w:rFonts w:ascii="Times New Roman" w:hAnsi="Times New Roman"/>
                <w:color w:val="000000" w:themeColor="text1"/>
                <w:sz w:val="20"/>
                <w:szCs w:val="20"/>
              </w:rPr>
            </w:pPr>
            <w:r w:rsidRPr="00FE5CBB">
              <w:rPr>
                <w:rFonts w:ascii="Times New Roman" w:hAnsi="Times New Roman"/>
                <w:color w:val="000000" w:themeColor="text1"/>
                <w:sz w:val="20"/>
                <w:szCs w:val="20"/>
              </w:rPr>
              <w:t>February</w:t>
            </w:r>
          </w:p>
        </w:tc>
        <w:tc>
          <w:tcPr>
            <w:tcW w:w="1125"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2.03</w:t>
            </w:r>
          </w:p>
        </w:tc>
        <w:tc>
          <w:tcPr>
            <w:tcW w:w="1350"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2.03</w:t>
            </w:r>
          </w:p>
        </w:tc>
        <w:tc>
          <w:tcPr>
            <w:tcW w:w="1158"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2.03</w:t>
            </w:r>
          </w:p>
        </w:tc>
        <w:tc>
          <w:tcPr>
            <w:tcW w:w="1182"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2.03</w:t>
            </w:r>
          </w:p>
        </w:tc>
      </w:tr>
      <w:tr w:rsidR="00F0094E" w:rsidRPr="00F0094E" w:rsidTr="00F0094E">
        <w:trPr>
          <w:trHeight w:val="285"/>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5CBB" w:rsidRDefault="00F0094E" w:rsidP="00C7586E">
            <w:pPr>
              <w:pStyle w:val="TableText"/>
              <w:spacing w:before="0" w:after="0" w:line="276" w:lineRule="auto"/>
              <w:contextualSpacing/>
              <w:rPr>
                <w:rFonts w:ascii="Times New Roman" w:hAnsi="Times New Roman"/>
                <w:color w:val="000000" w:themeColor="text1"/>
                <w:sz w:val="20"/>
                <w:szCs w:val="20"/>
              </w:rPr>
            </w:pPr>
            <w:r w:rsidRPr="00FE5CBB">
              <w:rPr>
                <w:rFonts w:ascii="Times New Roman" w:hAnsi="Times New Roman"/>
                <w:color w:val="000000" w:themeColor="text1"/>
                <w:sz w:val="20"/>
                <w:szCs w:val="20"/>
              </w:rPr>
              <w:t>March</w:t>
            </w:r>
          </w:p>
        </w:tc>
        <w:tc>
          <w:tcPr>
            <w:tcW w:w="1125"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2.00</w:t>
            </w:r>
          </w:p>
        </w:tc>
        <w:tc>
          <w:tcPr>
            <w:tcW w:w="1350"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2.13</w:t>
            </w:r>
          </w:p>
        </w:tc>
        <w:tc>
          <w:tcPr>
            <w:tcW w:w="1158"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2.00</w:t>
            </w:r>
          </w:p>
        </w:tc>
        <w:tc>
          <w:tcPr>
            <w:tcW w:w="1182"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2.09</w:t>
            </w:r>
          </w:p>
        </w:tc>
      </w:tr>
      <w:tr w:rsidR="00F0094E" w:rsidRPr="00F0094E" w:rsidTr="00F0094E">
        <w:trPr>
          <w:trHeight w:val="285"/>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5CBB" w:rsidRDefault="00F0094E" w:rsidP="00C7586E">
            <w:pPr>
              <w:pStyle w:val="TableText"/>
              <w:spacing w:before="0" w:after="0" w:line="276" w:lineRule="auto"/>
              <w:contextualSpacing/>
              <w:rPr>
                <w:rFonts w:ascii="Times New Roman" w:hAnsi="Times New Roman"/>
                <w:color w:val="000000" w:themeColor="text1"/>
                <w:sz w:val="20"/>
                <w:szCs w:val="20"/>
              </w:rPr>
            </w:pPr>
            <w:r w:rsidRPr="00FE5CBB">
              <w:rPr>
                <w:rFonts w:ascii="Times New Roman" w:hAnsi="Times New Roman"/>
                <w:color w:val="000000" w:themeColor="text1"/>
                <w:sz w:val="20"/>
                <w:szCs w:val="20"/>
              </w:rPr>
              <w:t>April</w:t>
            </w:r>
          </w:p>
        </w:tc>
        <w:tc>
          <w:tcPr>
            <w:tcW w:w="1125"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1.97</w:t>
            </w:r>
          </w:p>
        </w:tc>
        <w:tc>
          <w:tcPr>
            <w:tcW w:w="1350"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2.22</w:t>
            </w:r>
          </w:p>
        </w:tc>
        <w:tc>
          <w:tcPr>
            <w:tcW w:w="1158"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2.01</w:t>
            </w:r>
          </w:p>
        </w:tc>
        <w:tc>
          <w:tcPr>
            <w:tcW w:w="1182"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2.29</w:t>
            </w:r>
          </w:p>
        </w:tc>
      </w:tr>
      <w:tr w:rsidR="00F0094E" w:rsidRPr="00F0094E" w:rsidTr="00F0094E">
        <w:trPr>
          <w:trHeight w:val="285"/>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5CBB" w:rsidRDefault="00F0094E" w:rsidP="00C7586E">
            <w:pPr>
              <w:pStyle w:val="TableText"/>
              <w:spacing w:before="0" w:after="0" w:line="276" w:lineRule="auto"/>
              <w:contextualSpacing/>
              <w:rPr>
                <w:rFonts w:ascii="Times New Roman" w:hAnsi="Times New Roman"/>
                <w:color w:val="000000" w:themeColor="text1"/>
                <w:sz w:val="20"/>
                <w:szCs w:val="20"/>
              </w:rPr>
            </w:pPr>
            <w:r w:rsidRPr="00FE5CBB">
              <w:rPr>
                <w:rFonts w:ascii="Times New Roman" w:hAnsi="Times New Roman"/>
                <w:color w:val="000000" w:themeColor="text1"/>
                <w:sz w:val="20"/>
                <w:szCs w:val="20"/>
              </w:rPr>
              <w:t>May</w:t>
            </w:r>
          </w:p>
        </w:tc>
        <w:tc>
          <w:tcPr>
            <w:tcW w:w="1125"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2.48</w:t>
            </w:r>
          </w:p>
        </w:tc>
        <w:tc>
          <w:tcPr>
            <w:tcW w:w="1350"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2.95</w:t>
            </w:r>
          </w:p>
        </w:tc>
        <w:tc>
          <w:tcPr>
            <w:tcW w:w="1158"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2.64</w:t>
            </w:r>
          </w:p>
        </w:tc>
        <w:tc>
          <w:tcPr>
            <w:tcW w:w="1182"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3.08</w:t>
            </w:r>
          </w:p>
        </w:tc>
      </w:tr>
      <w:tr w:rsidR="00F0094E" w:rsidRPr="00F0094E" w:rsidTr="00F0094E">
        <w:trPr>
          <w:trHeight w:val="285"/>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5CBB" w:rsidRDefault="00F0094E" w:rsidP="00C7586E">
            <w:pPr>
              <w:pStyle w:val="TableText"/>
              <w:spacing w:before="0" w:after="0" w:line="276" w:lineRule="auto"/>
              <w:contextualSpacing/>
              <w:rPr>
                <w:rFonts w:ascii="Times New Roman" w:hAnsi="Times New Roman"/>
                <w:color w:val="000000" w:themeColor="text1"/>
                <w:sz w:val="20"/>
                <w:szCs w:val="20"/>
              </w:rPr>
            </w:pPr>
            <w:r w:rsidRPr="00FE5CBB">
              <w:rPr>
                <w:rFonts w:ascii="Times New Roman" w:hAnsi="Times New Roman"/>
                <w:color w:val="000000" w:themeColor="text1"/>
                <w:sz w:val="20"/>
                <w:szCs w:val="20"/>
              </w:rPr>
              <w:t>June</w:t>
            </w:r>
          </w:p>
        </w:tc>
        <w:tc>
          <w:tcPr>
            <w:tcW w:w="1125"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2.84</w:t>
            </w:r>
          </w:p>
        </w:tc>
        <w:tc>
          <w:tcPr>
            <w:tcW w:w="1350"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3.12</w:t>
            </w:r>
          </w:p>
        </w:tc>
        <w:tc>
          <w:tcPr>
            <w:tcW w:w="1158"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2.83</w:t>
            </w:r>
          </w:p>
        </w:tc>
        <w:tc>
          <w:tcPr>
            <w:tcW w:w="1182"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3.13</w:t>
            </w:r>
          </w:p>
        </w:tc>
      </w:tr>
      <w:tr w:rsidR="00F0094E" w:rsidRPr="00F0094E" w:rsidTr="00F0094E">
        <w:trPr>
          <w:trHeight w:val="285"/>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5CBB" w:rsidRDefault="00F0094E" w:rsidP="00C7586E">
            <w:pPr>
              <w:pStyle w:val="TableText"/>
              <w:spacing w:before="0" w:after="0" w:line="276" w:lineRule="auto"/>
              <w:contextualSpacing/>
              <w:rPr>
                <w:rFonts w:ascii="Times New Roman" w:hAnsi="Times New Roman"/>
                <w:color w:val="000000" w:themeColor="text1"/>
                <w:sz w:val="20"/>
                <w:szCs w:val="20"/>
              </w:rPr>
            </w:pPr>
            <w:r w:rsidRPr="00FE5CBB">
              <w:rPr>
                <w:rFonts w:ascii="Times New Roman" w:hAnsi="Times New Roman"/>
                <w:color w:val="000000" w:themeColor="text1"/>
                <w:sz w:val="20"/>
                <w:szCs w:val="20"/>
              </w:rPr>
              <w:t>July</w:t>
            </w:r>
          </w:p>
        </w:tc>
        <w:tc>
          <w:tcPr>
            <w:tcW w:w="1125"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3.07</w:t>
            </w:r>
          </w:p>
        </w:tc>
        <w:tc>
          <w:tcPr>
            <w:tcW w:w="1350"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3.18</w:t>
            </w:r>
          </w:p>
        </w:tc>
        <w:tc>
          <w:tcPr>
            <w:tcW w:w="1158"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3.08</w:t>
            </w:r>
          </w:p>
        </w:tc>
        <w:tc>
          <w:tcPr>
            <w:tcW w:w="1182"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3.42</w:t>
            </w:r>
          </w:p>
        </w:tc>
      </w:tr>
      <w:tr w:rsidR="00F0094E" w:rsidRPr="00F0094E" w:rsidTr="00F0094E">
        <w:trPr>
          <w:trHeight w:val="285"/>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5CBB" w:rsidRDefault="00F0094E" w:rsidP="00C7586E">
            <w:pPr>
              <w:pStyle w:val="TableText"/>
              <w:spacing w:before="0" w:after="0" w:line="276" w:lineRule="auto"/>
              <w:contextualSpacing/>
              <w:rPr>
                <w:rFonts w:ascii="Times New Roman" w:hAnsi="Times New Roman"/>
                <w:color w:val="000000" w:themeColor="text1"/>
                <w:sz w:val="20"/>
                <w:szCs w:val="20"/>
              </w:rPr>
            </w:pPr>
            <w:r w:rsidRPr="00FE5CBB">
              <w:rPr>
                <w:rFonts w:ascii="Times New Roman" w:hAnsi="Times New Roman"/>
                <w:color w:val="000000" w:themeColor="text1"/>
                <w:sz w:val="20"/>
                <w:szCs w:val="20"/>
              </w:rPr>
              <w:t>August</w:t>
            </w:r>
          </w:p>
        </w:tc>
        <w:tc>
          <w:tcPr>
            <w:tcW w:w="1125"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3.47</w:t>
            </w:r>
          </w:p>
        </w:tc>
        <w:tc>
          <w:tcPr>
            <w:tcW w:w="1350"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3.51</w:t>
            </w:r>
          </w:p>
        </w:tc>
        <w:tc>
          <w:tcPr>
            <w:tcW w:w="1158"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3.40</w:t>
            </w:r>
          </w:p>
        </w:tc>
        <w:tc>
          <w:tcPr>
            <w:tcW w:w="1182"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3.66</w:t>
            </w:r>
          </w:p>
        </w:tc>
      </w:tr>
      <w:tr w:rsidR="00F0094E" w:rsidRPr="00F0094E" w:rsidTr="00F0094E">
        <w:trPr>
          <w:trHeight w:val="285"/>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5CBB" w:rsidRDefault="00F0094E" w:rsidP="00C7586E">
            <w:pPr>
              <w:pStyle w:val="TableText"/>
              <w:spacing w:before="0" w:after="0" w:line="276" w:lineRule="auto"/>
              <w:contextualSpacing/>
              <w:rPr>
                <w:rFonts w:ascii="Times New Roman" w:hAnsi="Times New Roman"/>
                <w:color w:val="000000" w:themeColor="text1"/>
                <w:sz w:val="20"/>
                <w:szCs w:val="20"/>
              </w:rPr>
            </w:pPr>
            <w:r w:rsidRPr="00FE5CBB">
              <w:rPr>
                <w:rFonts w:ascii="Times New Roman" w:hAnsi="Times New Roman"/>
                <w:color w:val="000000" w:themeColor="text1"/>
                <w:sz w:val="20"/>
                <w:szCs w:val="20"/>
              </w:rPr>
              <w:t>September</w:t>
            </w:r>
          </w:p>
        </w:tc>
        <w:tc>
          <w:tcPr>
            <w:tcW w:w="1125"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3.46</w:t>
            </w:r>
          </w:p>
        </w:tc>
        <w:tc>
          <w:tcPr>
            <w:tcW w:w="1350"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3.77</w:t>
            </w:r>
          </w:p>
        </w:tc>
        <w:tc>
          <w:tcPr>
            <w:tcW w:w="1158"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3.42</w:t>
            </w:r>
          </w:p>
        </w:tc>
        <w:tc>
          <w:tcPr>
            <w:tcW w:w="1182"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3.74</w:t>
            </w:r>
          </w:p>
        </w:tc>
      </w:tr>
      <w:tr w:rsidR="00F0094E" w:rsidRPr="00F0094E" w:rsidTr="00F0094E">
        <w:trPr>
          <w:trHeight w:val="285"/>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5CBB" w:rsidRDefault="00F0094E" w:rsidP="00C7586E">
            <w:pPr>
              <w:pStyle w:val="TableText"/>
              <w:spacing w:before="0" w:after="0" w:line="276" w:lineRule="auto"/>
              <w:contextualSpacing/>
              <w:rPr>
                <w:rFonts w:ascii="Times New Roman" w:hAnsi="Times New Roman"/>
                <w:color w:val="000000" w:themeColor="text1"/>
                <w:sz w:val="20"/>
                <w:szCs w:val="20"/>
              </w:rPr>
            </w:pPr>
            <w:r w:rsidRPr="00FE5CBB">
              <w:rPr>
                <w:rFonts w:ascii="Times New Roman" w:hAnsi="Times New Roman"/>
                <w:color w:val="000000" w:themeColor="text1"/>
                <w:sz w:val="20"/>
                <w:szCs w:val="20"/>
              </w:rPr>
              <w:t>October</w:t>
            </w:r>
          </w:p>
        </w:tc>
        <w:tc>
          <w:tcPr>
            <w:tcW w:w="1125"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3.09</w:t>
            </w:r>
          </w:p>
        </w:tc>
        <w:tc>
          <w:tcPr>
            <w:tcW w:w="1350"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3.41</w:t>
            </w:r>
          </w:p>
        </w:tc>
        <w:tc>
          <w:tcPr>
            <w:tcW w:w="1158"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3.20</w:t>
            </w:r>
          </w:p>
        </w:tc>
        <w:tc>
          <w:tcPr>
            <w:tcW w:w="1182"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3.53</w:t>
            </w:r>
          </w:p>
        </w:tc>
      </w:tr>
      <w:tr w:rsidR="00F0094E" w:rsidRPr="00F0094E" w:rsidTr="00F0094E">
        <w:trPr>
          <w:trHeight w:val="285"/>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5CBB" w:rsidRDefault="00F0094E" w:rsidP="00C7586E">
            <w:pPr>
              <w:pStyle w:val="TableText"/>
              <w:spacing w:before="0" w:after="0" w:line="276" w:lineRule="auto"/>
              <w:contextualSpacing/>
              <w:rPr>
                <w:rFonts w:ascii="Times New Roman" w:hAnsi="Times New Roman"/>
                <w:color w:val="000000" w:themeColor="text1"/>
                <w:sz w:val="20"/>
                <w:szCs w:val="20"/>
              </w:rPr>
            </w:pPr>
            <w:r w:rsidRPr="00FE5CBB">
              <w:rPr>
                <w:rFonts w:ascii="Times New Roman" w:hAnsi="Times New Roman"/>
                <w:color w:val="000000" w:themeColor="text1"/>
                <w:sz w:val="20"/>
                <w:szCs w:val="20"/>
              </w:rPr>
              <w:t>November</w:t>
            </w:r>
          </w:p>
        </w:tc>
        <w:tc>
          <w:tcPr>
            <w:tcW w:w="1125"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2.10</w:t>
            </w:r>
          </w:p>
        </w:tc>
        <w:tc>
          <w:tcPr>
            <w:tcW w:w="1350"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2.25</w:t>
            </w:r>
          </w:p>
        </w:tc>
        <w:tc>
          <w:tcPr>
            <w:tcW w:w="1158"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2.12</w:t>
            </w:r>
          </w:p>
        </w:tc>
        <w:tc>
          <w:tcPr>
            <w:tcW w:w="1182"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2.32</w:t>
            </w:r>
          </w:p>
        </w:tc>
      </w:tr>
      <w:tr w:rsidR="00F0094E" w:rsidRPr="00F0094E" w:rsidTr="00F0094E">
        <w:trPr>
          <w:trHeight w:val="285"/>
          <w:jc w:val="center"/>
        </w:trPr>
        <w:tc>
          <w:tcPr>
            <w:tcW w:w="151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5CBB" w:rsidRDefault="00F0094E" w:rsidP="00C7586E">
            <w:pPr>
              <w:pStyle w:val="TableText"/>
              <w:spacing w:before="0" w:after="0" w:line="276" w:lineRule="auto"/>
              <w:contextualSpacing/>
              <w:rPr>
                <w:rFonts w:ascii="Times New Roman" w:hAnsi="Times New Roman"/>
                <w:color w:val="000000" w:themeColor="text1"/>
                <w:sz w:val="20"/>
                <w:szCs w:val="20"/>
              </w:rPr>
            </w:pPr>
            <w:r w:rsidRPr="00FE5CBB">
              <w:rPr>
                <w:rFonts w:ascii="Times New Roman" w:hAnsi="Times New Roman"/>
                <w:color w:val="000000" w:themeColor="text1"/>
                <w:sz w:val="20"/>
                <w:szCs w:val="20"/>
              </w:rPr>
              <w:t>December</w:t>
            </w:r>
          </w:p>
        </w:tc>
        <w:tc>
          <w:tcPr>
            <w:tcW w:w="1125"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2.05</w:t>
            </w:r>
          </w:p>
        </w:tc>
        <w:tc>
          <w:tcPr>
            <w:tcW w:w="1350"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2.05</w:t>
            </w:r>
          </w:p>
        </w:tc>
        <w:tc>
          <w:tcPr>
            <w:tcW w:w="1158"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2.05</w:t>
            </w:r>
          </w:p>
        </w:tc>
        <w:tc>
          <w:tcPr>
            <w:tcW w:w="1182" w:type="dxa"/>
            <w:tcBorders>
              <w:top w:val="nil"/>
              <w:left w:val="nil"/>
              <w:bottom w:val="single" w:sz="4" w:space="0" w:color="auto"/>
              <w:right w:val="single" w:sz="4" w:space="0" w:color="auto"/>
            </w:tcBorders>
            <w:shd w:val="clear" w:color="auto" w:fill="auto"/>
            <w:noWrap/>
            <w:hideMark/>
          </w:tcPr>
          <w:p w:rsidR="00F0094E" w:rsidRPr="00FE5CBB" w:rsidRDefault="00F0094E" w:rsidP="00C7586E">
            <w:pPr>
              <w:contextualSpacing/>
              <w:jc w:val="center"/>
              <w:rPr>
                <w:color w:val="000000" w:themeColor="text1"/>
                <w:sz w:val="20"/>
                <w:szCs w:val="20"/>
              </w:rPr>
            </w:pPr>
            <w:r w:rsidRPr="00FE5CBB">
              <w:rPr>
                <w:color w:val="000000" w:themeColor="text1"/>
                <w:sz w:val="20"/>
                <w:szCs w:val="20"/>
              </w:rPr>
              <w:t>2.05</w:t>
            </w:r>
          </w:p>
        </w:tc>
      </w:tr>
    </w:tbl>
    <w:p w:rsidR="00F0094E" w:rsidRPr="000D3BA6" w:rsidRDefault="00F0094E" w:rsidP="00C7586E">
      <w:pPr>
        <w:pStyle w:val="BodyParagraph"/>
        <w:spacing w:after="0" w:line="276" w:lineRule="auto"/>
        <w:ind w:firstLine="360"/>
        <w:jc w:val="center"/>
        <w:rPr>
          <w:rFonts w:ascii="Times New Roman" w:hAnsi="Times New Roman"/>
          <w:sz w:val="24"/>
          <w:szCs w:val="24"/>
        </w:rPr>
      </w:pPr>
    </w:p>
    <w:p w:rsidR="00F0094E" w:rsidRPr="00E32D76" w:rsidRDefault="00F0094E" w:rsidP="003562F8">
      <w:pPr>
        <w:pStyle w:val="Heading2"/>
        <w:numPr>
          <w:ilvl w:val="1"/>
          <w:numId w:val="40"/>
        </w:numPr>
        <w:spacing w:before="0" w:after="0" w:line="276" w:lineRule="auto"/>
        <w:ind w:left="0" w:firstLine="0"/>
        <w:rPr>
          <w:rFonts w:ascii="Times New Roman" w:hAnsi="Times New Roman" w:cs="Times New Roman"/>
          <w:i w:val="0"/>
          <w:szCs w:val="24"/>
        </w:rPr>
      </w:pPr>
      <w:r w:rsidRPr="00E32D76">
        <w:rPr>
          <w:rFonts w:ascii="Times New Roman" w:hAnsi="Times New Roman" w:cs="Times New Roman"/>
          <w:szCs w:val="24"/>
        </w:rPr>
        <w:t xml:space="preserve"> </w:t>
      </w:r>
      <w:bookmarkStart w:id="271" w:name="_Toc447179851"/>
      <w:r w:rsidRPr="00E32D76">
        <w:rPr>
          <w:rFonts w:ascii="Times New Roman" w:hAnsi="Times New Roman" w:cs="Times New Roman"/>
          <w:szCs w:val="24"/>
        </w:rPr>
        <w:t>Small Commercial SPP Rates Ex</w:t>
      </w:r>
      <w:r w:rsidR="00111C59">
        <w:rPr>
          <w:rFonts w:ascii="Times New Roman" w:hAnsi="Times New Roman" w:cs="Times New Roman"/>
          <w:szCs w:val="24"/>
        </w:rPr>
        <w:t>-</w:t>
      </w:r>
      <w:r w:rsidRPr="00E32D76">
        <w:rPr>
          <w:rFonts w:ascii="Times New Roman" w:hAnsi="Times New Roman" w:cs="Times New Roman"/>
          <w:szCs w:val="24"/>
        </w:rPr>
        <w:t xml:space="preserve">Ante Load Impact </w:t>
      </w:r>
      <w:r w:rsidR="00111C59">
        <w:rPr>
          <w:rFonts w:ascii="Times New Roman" w:hAnsi="Times New Roman" w:cs="Times New Roman"/>
          <w:szCs w:val="24"/>
        </w:rPr>
        <w:t>Estimates</w:t>
      </w:r>
      <w:bookmarkEnd w:id="271"/>
    </w:p>
    <w:p w:rsidR="00F0094E" w:rsidRDefault="00F0094E" w:rsidP="00F0094E">
      <w:pPr>
        <w:pStyle w:val="BodyParagraph"/>
        <w:spacing w:after="0" w:line="276" w:lineRule="auto"/>
        <w:ind w:firstLine="360"/>
        <w:rPr>
          <w:rFonts w:ascii="Times New Roman" w:hAnsi="Times New Roman"/>
          <w:noProof/>
          <w:sz w:val="24"/>
          <w:szCs w:val="24"/>
        </w:rPr>
      </w:pPr>
    </w:p>
    <w:p w:rsidR="00F0094E" w:rsidRPr="00B777EF" w:rsidRDefault="00F0094E" w:rsidP="00F0094E">
      <w:pPr>
        <w:pStyle w:val="BodyParagraph"/>
        <w:spacing w:after="0" w:line="276" w:lineRule="auto"/>
        <w:ind w:firstLine="360"/>
        <w:rPr>
          <w:rFonts w:ascii="Times New Roman" w:hAnsi="Times New Roman"/>
          <w:noProof/>
          <w:color w:val="000000" w:themeColor="text1"/>
          <w:sz w:val="24"/>
          <w:szCs w:val="24"/>
        </w:rPr>
      </w:pPr>
      <w:r w:rsidRPr="00B777EF">
        <w:rPr>
          <w:rFonts w:ascii="Times New Roman" w:hAnsi="Times New Roman"/>
          <w:noProof/>
          <w:color w:val="000000" w:themeColor="text1"/>
          <w:sz w:val="24"/>
          <w:szCs w:val="24"/>
        </w:rPr>
        <w:t xml:space="preserve">This section presents the results of the </w:t>
      </w:r>
      <w:r w:rsidR="008C46A8" w:rsidRPr="00B777EF">
        <w:rPr>
          <w:rFonts w:ascii="Times New Roman" w:hAnsi="Times New Roman"/>
          <w:noProof/>
          <w:color w:val="000000" w:themeColor="text1"/>
          <w:sz w:val="24"/>
          <w:szCs w:val="24"/>
        </w:rPr>
        <w:t>ex-ante</w:t>
      </w:r>
      <w:r w:rsidRPr="00B777EF">
        <w:rPr>
          <w:rFonts w:ascii="Times New Roman" w:hAnsi="Times New Roman"/>
          <w:noProof/>
          <w:color w:val="000000" w:themeColor="text1"/>
          <w:sz w:val="24"/>
          <w:szCs w:val="24"/>
        </w:rPr>
        <w:t xml:space="preserve"> impact evaluation and the aggregate forecast for the small commercial customers that are on the TOU and TOU-CPP rates.</w:t>
      </w:r>
    </w:p>
    <w:p w:rsidR="00F0094E" w:rsidRPr="00F0094E" w:rsidRDefault="00F0094E" w:rsidP="00F0094E">
      <w:pPr>
        <w:pStyle w:val="BodyParagraph"/>
        <w:spacing w:after="0" w:line="276" w:lineRule="auto"/>
        <w:ind w:firstLine="360"/>
        <w:rPr>
          <w:rFonts w:ascii="Times New Roman" w:hAnsi="Times New Roman"/>
          <w:color w:val="0000CC"/>
          <w:sz w:val="24"/>
          <w:szCs w:val="24"/>
        </w:rPr>
      </w:pPr>
    </w:p>
    <w:p w:rsidR="00F0094E" w:rsidRPr="00E32D76" w:rsidRDefault="00F0094E" w:rsidP="003562F8">
      <w:pPr>
        <w:pStyle w:val="Heading3"/>
        <w:keepLines/>
        <w:numPr>
          <w:ilvl w:val="2"/>
          <w:numId w:val="40"/>
        </w:numPr>
        <w:spacing w:before="0" w:after="0" w:line="276" w:lineRule="auto"/>
        <w:ind w:left="630" w:hanging="630"/>
        <w:rPr>
          <w:rFonts w:ascii="Times New Roman" w:hAnsi="Times New Roman" w:cs="Times New Roman"/>
          <w:szCs w:val="24"/>
        </w:rPr>
      </w:pPr>
      <w:bookmarkStart w:id="272" w:name="_Toc447179852"/>
      <w:r w:rsidRPr="00E32D76">
        <w:rPr>
          <w:rFonts w:ascii="Times New Roman" w:hAnsi="Times New Roman" w:cs="Times New Roman"/>
          <w:szCs w:val="24"/>
        </w:rPr>
        <w:lastRenderedPageBreak/>
        <w:t xml:space="preserve">TOU </w:t>
      </w:r>
      <w:r w:rsidR="00111C59" w:rsidRPr="00111C59">
        <w:rPr>
          <w:rFonts w:ascii="Times New Roman" w:hAnsi="Times New Roman" w:cs="Times New Roman"/>
          <w:szCs w:val="24"/>
        </w:rPr>
        <w:t>Ex-Ante Load Impact Estimates</w:t>
      </w:r>
      <w:bookmarkEnd w:id="272"/>
    </w:p>
    <w:p w:rsidR="00F0094E" w:rsidRDefault="00F0094E" w:rsidP="00F0094E">
      <w:pPr>
        <w:pStyle w:val="BodyParagraph"/>
        <w:spacing w:after="0" w:line="276" w:lineRule="auto"/>
        <w:ind w:firstLine="360"/>
        <w:rPr>
          <w:rFonts w:ascii="Times New Roman" w:hAnsi="Times New Roman"/>
          <w:sz w:val="24"/>
          <w:szCs w:val="24"/>
        </w:rPr>
      </w:pPr>
    </w:p>
    <w:p w:rsidR="00F0094E" w:rsidRPr="00B777EF" w:rsidRDefault="00F0094E" w:rsidP="00F0094E">
      <w:pPr>
        <w:pStyle w:val="BodyParaAfterTableFigure"/>
        <w:spacing w:before="0"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Aggregate impacts for each month of the year are presented in </w:t>
      </w:r>
      <w:r w:rsidR="00260B68" w:rsidRPr="00260B68">
        <w:rPr>
          <w:rFonts w:ascii="Times New Roman" w:hAnsi="Times New Roman"/>
          <w:color w:val="000000" w:themeColor="text1"/>
          <w:sz w:val="22"/>
        </w:rPr>
        <w:t>Table 9-</w:t>
      </w:r>
      <w:r w:rsidR="0024252A">
        <w:rPr>
          <w:rFonts w:ascii="Times New Roman" w:hAnsi="Times New Roman"/>
          <w:color w:val="000000" w:themeColor="text1"/>
          <w:sz w:val="22"/>
        </w:rPr>
        <w:t>4</w:t>
      </w:r>
      <w:r w:rsidRPr="00B777EF">
        <w:rPr>
          <w:rFonts w:ascii="Times New Roman" w:hAnsi="Times New Roman"/>
          <w:color w:val="000000" w:themeColor="text1"/>
          <w:sz w:val="24"/>
          <w:szCs w:val="24"/>
        </w:rPr>
        <w:fldChar w:fldCharType="begin"/>
      </w:r>
      <w:r w:rsidRPr="00B777EF">
        <w:rPr>
          <w:rFonts w:ascii="Times New Roman" w:hAnsi="Times New Roman"/>
          <w:color w:val="000000" w:themeColor="text1"/>
          <w:sz w:val="24"/>
          <w:szCs w:val="24"/>
        </w:rPr>
        <w:instrText xml:space="preserve"> REF _Ref446060161 \h  \* MERGEFORMAT </w:instrText>
      </w:r>
      <w:r w:rsidRPr="00B777EF">
        <w:rPr>
          <w:rFonts w:ascii="Times New Roman" w:hAnsi="Times New Roman"/>
          <w:color w:val="000000" w:themeColor="text1"/>
          <w:sz w:val="24"/>
          <w:szCs w:val="24"/>
        </w:rPr>
      </w:r>
      <w:r w:rsidRPr="00B777EF">
        <w:rPr>
          <w:rFonts w:ascii="Times New Roman" w:hAnsi="Times New Roman"/>
          <w:color w:val="000000" w:themeColor="text1"/>
          <w:sz w:val="24"/>
          <w:szCs w:val="24"/>
        </w:rPr>
        <w:fldChar w:fldCharType="end"/>
      </w:r>
      <w:r w:rsidRPr="00B777EF">
        <w:rPr>
          <w:rFonts w:ascii="Times New Roman" w:hAnsi="Times New Roman"/>
          <w:color w:val="000000" w:themeColor="text1"/>
          <w:sz w:val="24"/>
          <w:szCs w:val="24"/>
        </w:rPr>
        <w:t>. The impacts range from a low of about 9.</w:t>
      </w:r>
      <w:r w:rsidR="00C7586E" w:rsidRPr="00B777EF">
        <w:rPr>
          <w:rFonts w:ascii="Times New Roman" w:hAnsi="Times New Roman"/>
          <w:color w:val="000000" w:themeColor="text1"/>
          <w:sz w:val="24"/>
          <w:szCs w:val="24"/>
        </w:rPr>
        <w:t>7</w:t>
      </w:r>
      <w:r w:rsidRPr="00B777EF">
        <w:rPr>
          <w:rFonts w:ascii="Times New Roman" w:hAnsi="Times New Roman"/>
          <w:color w:val="000000" w:themeColor="text1"/>
          <w:sz w:val="24"/>
          <w:szCs w:val="24"/>
        </w:rPr>
        <w:t xml:space="preserve"> MW in May to a high of almost 16 MW in November. It should be noted that impacts are approximately 30–40% larger in the winter compared to the summer, which is a direct consequence of basing the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estimates on the results from PG&amp;E.</w:t>
      </w:r>
    </w:p>
    <w:p w:rsidR="00F0094E" w:rsidRPr="000D3BA6" w:rsidRDefault="00F0094E" w:rsidP="00F0094E">
      <w:pPr>
        <w:pStyle w:val="BodyParaAfterTableFigure"/>
        <w:spacing w:before="0" w:after="0" w:line="276" w:lineRule="auto"/>
        <w:ind w:firstLine="360"/>
        <w:rPr>
          <w:rFonts w:ascii="Times New Roman" w:hAnsi="Times New Roman"/>
          <w:sz w:val="24"/>
          <w:szCs w:val="24"/>
        </w:rPr>
      </w:pPr>
      <w:r w:rsidRPr="000D3BA6">
        <w:rPr>
          <w:rFonts w:ascii="Times New Roman" w:hAnsi="Times New Roman"/>
          <w:sz w:val="24"/>
          <w:szCs w:val="24"/>
        </w:rPr>
        <w:t xml:space="preserve"> </w:t>
      </w:r>
    </w:p>
    <w:p w:rsidR="00F0094E" w:rsidRPr="00B777EF" w:rsidRDefault="00F0094E" w:rsidP="00B777EF">
      <w:pPr>
        <w:spacing w:after="120"/>
        <w:jc w:val="center"/>
        <w:rPr>
          <w:b/>
        </w:rPr>
      </w:pPr>
      <w:bookmarkStart w:id="273" w:name="_Ref446060161"/>
      <w:r w:rsidRPr="00B777EF">
        <w:rPr>
          <w:b/>
          <w:bCs/>
          <w:color w:val="1C1C1C"/>
          <w:sz w:val="22"/>
          <w:szCs w:val="22"/>
        </w:rPr>
        <w:t>Table 9-</w:t>
      </w:r>
      <w:r w:rsidR="0024252A">
        <w:rPr>
          <w:b/>
          <w:bCs/>
          <w:color w:val="1C1C1C"/>
          <w:sz w:val="22"/>
          <w:szCs w:val="22"/>
        </w:rPr>
        <w:t>4</w:t>
      </w:r>
      <w:r w:rsidRPr="00B777EF">
        <w:rPr>
          <w:b/>
          <w:bCs/>
          <w:color w:val="1C1C1C"/>
          <w:sz w:val="22"/>
          <w:szCs w:val="22"/>
        </w:rPr>
        <w:t xml:space="preserve">: Aggregate </w:t>
      </w:r>
      <w:r w:rsidR="008C46A8" w:rsidRPr="00B777EF">
        <w:rPr>
          <w:b/>
          <w:bCs/>
          <w:color w:val="1C1C1C"/>
          <w:sz w:val="22"/>
          <w:szCs w:val="22"/>
        </w:rPr>
        <w:t>Ex-Ante</w:t>
      </w:r>
      <w:r w:rsidRPr="00B777EF">
        <w:rPr>
          <w:b/>
          <w:bCs/>
          <w:color w:val="1C1C1C"/>
          <w:sz w:val="22"/>
          <w:szCs w:val="22"/>
        </w:rPr>
        <w:t xml:space="preserve"> TOU Load Impacts for Small Commercial Customers on </w:t>
      </w:r>
      <w:r w:rsidRPr="00B777EF">
        <w:rPr>
          <w:b/>
          <w:bCs/>
          <w:color w:val="1C1C1C"/>
          <w:sz w:val="22"/>
          <w:szCs w:val="22"/>
        </w:rPr>
        <w:br/>
        <w:t>Monthly System Peak Non-Event Days</w:t>
      </w:r>
      <w:bookmarkEnd w:id="273"/>
    </w:p>
    <w:tbl>
      <w:tblPr>
        <w:tblW w:w="6718" w:type="dxa"/>
        <w:jc w:val="center"/>
        <w:tblInd w:w="863" w:type="dxa"/>
        <w:tblLook w:val="04A0" w:firstRow="1" w:lastRow="0" w:firstColumn="1" w:lastColumn="0" w:noHBand="0" w:noVBand="1"/>
      </w:tblPr>
      <w:tblGrid>
        <w:gridCol w:w="1690"/>
        <w:gridCol w:w="1215"/>
        <w:gridCol w:w="1260"/>
        <w:gridCol w:w="1260"/>
        <w:gridCol w:w="1293"/>
      </w:tblGrid>
      <w:tr w:rsidR="00F0094E" w:rsidRPr="000D3BA6" w:rsidTr="00F0094E">
        <w:trPr>
          <w:trHeight w:val="285"/>
          <w:jc w:val="center"/>
        </w:trPr>
        <w:tc>
          <w:tcPr>
            <w:tcW w:w="1690" w:type="dxa"/>
            <w:vMerge w:val="restart"/>
            <w:tcBorders>
              <w:top w:val="single" w:sz="4" w:space="0" w:color="auto"/>
              <w:left w:val="single" w:sz="4" w:space="0" w:color="auto"/>
              <w:bottom w:val="single" w:sz="4" w:space="0" w:color="000000"/>
              <w:right w:val="single" w:sz="4" w:space="0" w:color="FFFFFF"/>
            </w:tcBorders>
            <w:shd w:val="clear" w:color="auto" w:fill="1F497D" w:themeFill="text2"/>
            <w:vAlign w:val="center"/>
            <w:hideMark/>
          </w:tcPr>
          <w:p w:rsidR="00F0094E" w:rsidRPr="000D3BA6" w:rsidRDefault="00F0094E" w:rsidP="00FE5CBB">
            <w:pPr>
              <w:pStyle w:val="TableHeader"/>
              <w:spacing w:before="0" w:after="0" w:line="276" w:lineRule="auto"/>
              <w:ind w:firstLine="360"/>
              <w:jc w:val="left"/>
              <w:rPr>
                <w:rFonts w:ascii="Times New Roman" w:hAnsi="Times New Roman"/>
              </w:rPr>
            </w:pPr>
            <w:r w:rsidRPr="000D3BA6">
              <w:rPr>
                <w:rFonts w:ascii="Times New Roman" w:hAnsi="Times New Roman"/>
              </w:rPr>
              <w:t>Month</w:t>
            </w:r>
          </w:p>
        </w:tc>
        <w:tc>
          <w:tcPr>
            <w:tcW w:w="5028" w:type="dxa"/>
            <w:gridSpan w:val="4"/>
            <w:tcBorders>
              <w:top w:val="single" w:sz="4" w:space="0" w:color="auto"/>
              <w:left w:val="nil"/>
              <w:bottom w:val="single" w:sz="4" w:space="0" w:color="FFFFFF"/>
              <w:right w:val="single" w:sz="4" w:space="0" w:color="000000"/>
            </w:tcBorders>
            <w:shd w:val="clear" w:color="auto" w:fill="1F497D" w:themeFill="text2"/>
            <w:vAlign w:val="center"/>
            <w:hideMark/>
          </w:tcPr>
          <w:p w:rsidR="00F0094E" w:rsidRPr="000D3BA6" w:rsidRDefault="00F0094E" w:rsidP="00F0094E">
            <w:pPr>
              <w:pStyle w:val="TableHeader"/>
              <w:spacing w:before="0" w:after="0" w:line="276" w:lineRule="auto"/>
              <w:ind w:firstLine="360"/>
              <w:rPr>
                <w:rFonts w:ascii="Times New Roman" w:hAnsi="Times New Roman"/>
              </w:rPr>
            </w:pPr>
            <w:r w:rsidRPr="000D3BA6">
              <w:rPr>
                <w:rFonts w:ascii="Times New Roman" w:hAnsi="Times New Roman"/>
              </w:rPr>
              <w:t>Load Impact (MW)</w:t>
            </w:r>
          </w:p>
        </w:tc>
      </w:tr>
      <w:tr w:rsidR="00F0094E" w:rsidRPr="000D3BA6" w:rsidTr="00F0094E">
        <w:trPr>
          <w:trHeight w:val="285"/>
          <w:jc w:val="center"/>
        </w:trPr>
        <w:tc>
          <w:tcPr>
            <w:tcW w:w="1690" w:type="dxa"/>
            <w:vMerge/>
            <w:tcBorders>
              <w:top w:val="single" w:sz="4" w:space="0" w:color="auto"/>
              <w:left w:val="single" w:sz="4" w:space="0" w:color="auto"/>
              <w:bottom w:val="single" w:sz="4" w:space="0" w:color="000000"/>
              <w:right w:val="single" w:sz="4" w:space="0" w:color="FFFFFF"/>
            </w:tcBorders>
            <w:shd w:val="clear" w:color="auto" w:fill="1F497D" w:themeFill="text2"/>
            <w:vAlign w:val="center"/>
            <w:hideMark/>
          </w:tcPr>
          <w:p w:rsidR="00F0094E" w:rsidRPr="000D3BA6" w:rsidRDefault="00F0094E" w:rsidP="00F0094E">
            <w:pPr>
              <w:pStyle w:val="TableHeader"/>
              <w:spacing w:before="0" w:after="0" w:line="276" w:lineRule="auto"/>
              <w:ind w:firstLine="360"/>
              <w:rPr>
                <w:rFonts w:ascii="Times New Roman" w:hAnsi="Times New Roman"/>
              </w:rPr>
            </w:pPr>
          </w:p>
        </w:tc>
        <w:tc>
          <w:tcPr>
            <w:tcW w:w="2475" w:type="dxa"/>
            <w:gridSpan w:val="2"/>
            <w:tcBorders>
              <w:top w:val="single" w:sz="4" w:space="0" w:color="FFFFFF"/>
              <w:left w:val="nil"/>
              <w:bottom w:val="single" w:sz="4" w:space="0" w:color="FFFFFF"/>
              <w:right w:val="single" w:sz="4" w:space="0" w:color="FFFFFF"/>
            </w:tcBorders>
            <w:shd w:val="clear" w:color="auto" w:fill="1F497D" w:themeFill="text2"/>
            <w:noWrap/>
            <w:vAlign w:val="center"/>
            <w:hideMark/>
          </w:tcPr>
          <w:p w:rsidR="00F0094E" w:rsidRPr="000D3BA6" w:rsidRDefault="00F0094E" w:rsidP="00F0094E">
            <w:pPr>
              <w:pStyle w:val="TableHeader"/>
              <w:spacing w:before="0" w:after="0" w:line="276" w:lineRule="auto"/>
              <w:ind w:firstLine="360"/>
              <w:rPr>
                <w:rFonts w:ascii="Times New Roman" w:hAnsi="Times New Roman"/>
              </w:rPr>
            </w:pPr>
            <w:r w:rsidRPr="000D3BA6">
              <w:rPr>
                <w:rFonts w:ascii="Times New Roman" w:hAnsi="Times New Roman"/>
              </w:rPr>
              <w:t>CAISO</w:t>
            </w:r>
          </w:p>
        </w:tc>
        <w:tc>
          <w:tcPr>
            <w:tcW w:w="2553" w:type="dxa"/>
            <w:gridSpan w:val="2"/>
            <w:tcBorders>
              <w:top w:val="single" w:sz="4" w:space="0" w:color="FFFFFF"/>
              <w:left w:val="nil"/>
              <w:bottom w:val="single" w:sz="4" w:space="0" w:color="FFFFFF"/>
              <w:right w:val="single" w:sz="4" w:space="0" w:color="000000"/>
            </w:tcBorders>
            <w:shd w:val="clear" w:color="auto" w:fill="1F497D" w:themeFill="text2"/>
            <w:noWrap/>
            <w:vAlign w:val="center"/>
            <w:hideMark/>
          </w:tcPr>
          <w:p w:rsidR="00F0094E" w:rsidRPr="000D3BA6" w:rsidRDefault="00F0094E" w:rsidP="00F0094E">
            <w:pPr>
              <w:pStyle w:val="TableHeader"/>
              <w:spacing w:before="0" w:after="0" w:line="276" w:lineRule="auto"/>
              <w:ind w:firstLine="360"/>
              <w:rPr>
                <w:rFonts w:ascii="Times New Roman" w:hAnsi="Times New Roman"/>
              </w:rPr>
            </w:pPr>
            <w:r w:rsidRPr="000D3BA6">
              <w:rPr>
                <w:rFonts w:ascii="Times New Roman" w:hAnsi="Times New Roman"/>
              </w:rPr>
              <w:t>SDG&amp;E</w:t>
            </w:r>
          </w:p>
        </w:tc>
      </w:tr>
      <w:tr w:rsidR="00F0094E" w:rsidRPr="000D3BA6" w:rsidTr="00F0094E">
        <w:trPr>
          <w:trHeight w:val="285"/>
          <w:jc w:val="center"/>
        </w:trPr>
        <w:tc>
          <w:tcPr>
            <w:tcW w:w="1690" w:type="dxa"/>
            <w:vMerge/>
            <w:tcBorders>
              <w:top w:val="single" w:sz="4" w:space="0" w:color="auto"/>
              <w:left w:val="single" w:sz="4" w:space="0" w:color="auto"/>
              <w:bottom w:val="single" w:sz="4" w:space="0" w:color="000000"/>
              <w:right w:val="single" w:sz="4" w:space="0" w:color="FFFFFF"/>
            </w:tcBorders>
            <w:shd w:val="clear" w:color="auto" w:fill="1F497D" w:themeFill="text2"/>
            <w:vAlign w:val="center"/>
            <w:hideMark/>
          </w:tcPr>
          <w:p w:rsidR="00F0094E" w:rsidRPr="000D3BA6" w:rsidRDefault="00F0094E" w:rsidP="00F0094E">
            <w:pPr>
              <w:pStyle w:val="TableHeader"/>
              <w:spacing w:before="0" w:after="0" w:line="276" w:lineRule="auto"/>
              <w:ind w:firstLine="360"/>
              <w:rPr>
                <w:rFonts w:ascii="Times New Roman" w:hAnsi="Times New Roman"/>
              </w:rPr>
            </w:pPr>
          </w:p>
        </w:tc>
        <w:tc>
          <w:tcPr>
            <w:tcW w:w="1215" w:type="dxa"/>
            <w:tcBorders>
              <w:top w:val="nil"/>
              <w:left w:val="nil"/>
              <w:bottom w:val="single" w:sz="4" w:space="0" w:color="auto"/>
              <w:right w:val="single" w:sz="4" w:space="0" w:color="FFFFFF"/>
            </w:tcBorders>
            <w:shd w:val="clear" w:color="auto" w:fill="1F497D" w:themeFill="text2"/>
            <w:noWrap/>
            <w:vAlign w:val="center"/>
            <w:hideMark/>
          </w:tcPr>
          <w:p w:rsidR="00F0094E" w:rsidRPr="000D3BA6" w:rsidRDefault="00F0094E" w:rsidP="00C7586E">
            <w:pPr>
              <w:pStyle w:val="TableHeader"/>
              <w:spacing w:before="0" w:after="0" w:line="276" w:lineRule="auto"/>
              <w:rPr>
                <w:rFonts w:ascii="Times New Roman" w:hAnsi="Times New Roman"/>
              </w:rPr>
            </w:pPr>
            <w:r w:rsidRPr="000D3BA6">
              <w:rPr>
                <w:rFonts w:ascii="Times New Roman" w:hAnsi="Times New Roman"/>
              </w:rPr>
              <w:t>1-in-2</w:t>
            </w:r>
          </w:p>
        </w:tc>
        <w:tc>
          <w:tcPr>
            <w:tcW w:w="1260" w:type="dxa"/>
            <w:tcBorders>
              <w:top w:val="nil"/>
              <w:left w:val="nil"/>
              <w:bottom w:val="single" w:sz="4" w:space="0" w:color="auto"/>
              <w:right w:val="single" w:sz="4" w:space="0" w:color="FFFFFF"/>
            </w:tcBorders>
            <w:shd w:val="clear" w:color="auto" w:fill="1F497D" w:themeFill="text2"/>
            <w:noWrap/>
            <w:vAlign w:val="center"/>
            <w:hideMark/>
          </w:tcPr>
          <w:p w:rsidR="00F0094E" w:rsidRPr="000D3BA6" w:rsidRDefault="00F0094E" w:rsidP="00C7586E">
            <w:pPr>
              <w:pStyle w:val="TableHeader"/>
              <w:spacing w:before="0" w:after="0" w:line="276" w:lineRule="auto"/>
              <w:rPr>
                <w:rFonts w:ascii="Times New Roman" w:hAnsi="Times New Roman"/>
              </w:rPr>
            </w:pPr>
            <w:r w:rsidRPr="000D3BA6">
              <w:rPr>
                <w:rFonts w:ascii="Times New Roman" w:hAnsi="Times New Roman"/>
              </w:rPr>
              <w:t>1-in-10</w:t>
            </w:r>
          </w:p>
        </w:tc>
        <w:tc>
          <w:tcPr>
            <w:tcW w:w="1260" w:type="dxa"/>
            <w:tcBorders>
              <w:top w:val="nil"/>
              <w:left w:val="nil"/>
              <w:bottom w:val="single" w:sz="4" w:space="0" w:color="auto"/>
              <w:right w:val="single" w:sz="4" w:space="0" w:color="FFFFFF"/>
            </w:tcBorders>
            <w:shd w:val="clear" w:color="auto" w:fill="1F497D" w:themeFill="text2"/>
            <w:noWrap/>
            <w:vAlign w:val="center"/>
            <w:hideMark/>
          </w:tcPr>
          <w:p w:rsidR="00F0094E" w:rsidRPr="000D3BA6" w:rsidRDefault="00F0094E" w:rsidP="00C7586E">
            <w:pPr>
              <w:pStyle w:val="TableHeader"/>
              <w:spacing w:before="0" w:after="0" w:line="276" w:lineRule="auto"/>
              <w:rPr>
                <w:rFonts w:ascii="Times New Roman" w:hAnsi="Times New Roman"/>
              </w:rPr>
            </w:pPr>
            <w:r w:rsidRPr="000D3BA6">
              <w:rPr>
                <w:rFonts w:ascii="Times New Roman" w:hAnsi="Times New Roman"/>
              </w:rPr>
              <w:t>1-in-2</w:t>
            </w:r>
          </w:p>
        </w:tc>
        <w:tc>
          <w:tcPr>
            <w:tcW w:w="1293" w:type="dxa"/>
            <w:tcBorders>
              <w:top w:val="nil"/>
              <w:left w:val="nil"/>
              <w:bottom w:val="single" w:sz="4" w:space="0" w:color="auto"/>
              <w:right w:val="single" w:sz="4" w:space="0" w:color="auto"/>
            </w:tcBorders>
            <w:shd w:val="clear" w:color="auto" w:fill="1F497D" w:themeFill="text2"/>
            <w:noWrap/>
            <w:vAlign w:val="center"/>
            <w:hideMark/>
          </w:tcPr>
          <w:p w:rsidR="00F0094E" w:rsidRPr="000D3BA6" w:rsidRDefault="00F0094E" w:rsidP="00C7586E">
            <w:pPr>
              <w:pStyle w:val="TableHeader"/>
              <w:spacing w:before="0" w:after="0" w:line="276" w:lineRule="auto"/>
              <w:rPr>
                <w:rFonts w:ascii="Times New Roman" w:hAnsi="Times New Roman"/>
              </w:rPr>
            </w:pPr>
            <w:r w:rsidRPr="000D3BA6">
              <w:rPr>
                <w:rFonts w:ascii="Times New Roman" w:hAnsi="Times New Roman"/>
              </w:rPr>
              <w:t>1-in-10</w:t>
            </w:r>
          </w:p>
        </w:tc>
      </w:tr>
      <w:tr w:rsidR="00F0094E" w:rsidRPr="000D3BA6"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0D3BA6" w:rsidRDefault="00F0094E" w:rsidP="00C7586E">
            <w:pPr>
              <w:pStyle w:val="TableText"/>
              <w:spacing w:before="0" w:after="0" w:line="276" w:lineRule="auto"/>
              <w:rPr>
                <w:rFonts w:ascii="Times New Roman" w:hAnsi="Times New Roman"/>
                <w:szCs w:val="20"/>
              </w:rPr>
            </w:pPr>
            <w:r w:rsidRPr="000D3BA6">
              <w:rPr>
                <w:rFonts w:ascii="Times New Roman" w:hAnsi="Times New Roman"/>
                <w:szCs w:val="20"/>
              </w:rPr>
              <w:t>January</w:t>
            </w:r>
          </w:p>
        </w:tc>
        <w:tc>
          <w:tcPr>
            <w:tcW w:w="1215"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14.20</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14.20</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14.20</w:t>
            </w:r>
          </w:p>
        </w:tc>
        <w:tc>
          <w:tcPr>
            <w:tcW w:w="1293"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14.20</w:t>
            </w:r>
          </w:p>
        </w:tc>
      </w:tr>
      <w:tr w:rsidR="00F0094E" w:rsidRPr="000D3BA6"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0D3BA6" w:rsidRDefault="00F0094E" w:rsidP="00C7586E">
            <w:pPr>
              <w:pStyle w:val="TableText"/>
              <w:spacing w:before="0" w:after="0" w:line="276" w:lineRule="auto"/>
              <w:rPr>
                <w:rFonts w:ascii="Times New Roman" w:hAnsi="Times New Roman"/>
                <w:szCs w:val="20"/>
              </w:rPr>
            </w:pPr>
            <w:r w:rsidRPr="000D3BA6">
              <w:rPr>
                <w:rFonts w:ascii="Times New Roman" w:hAnsi="Times New Roman"/>
                <w:szCs w:val="20"/>
              </w:rPr>
              <w:t>February</w:t>
            </w:r>
          </w:p>
        </w:tc>
        <w:tc>
          <w:tcPr>
            <w:tcW w:w="1215"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14.04</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14.04</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14.04</w:t>
            </w:r>
          </w:p>
        </w:tc>
        <w:tc>
          <w:tcPr>
            <w:tcW w:w="1293"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14.04</w:t>
            </w:r>
          </w:p>
        </w:tc>
      </w:tr>
      <w:tr w:rsidR="00F0094E" w:rsidRPr="000D3BA6"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0D3BA6" w:rsidRDefault="00F0094E" w:rsidP="00C7586E">
            <w:pPr>
              <w:pStyle w:val="TableText"/>
              <w:spacing w:before="0" w:after="0" w:line="276" w:lineRule="auto"/>
              <w:rPr>
                <w:rFonts w:ascii="Times New Roman" w:hAnsi="Times New Roman"/>
                <w:szCs w:val="20"/>
              </w:rPr>
            </w:pPr>
            <w:r w:rsidRPr="000D3BA6">
              <w:rPr>
                <w:rFonts w:ascii="Times New Roman" w:hAnsi="Times New Roman"/>
                <w:szCs w:val="20"/>
              </w:rPr>
              <w:t>March</w:t>
            </w:r>
          </w:p>
        </w:tc>
        <w:tc>
          <w:tcPr>
            <w:tcW w:w="1215"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13.81</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14.49</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13.81</w:t>
            </w:r>
          </w:p>
        </w:tc>
        <w:tc>
          <w:tcPr>
            <w:tcW w:w="1293"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14.26</w:t>
            </w:r>
          </w:p>
        </w:tc>
      </w:tr>
      <w:tr w:rsidR="00F0094E" w:rsidRPr="000D3BA6"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0D3BA6" w:rsidRDefault="00F0094E" w:rsidP="00C7586E">
            <w:pPr>
              <w:pStyle w:val="TableText"/>
              <w:spacing w:before="0" w:after="0" w:line="276" w:lineRule="auto"/>
              <w:rPr>
                <w:rFonts w:ascii="Times New Roman" w:hAnsi="Times New Roman"/>
                <w:szCs w:val="20"/>
              </w:rPr>
            </w:pPr>
            <w:r w:rsidRPr="000D3BA6">
              <w:rPr>
                <w:rFonts w:ascii="Times New Roman" w:hAnsi="Times New Roman"/>
                <w:szCs w:val="20"/>
              </w:rPr>
              <w:t>April</w:t>
            </w:r>
          </w:p>
        </w:tc>
        <w:tc>
          <w:tcPr>
            <w:tcW w:w="1215"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13.40</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14.79</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13.61</w:t>
            </w:r>
          </w:p>
        </w:tc>
        <w:tc>
          <w:tcPr>
            <w:tcW w:w="1293"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15.18</w:t>
            </w:r>
          </w:p>
        </w:tc>
      </w:tr>
      <w:tr w:rsidR="00F0094E" w:rsidRPr="000D3BA6"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0D3BA6" w:rsidRDefault="00F0094E" w:rsidP="00C7586E">
            <w:pPr>
              <w:pStyle w:val="TableText"/>
              <w:spacing w:before="0" w:after="0" w:line="276" w:lineRule="auto"/>
              <w:rPr>
                <w:rFonts w:ascii="Times New Roman" w:hAnsi="Times New Roman"/>
                <w:szCs w:val="20"/>
              </w:rPr>
            </w:pPr>
            <w:r w:rsidRPr="000D3BA6">
              <w:rPr>
                <w:rFonts w:ascii="Times New Roman" w:hAnsi="Times New Roman"/>
                <w:szCs w:val="20"/>
              </w:rPr>
              <w:t>May</w:t>
            </w:r>
          </w:p>
        </w:tc>
        <w:tc>
          <w:tcPr>
            <w:tcW w:w="1215"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9.85</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11.42</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10.38</w:t>
            </w:r>
          </w:p>
        </w:tc>
        <w:tc>
          <w:tcPr>
            <w:tcW w:w="1293"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11.85</w:t>
            </w:r>
          </w:p>
        </w:tc>
      </w:tr>
      <w:tr w:rsidR="00F0094E" w:rsidRPr="000D3BA6"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0D3BA6" w:rsidRDefault="00F0094E" w:rsidP="00C7586E">
            <w:pPr>
              <w:pStyle w:val="TableText"/>
              <w:spacing w:before="0" w:after="0" w:line="276" w:lineRule="auto"/>
              <w:rPr>
                <w:rFonts w:ascii="Times New Roman" w:hAnsi="Times New Roman"/>
                <w:szCs w:val="20"/>
              </w:rPr>
            </w:pPr>
            <w:r w:rsidRPr="000D3BA6">
              <w:rPr>
                <w:rFonts w:ascii="Times New Roman" w:hAnsi="Times New Roman"/>
                <w:szCs w:val="20"/>
              </w:rPr>
              <w:t>June</w:t>
            </w:r>
          </w:p>
        </w:tc>
        <w:tc>
          <w:tcPr>
            <w:tcW w:w="1215"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11.26</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12.21</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11.26</w:t>
            </w:r>
          </w:p>
        </w:tc>
        <w:tc>
          <w:tcPr>
            <w:tcW w:w="1293"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12.24</w:t>
            </w:r>
          </w:p>
        </w:tc>
      </w:tr>
      <w:tr w:rsidR="00F0094E" w:rsidRPr="000D3BA6"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0D3BA6" w:rsidRDefault="00F0094E" w:rsidP="00C7586E">
            <w:pPr>
              <w:pStyle w:val="TableText"/>
              <w:spacing w:before="0" w:after="0" w:line="276" w:lineRule="auto"/>
              <w:rPr>
                <w:rFonts w:ascii="Times New Roman" w:hAnsi="Times New Roman"/>
                <w:szCs w:val="20"/>
              </w:rPr>
            </w:pPr>
            <w:r w:rsidRPr="000D3BA6">
              <w:rPr>
                <w:rFonts w:ascii="Times New Roman" w:hAnsi="Times New Roman"/>
                <w:szCs w:val="20"/>
              </w:rPr>
              <w:t>July</w:t>
            </w:r>
          </w:p>
        </w:tc>
        <w:tc>
          <w:tcPr>
            <w:tcW w:w="1215"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12.21</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12.59</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12.25</w:t>
            </w:r>
          </w:p>
        </w:tc>
        <w:tc>
          <w:tcPr>
            <w:tcW w:w="1293"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13.42</w:t>
            </w:r>
          </w:p>
        </w:tc>
      </w:tr>
      <w:tr w:rsidR="00F0094E" w:rsidRPr="000D3BA6"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0D3BA6" w:rsidRDefault="00F0094E" w:rsidP="00C7586E">
            <w:pPr>
              <w:pStyle w:val="TableText"/>
              <w:spacing w:before="0" w:after="0" w:line="276" w:lineRule="auto"/>
              <w:rPr>
                <w:rFonts w:ascii="Times New Roman" w:hAnsi="Times New Roman"/>
                <w:szCs w:val="20"/>
              </w:rPr>
            </w:pPr>
            <w:r w:rsidRPr="000D3BA6">
              <w:rPr>
                <w:rFonts w:ascii="Times New Roman" w:hAnsi="Times New Roman"/>
                <w:szCs w:val="20"/>
              </w:rPr>
              <w:t>August</w:t>
            </w:r>
          </w:p>
        </w:tc>
        <w:tc>
          <w:tcPr>
            <w:tcW w:w="1215"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13.79</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13.93</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13.54</w:t>
            </w:r>
          </w:p>
        </w:tc>
        <w:tc>
          <w:tcPr>
            <w:tcW w:w="1293"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14.44</w:t>
            </w:r>
          </w:p>
        </w:tc>
      </w:tr>
      <w:tr w:rsidR="00F0094E" w:rsidRPr="000D3BA6"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0D3BA6" w:rsidRDefault="00F0094E" w:rsidP="00C7586E">
            <w:pPr>
              <w:pStyle w:val="TableText"/>
              <w:spacing w:before="0" w:after="0" w:line="276" w:lineRule="auto"/>
              <w:rPr>
                <w:rFonts w:ascii="Times New Roman" w:hAnsi="Times New Roman"/>
                <w:szCs w:val="20"/>
              </w:rPr>
            </w:pPr>
            <w:r w:rsidRPr="000D3BA6">
              <w:rPr>
                <w:rFonts w:ascii="Times New Roman" w:hAnsi="Times New Roman"/>
                <w:szCs w:val="20"/>
              </w:rPr>
              <w:t>September</w:t>
            </w:r>
          </w:p>
        </w:tc>
        <w:tc>
          <w:tcPr>
            <w:tcW w:w="1215"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13.66</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14.73</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13.50</w:t>
            </w:r>
          </w:p>
        </w:tc>
        <w:tc>
          <w:tcPr>
            <w:tcW w:w="1293"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14.61</w:t>
            </w:r>
          </w:p>
        </w:tc>
      </w:tr>
      <w:tr w:rsidR="00F0094E" w:rsidRPr="000D3BA6"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0D3BA6" w:rsidRDefault="00F0094E" w:rsidP="00C7586E">
            <w:pPr>
              <w:pStyle w:val="TableText"/>
              <w:spacing w:before="0" w:after="0" w:line="276" w:lineRule="auto"/>
              <w:rPr>
                <w:rFonts w:ascii="Times New Roman" w:hAnsi="Times New Roman"/>
                <w:szCs w:val="20"/>
              </w:rPr>
            </w:pPr>
            <w:r w:rsidRPr="000D3BA6">
              <w:rPr>
                <w:rFonts w:ascii="Times New Roman" w:hAnsi="Times New Roman"/>
                <w:szCs w:val="20"/>
              </w:rPr>
              <w:t>October</w:t>
            </w:r>
          </w:p>
        </w:tc>
        <w:tc>
          <w:tcPr>
            <w:tcW w:w="1215"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12.50</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13.59</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12.89</w:t>
            </w:r>
          </w:p>
        </w:tc>
        <w:tc>
          <w:tcPr>
            <w:tcW w:w="1293"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13.99</w:t>
            </w:r>
          </w:p>
        </w:tc>
      </w:tr>
      <w:tr w:rsidR="00F0094E" w:rsidRPr="000D3BA6"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0D3BA6" w:rsidRDefault="00F0094E" w:rsidP="00C7586E">
            <w:pPr>
              <w:pStyle w:val="TableText"/>
              <w:spacing w:before="0" w:after="0" w:line="276" w:lineRule="auto"/>
              <w:rPr>
                <w:rFonts w:ascii="Times New Roman" w:hAnsi="Times New Roman"/>
                <w:szCs w:val="20"/>
              </w:rPr>
            </w:pPr>
            <w:r w:rsidRPr="000D3BA6">
              <w:rPr>
                <w:rFonts w:ascii="Times New Roman" w:hAnsi="Times New Roman"/>
                <w:szCs w:val="20"/>
              </w:rPr>
              <w:t>November</w:t>
            </w:r>
          </w:p>
        </w:tc>
        <w:tc>
          <w:tcPr>
            <w:tcW w:w="1215"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14.44</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15.23</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14.55</w:t>
            </w:r>
          </w:p>
        </w:tc>
        <w:tc>
          <w:tcPr>
            <w:tcW w:w="1293"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15.68</w:t>
            </w:r>
          </w:p>
        </w:tc>
      </w:tr>
      <w:tr w:rsidR="00F0094E" w:rsidRPr="000D3BA6"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0D3BA6" w:rsidRDefault="00F0094E" w:rsidP="00C7586E">
            <w:pPr>
              <w:pStyle w:val="TableText"/>
              <w:spacing w:before="0" w:after="0" w:line="276" w:lineRule="auto"/>
              <w:rPr>
                <w:rFonts w:ascii="Times New Roman" w:hAnsi="Times New Roman"/>
                <w:szCs w:val="20"/>
              </w:rPr>
            </w:pPr>
            <w:r w:rsidRPr="000D3BA6">
              <w:rPr>
                <w:rFonts w:ascii="Times New Roman" w:hAnsi="Times New Roman"/>
                <w:szCs w:val="20"/>
              </w:rPr>
              <w:t>December</w:t>
            </w:r>
          </w:p>
        </w:tc>
        <w:tc>
          <w:tcPr>
            <w:tcW w:w="1215"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14.20</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14.20</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14.20</w:t>
            </w:r>
          </w:p>
        </w:tc>
        <w:tc>
          <w:tcPr>
            <w:tcW w:w="1293" w:type="dxa"/>
            <w:tcBorders>
              <w:top w:val="nil"/>
              <w:left w:val="nil"/>
              <w:bottom w:val="single" w:sz="4" w:space="0" w:color="auto"/>
              <w:right w:val="single" w:sz="4" w:space="0" w:color="auto"/>
            </w:tcBorders>
            <w:shd w:val="clear" w:color="auto" w:fill="auto"/>
            <w:noWrap/>
            <w:vAlign w:val="bottom"/>
            <w:hideMark/>
          </w:tcPr>
          <w:p w:rsidR="00F0094E" w:rsidRPr="00F0094E" w:rsidRDefault="00F0094E" w:rsidP="00C7586E">
            <w:pPr>
              <w:contextualSpacing/>
              <w:jc w:val="center"/>
              <w:rPr>
                <w:color w:val="000000" w:themeColor="text1"/>
                <w:sz w:val="20"/>
                <w:szCs w:val="20"/>
              </w:rPr>
            </w:pPr>
            <w:r w:rsidRPr="00F0094E">
              <w:rPr>
                <w:color w:val="000000" w:themeColor="text1"/>
                <w:sz w:val="20"/>
                <w:szCs w:val="20"/>
              </w:rPr>
              <w:t>14.20</w:t>
            </w:r>
          </w:p>
        </w:tc>
      </w:tr>
    </w:tbl>
    <w:p w:rsidR="00F0094E" w:rsidRPr="000D3BA6" w:rsidRDefault="00F0094E" w:rsidP="00F0094E">
      <w:pPr>
        <w:pStyle w:val="BodyParagraph"/>
        <w:spacing w:after="0" w:line="276" w:lineRule="auto"/>
        <w:ind w:firstLine="360"/>
        <w:rPr>
          <w:rFonts w:ascii="Times New Roman" w:hAnsi="Times New Roman"/>
          <w:sz w:val="24"/>
          <w:szCs w:val="24"/>
        </w:rPr>
      </w:pP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The forecasted enrollment provided by SDG&amp;E shows an increase in enrollment due to natural account growth over time. As mentioned in the introduction, customers will be defaulted on to a TOU-CPP rate starting in November 2015, with the option to opt out of the CPP component on to a TOU-only rate. </w:t>
      </w:r>
      <w:r w:rsidR="00260B68" w:rsidRPr="00260B68">
        <w:rPr>
          <w:rFonts w:ascii="Times New Roman" w:hAnsi="Times New Roman"/>
          <w:color w:val="000000" w:themeColor="text1"/>
          <w:sz w:val="22"/>
        </w:rPr>
        <w:t>Table 9-</w:t>
      </w:r>
      <w:r w:rsidR="0024252A">
        <w:rPr>
          <w:rFonts w:ascii="Times New Roman" w:hAnsi="Times New Roman"/>
          <w:color w:val="000000" w:themeColor="text1"/>
          <w:sz w:val="22"/>
        </w:rPr>
        <w:t>5</w:t>
      </w:r>
      <w:r w:rsidR="00260B68">
        <w:rPr>
          <w:rFonts w:ascii="Times New Roman" w:hAnsi="Times New Roman"/>
          <w:color w:val="000000" w:themeColor="text1"/>
          <w:sz w:val="24"/>
          <w:szCs w:val="24"/>
        </w:rPr>
        <w:t xml:space="preserve"> </w:t>
      </w:r>
      <w:r w:rsidRPr="00B777EF">
        <w:rPr>
          <w:rFonts w:ascii="Times New Roman" w:hAnsi="Times New Roman"/>
          <w:color w:val="000000" w:themeColor="text1"/>
          <w:sz w:val="24"/>
          <w:szCs w:val="24"/>
        </w:rPr>
        <w:t xml:space="preserve">provides aggregate impacts for each August Monthly System Peak Non-Event Day in the forecast according to the SDG&amp;E 1-in-2 Weather Forecast. </w:t>
      </w:r>
    </w:p>
    <w:p w:rsidR="00F0094E" w:rsidRPr="000D3BA6" w:rsidRDefault="00F0094E" w:rsidP="00F0094E">
      <w:pPr>
        <w:pStyle w:val="BodyParagraph"/>
        <w:spacing w:after="0" w:line="276" w:lineRule="auto"/>
        <w:ind w:firstLine="360"/>
        <w:rPr>
          <w:rFonts w:ascii="Times New Roman" w:hAnsi="Times New Roman"/>
          <w:sz w:val="24"/>
          <w:szCs w:val="24"/>
        </w:rPr>
      </w:pPr>
    </w:p>
    <w:p w:rsidR="00F0094E" w:rsidRPr="00F0094E" w:rsidRDefault="00F0094E" w:rsidP="006114B7">
      <w:pPr>
        <w:pStyle w:val="Caption"/>
        <w:spacing w:after="120"/>
        <w:jc w:val="center"/>
        <w:rPr>
          <w:sz w:val="22"/>
          <w:szCs w:val="22"/>
        </w:rPr>
      </w:pPr>
      <w:bookmarkStart w:id="274" w:name="_Ref446067319"/>
      <w:r w:rsidRPr="00F0094E">
        <w:rPr>
          <w:sz w:val="22"/>
          <w:szCs w:val="22"/>
        </w:rPr>
        <w:t>Table 9-</w:t>
      </w:r>
      <w:r w:rsidR="0024252A">
        <w:rPr>
          <w:sz w:val="22"/>
          <w:szCs w:val="22"/>
        </w:rPr>
        <w:t>5</w:t>
      </w:r>
      <w:bookmarkEnd w:id="274"/>
      <w:r w:rsidRPr="00F0094E">
        <w:rPr>
          <w:sz w:val="22"/>
          <w:szCs w:val="22"/>
        </w:rPr>
        <w:t xml:space="preserve">: Aggregate </w:t>
      </w:r>
      <w:r w:rsidR="008C46A8">
        <w:rPr>
          <w:sz w:val="22"/>
          <w:szCs w:val="22"/>
        </w:rPr>
        <w:t>Ex-Ante</w:t>
      </w:r>
      <w:r w:rsidRPr="00F0094E">
        <w:rPr>
          <w:sz w:val="22"/>
          <w:szCs w:val="22"/>
        </w:rPr>
        <w:t xml:space="preserve"> TOU Load Impacts for Small Commercial Customers on </w:t>
      </w:r>
      <w:r w:rsidRPr="00F0094E">
        <w:rPr>
          <w:sz w:val="22"/>
          <w:szCs w:val="22"/>
        </w:rPr>
        <w:br/>
        <w:t>August Monthly Peak Days</w:t>
      </w:r>
    </w:p>
    <w:tbl>
      <w:tblPr>
        <w:tblW w:w="8115" w:type="dxa"/>
        <w:tblInd w:w="558" w:type="dxa"/>
        <w:tblLook w:val="04A0" w:firstRow="1" w:lastRow="0" w:firstColumn="1" w:lastColumn="0" w:noHBand="0" w:noVBand="1"/>
      </w:tblPr>
      <w:tblGrid>
        <w:gridCol w:w="1905"/>
        <w:gridCol w:w="990"/>
        <w:gridCol w:w="1080"/>
        <w:gridCol w:w="990"/>
        <w:gridCol w:w="990"/>
        <w:gridCol w:w="990"/>
        <w:gridCol w:w="1170"/>
      </w:tblGrid>
      <w:tr w:rsidR="00F0094E" w:rsidRPr="0044504B" w:rsidTr="00490C98">
        <w:trPr>
          <w:trHeight w:val="300"/>
        </w:trPr>
        <w:tc>
          <w:tcPr>
            <w:tcW w:w="1905" w:type="dxa"/>
            <w:tcBorders>
              <w:top w:val="single" w:sz="8" w:space="0" w:color="auto"/>
              <w:left w:val="single" w:sz="8" w:space="0" w:color="auto"/>
              <w:bottom w:val="single" w:sz="8" w:space="0" w:color="auto"/>
              <w:right w:val="single" w:sz="8" w:space="0" w:color="FFFFFF"/>
            </w:tcBorders>
            <w:shd w:val="clear" w:color="auto" w:fill="1F497D" w:themeFill="text2"/>
            <w:noWrap/>
            <w:vAlign w:val="center"/>
            <w:hideMark/>
          </w:tcPr>
          <w:p w:rsidR="00F0094E" w:rsidRPr="0044504B" w:rsidRDefault="00F0094E" w:rsidP="00F0094E">
            <w:pPr>
              <w:ind w:firstLine="360"/>
              <w:jc w:val="center"/>
              <w:rPr>
                <w:b/>
                <w:bCs/>
                <w:color w:val="FFFFFF"/>
                <w:sz w:val="20"/>
                <w:szCs w:val="20"/>
              </w:rPr>
            </w:pPr>
            <w:r w:rsidRPr="0044504B">
              <w:rPr>
                <w:b/>
                <w:bCs/>
                <w:color w:val="FFFFFF"/>
                <w:sz w:val="20"/>
                <w:szCs w:val="20"/>
              </w:rPr>
              <w:t>Year</w:t>
            </w:r>
          </w:p>
        </w:tc>
        <w:tc>
          <w:tcPr>
            <w:tcW w:w="990" w:type="dxa"/>
            <w:tcBorders>
              <w:top w:val="single" w:sz="8" w:space="0" w:color="auto"/>
              <w:left w:val="nil"/>
              <w:bottom w:val="single" w:sz="8" w:space="0" w:color="auto"/>
              <w:right w:val="single" w:sz="8" w:space="0" w:color="FFFFFF"/>
            </w:tcBorders>
            <w:shd w:val="clear" w:color="auto" w:fill="1F497D" w:themeFill="text2"/>
            <w:noWrap/>
            <w:vAlign w:val="center"/>
            <w:hideMark/>
          </w:tcPr>
          <w:p w:rsidR="00F0094E" w:rsidRPr="0044504B" w:rsidRDefault="00F0094E" w:rsidP="00FE5CBB">
            <w:pPr>
              <w:jc w:val="center"/>
              <w:rPr>
                <w:b/>
                <w:bCs/>
                <w:color w:val="FFFFFF"/>
                <w:sz w:val="20"/>
                <w:szCs w:val="20"/>
              </w:rPr>
            </w:pPr>
            <w:r w:rsidRPr="0044504B">
              <w:rPr>
                <w:b/>
                <w:bCs/>
                <w:color w:val="FFFFFF"/>
                <w:sz w:val="20"/>
                <w:szCs w:val="20"/>
              </w:rPr>
              <w:t>2016</w:t>
            </w:r>
          </w:p>
        </w:tc>
        <w:tc>
          <w:tcPr>
            <w:tcW w:w="1080" w:type="dxa"/>
            <w:tcBorders>
              <w:top w:val="single" w:sz="8" w:space="0" w:color="auto"/>
              <w:left w:val="nil"/>
              <w:bottom w:val="single" w:sz="8" w:space="0" w:color="auto"/>
              <w:right w:val="single" w:sz="8" w:space="0" w:color="FFFFFF"/>
            </w:tcBorders>
            <w:shd w:val="clear" w:color="auto" w:fill="1F497D" w:themeFill="text2"/>
            <w:noWrap/>
            <w:vAlign w:val="center"/>
            <w:hideMark/>
          </w:tcPr>
          <w:p w:rsidR="00F0094E" w:rsidRPr="0044504B" w:rsidRDefault="00F0094E" w:rsidP="00FE5CBB">
            <w:pPr>
              <w:jc w:val="center"/>
              <w:rPr>
                <w:b/>
                <w:bCs/>
                <w:color w:val="FFFFFF"/>
                <w:sz w:val="20"/>
                <w:szCs w:val="20"/>
              </w:rPr>
            </w:pPr>
            <w:r w:rsidRPr="0044504B">
              <w:rPr>
                <w:b/>
                <w:bCs/>
                <w:color w:val="FFFFFF"/>
                <w:sz w:val="20"/>
                <w:szCs w:val="20"/>
              </w:rPr>
              <w:t>2017</w:t>
            </w:r>
          </w:p>
        </w:tc>
        <w:tc>
          <w:tcPr>
            <w:tcW w:w="990" w:type="dxa"/>
            <w:tcBorders>
              <w:top w:val="single" w:sz="8" w:space="0" w:color="auto"/>
              <w:left w:val="nil"/>
              <w:bottom w:val="single" w:sz="8" w:space="0" w:color="auto"/>
              <w:right w:val="single" w:sz="8" w:space="0" w:color="FFFFFF"/>
            </w:tcBorders>
            <w:shd w:val="clear" w:color="auto" w:fill="1F497D" w:themeFill="text2"/>
            <w:noWrap/>
            <w:vAlign w:val="center"/>
            <w:hideMark/>
          </w:tcPr>
          <w:p w:rsidR="00F0094E" w:rsidRPr="0044504B" w:rsidRDefault="00F0094E" w:rsidP="00FE5CBB">
            <w:pPr>
              <w:jc w:val="center"/>
              <w:rPr>
                <w:b/>
                <w:bCs/>
                <w:color w:val="FFFFFF"/>
                <w:sz w:val="20"/>
                <w:szCs w:val="20"/>
              </w:rPr>
            </w:pPr>
            <w:r w:rsidRPr="0044504B">
              <w:rPr>
                <w:b/>
                <w:bCs/>
                <w:color w:val="FFFFFF"/>
                <w:sz w:val="20"/>
                <w:szCs w:val="20"/>
              </w:rPr>
              <w:t>2018</w:t>
            </w:r>
          </w:p>
        </w:tc>
        <w:tc>
          <w:tcPr>
            <w:tcW w:w="990" w:type="dxa"/>
            <w:tcBorders>
              <w:top w:val="single" w:sz="8" w:space="0" w:color="auto"/>
              <w:left w:val="nil"/>
              <w:bottom w:val="single" w:sz="8" w:space="0" w:color="auto"/>
              <w:right w:val="single" w:sz="8" w:space="0" w:color="FFFFFF"/>
            </w:tcBorders>
            <w:shd w:val="clear" w:color="auto" w:fill="1F497D" w:themeFill="text2"/>
            <w:noWrap/>
            <w:vAlign w:val="center"/>
            <w:hideMark/>
          </w:tcPr>
          <w:p w:rsidR="00F0094E" w:rsidRPr="0044504B" w:rsidRDefault="00F0094E" w:rsidP="00FE5CBB">
            <w:pPr>
              <w:jc w:val="center"/>
              <w:rPr>
                <w:b/>
                <w:bCs/>
                <w:color w:val="FFFFFF"/>
                <w:sz w:val="20"/>
                <w:szCs w:val="20"/>
              </w:rPr>
            </w:pPr>
            <w:r w:rsidRPr="0044504B">
              <w:rPr>
                <w:b/>
                <w:bCs/>
                <w:color w:val="FFFFFF"/>
                <w:sz w:val="20"/>
                <w:szCs w:val="20"/>
              </w:rPr>
              <w:t>2019</w:t>
            </w:r>
          </w:p>
        </w:tc>
        <w:tc>
          <w:tcPr>
            <w:tcW w:w="990" w:type="dxa"/>
            <w:tcBorders>
              <w:top w:val="single" w:sz="8" w:space="0" w:color="auto"/>
              <w:left w:val="nil"/>
              <w:bottom w:val="single" w:sz="8" w:space="0" w:color="auto"/>
              <w:right w:val="single" w:sz="8" w:space="0" w:color="FFFFFF"/>
            </w:tcBorders>
            <w:shd w:val="clear" w:color="auto" w:fill="1F497D" w:themeFill="text2"/>
            <w:noWrap/>
            <w:vAlign w:val="center"/>
            <w:hideMark/>
          </w:tcPr>
          <w:p w:rsidR="00F0094E" w:rsidRPr="0044504B" w:rsidRDefault="00F0094E" w:rsidP="00FE5CBB">
            <w:pPr>
              <w:jc w:val="center"/>
              <w:rPr>
                <w:b/>
                <w:bCs/>
                <w:color w:val="FFFFFF"/>
                <w:sz w:val="20"/>
                <w:szCs w:val="20"/>
              </w:rPr>
            </w:pPr>
            <w:r w:rsidRPr="0044504B">
              <w:rPr>
                <w:b/>
                <w:bCs/>
                <w:color w:val="FFFFFF"/>
                <w:sz w:val="20"/>
                <w:szCs w:val="20"/>
              </w:rPr>
              <w:t>2020</w:t>
            </w:r>
          </w:p>
        </w:tc>
        <w:tc>
          <w:tcPr>
            <w:tcW w:w="1170" w:type="dxa"/>
            <w:tcBorders>
              <w:top w:val="single" w:sz="8" w:space="0" w:color="auto"/>
              <w:left w:val="nil"/>
              <w:bottom w:val="single" w:sz="8" w:space="0" w:color="auto"/>
              <w:right w:val="single" w:sz="8" w:space="0" w:color="auto"/>
            </w:tcBorders>
            <w:shd w:val="clear" w:color="auto" w:fill="1F497D" w:themeFill="text2"/>
            <w:noWrap/>
            <w:vAlign w:val="center"/>
            <w:hideMark/>
          </w:tcPr>
          <w:p w:rsidR="00F0094E" w:rsidRPr="0044504B" w:rsidRDefault="00F0094E" w:rsidP="00FE5CBB">
            <w:pPr>
              <w:jc w:val="center"/>
              <w:rPr>
                <w:b/>
                <w:bCs/>
                <w:color w:val="FFFFFF"/>
                <w:sz w:val="20"/>
                <w:szCs w:val="20"/>
              </w:rPr>
            </w:pPr>
            <w:r w:rsidRPr="0044504B">
              <w:rPr>
                <w:b/>
                <w:bCs/>
                <w:color w:val="FFFFFF"/>
                <w:sz w:val="20"/>
                <w:szCs w:val="20"/>
              </w:rPr>
              <w:t>2021-</w:t>
            </w:r>
            <w:r w:rsidR="00FE5CBB">
              <w:rPr>
                <w:b/>
                <w:bCs/>
                <w:color w:val="FFFFFF"/>
                <w:sz w:val="20"/>
                <w:szCs w:val="20"/>
              </w:rPr>
              <w:t>2</w:t>
            </w:r>
            <w:r w:rsidRPr="0044504B">
              <w:rPr>
                <w:b/>
                <w:bCs/>
                <w:color w:val="FFFFFF"/>
                <w:sz w:val="20"/>
                <w:szCs w:val="20"/>
              </w:rPr>
              <w:t>026</w:t>
            </w:r>
          </w:p>
        </w:tc>
      </w:tr>
      <w:tr w:rsidR="00F0094E" w:rsidRPr="0044504B" w:rsidTr="00490C98">
        <w:trPr>
          <w:trHeight w:val="285"/>
        </w:trPr>
        <w:tc>
          <w:tcPr>
            <w:tcW w:w="1905"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F0094E" w:rsidRPr="00F0094E" w:rsidRDefault="00F0094E" w:rsidP="00C7586E">
            <w:pPr>
              <w:rPr>
                <w:color w:val="000000" w:themeColor="text1"/>
                <w:sz w:val="20"/>
                <w:szCs w:val="20"/>
              </w:rPr>
            </w:pPr>
            <w:r w:rsidRPr="00F0094E">
              <w:rPr>
                <w:color w:val="000000" w:themeColor="text1"/>
                <w:sz w:val="20"/>
                <w:szCs w:val="20"/>
              </w:rPr>
              <w:t>Aggregate Reference Load (MW)</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F0094E" w:rsidRPr="00F0094E" w:rsidRDefault="00F0094E" w:rsidP="00FE5CBB">
            <w:pPr>
              <w:jc w:val="center"/>
              <w:rPr>
                <w:color w:val="000000" w:themeColor="text1"/>
                <w:sz w:val="20"/>
                <w:szCs w:val="20"/>
              </w:rPr>
            </w:pPr>
            <w:r w:rsidRPr="00F0094E">
              <w:rPr>
                <w:color w:val="000000" w:themeColor="text1"/>
                <w:sz w:val="20"/>
                <w:szCs w:val="20"/>
              </w:rPr>
              <w:t>395.29</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F0094E" w:rsidRPr="00F0094E" w:rsidRDefault="00F0094E" w:rsidP="00FE5CBB">
            <w:pPr>
              <w:jc w:val="center"/>
              <w:rPr>
                <w:color w:val="000000" w:themeColor="text1"/>
                <w:sz w:val="20"/>
                <w:szCs w:val="20"/>
              </w:rPr>
            </w:pPr>
            <w:r w:rsidRPr="00F0094E">
              <w:rPr>
                <w:color w:val="000000" w:themeColor="text1"/>
                <w:sz w:val="20"/>
                <w:szCs w:val="20"/>
              </w:rPr>
              <w:t>396.21</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F0094E" w:rsidRPr="00F0094E" w:rsidRDefault="00F0094E" w:rsidP="00FE5CBB">
            <w:pPr>
              <w:jc w:val="center"/>
              <w:rPr>
                <w:color w:val="000000" w:themeColor="text1"/>
                <w:sz w:val="20"/>
                <w:szCs w:val="20"/>
              </w:rPr>
            </w:pPr>
            <w:r w:rsidRPr="00F0094E">
              <w:rPr>
                <w:color w:val="000000" w:themeColor="text1"/>
                <w:sz w:val="20"/>
                <w:szCs w:val="20"/>
              </w:rPr>
              <w:t>396.58</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F0094E" w:rsidRPr="00F0094E" w:rsidRDefault="00F0094E" w:rsidP="00FE5CBB">
            <w:pPr>
              <w:jc w:val="center"/>
              <w:rPr>
                <w:color w:val="000000" w:themeColor="text1"/>
                <w:sz w:val="20"/>
                <w:szCs w:val="20"/>
              </w:rPr>
            </w:pPr>
            <w:r w:rsidRPr="00F0094E">
              <w:rPr>
                <w:color w:val="000000" w:themeColor="text1"/>
                <w:sz w:val="20"/>
                <w:szCs w:val="20"/>
              </w:rPr>
              <w:t>397.02</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F0094E" w:rsidRPr="00F0094E" w:rsidRDefault="00F0094E" w:rsidP="00FE5CBB">
            <w:pPr>
              <w:jc w:val="center"/>
              <w:rPr>
                <w:color w:val="000000" w:themeColor="text1"/>
                <w:sz w:val="20"/>
                <w:szCs w:val="20"/>
              </w:rPr>
            </w:pPr>
            <w:r w:rsidRPr="00F0094E">
              <w:rPr>
                <w:color w:val="000000" w:themeColor="text1"/>
                <w:sz w:val="20"/>
                <w:szCs w:val="20"/>
              </w:rPr>
              <w:t>397.39</w:t>
            </w:r>
          </w:p>
        </w:tc>
        <w:tc>
          <w:tcPr>
            <w:tcW w:w="1170" w:type="dxa"/>
            <w:tcBorders>
              <w:top w:val="single" w:sz="4" w:space="0" w:color="auto"/>
              <w:left w:val="nil"/>
              <w:bottom w:val="single" w:sz="4" w:space="0" w:color="auto"/>
              <w:right w:val="single" w:sz="8" w:space="0" w:color="auto"/>
            </w:tcBorders>
            <w:shd w:val="clear" w:color="auto" w:fill="auto"/>
            <w:noWrap/>
            <w:vAlign w:val="bottom"/>
            <w:hideMark/>
          </w:tcPr>
          <w:p w:rsidR="00F0094E" w:rsidRPr="00F0094E" w:rsidRDefault="00F0094E" w:rsidP="00FE5CBB">
            <w:pPr>
              <w:jc w:val="center"/>
              <w:rPr>
                <w:color w:val="000000" w:themeColor="text1"/>
                <w:sz w:val="20"/>
                <w:szCs w:val="20"/>
              </w:rPr>
            </w:pPr>
            <w:r w:rsidRPr="00F0094E">
              <w:rPr>
                <w:color w:val="000000" w:themeColor="text1"/>
                <w:sz w:val="20"/>
                <w:szCs w:val="20"/>
              </w:rPr>
              <w:t>397.74</w:t>
            </w:r>
          </w:p>
        </w:tc>
      </w:tr>
      <w:tr w:rsidR="00F0094E" w:rsidRPr="0044504B" w:rsidTr="00490C98">
        <w:trPr>
          <w:trHeight w:val="300"/>
        </w:trPr>
        <w:tc>
          <w:tcPr>
            <w:tcW w:w="1905" w:type="dxa"/>
            <w:tcBorders>
              <w:top w:val="nil"/>
              <w:left w:val="single" w:sz="8" w:space="0" w:color="auto"/>
              <w:bottom w:val="single" w:sz="8" w:space="0" w:color="auto"/>
              <w:right w:val="single" w:sz="4" w:space="0" w:color="auto"/>
            </w:tcBorders>
            <w:shd w:val="clear" w:color="auto" w:fill="auto"/>
            <w:noWrap/>
            <w:vAlign w:val="bottom"/>
            <w:hideMark/>
          </w:tcPr>
          <w:p w:rsidR="00F0094E" w:rsidRPr="00F0094E" w:rsidRDefault="00F0094E" w:rsidP="00C7586E">
            <w:pPr>
              <w:rPr>
                <w:color w:val="000000" w:themeColor="text1"/>
                <w:sz w:val="20"/>
                <w:szCs w:val="20"/>
              </w:rPr>
            </w:pPr>
            <w:r w:rsidRPr="00F0094E">
              <w:rPr>
                <w:color w:val="000000" w:themeColor="text1"/>
                <w:sz w:val="20"/>
                <w:szCs w:val="20"/>
              </w:rPr>
              <w:t>Aggregate Impact (MW)</w:t>
            </w:r>
          </w:p>
        </w:tc>
        <w:tc>
          <w:tcPr>
            <w:tcW w:w="990" w:type="dxa"/>
            <w:tcBorders>
              <w:top w:val="nil"/>
              <w:left w:val="nil"/>
              <w:bottom w:val="single" w:sz="8" w:space="0" w:color="auto"/>
              <w:right w:val="single" w:sz="4" w:space="0" w:color="auto"/>
            </w:tcBorders>
            <w:shd w:val="clear" w:color="auto" w:fill="auto"/>
            <w:noWrap/>
            <w:vAlign w:val="bottom"/>
            <w:hideMark/>
          </w:tcPr>
          <w:p w:rsidR="00F0094E" w:rsidRPr="00F0094E" w:rsidRDefault="00F0094E" w:rsidP="00FE5CBB">
            <w:pPr>
              <w:jc w:val="center"/>
              <w:rPr>
                <w:color w:val="000000" w:themeColor="text1"/>
                <w:sz w:val="20"/>
                <w:szCs w:val="20"/>
              </w:rPr>
            </w:pPr>
            <w:r w:rsidRPr="00F0094E">
              <w:rPr>
                <w:color w:val="000000" w:themeColor="text1"/>
                <w:sz w:val="20"/>
                <w:szCs w:val="20"/>
              </w:rPr>
              <w:t>13.54</w:t>
            </w:r>
          </w:p>
        </w:tc>
        <w:tc>
          <w:tcPr>
            <w:tcW w:w="1080" w:type="dxa"/>
            <w:tcBorders>
              <w:top w:val="nil"/>
              <w:left w:val="nil"/>
              <w:bottom w:val="single" w:sz="8" w:space="0" w:color="auto"/>
              <w:right w:val="single" w:sz="4" w:space="0" w:color="auto"/>
            </w:tcBorders>
            <w:shd w:val="clear" w:color="auto" w:fill="auto"/>
            <w:noWrap/>
            <w:vAlign w:val="bottom"/>
            <w:hideMark/>
          </w:tcPr>
          <w:p w:rsidR="00F0094E" w:rsidRPr="00F0094E" w:rsidRDefault="00F0094E" w:rsidP="00FE5CBB">
            <w:pPr>
              <w:jc w:val="center"/>
              <w:rPr>
                <w:color w:val="000000" w:themeColor="text1"/>
                <w:sz w:val="20"/>
                <w:szCs w:val="20"/>
              </w:rPr>
            </w:pPr>
            <w:r w:rsidRPr="00F0094E">
              <w:rPr>
                <w:color w:val="000000" w:themeColor="text1"/>
                <w:sz w:val="20"/>
                <w:szCs w:val="20"/>
              </w:rPr>
              <w:t>13.58</w:t>
            </w:r>
          </w:p>
        </w:tc>
        <w:tc>
          <w:tcPr>
            <w:tcW w:w="990" w:type="dxa"/>
            <w:tcBorders>
              <w:top w:val="nil"/>
              <w:left w:val="nil"/>
              <w:bottom w:val="single" w:sz="8" w:space="0" w:color="auto"/>
              <w:right w:val="single" w:sz="4" w:space="0" w:color="auto"/>
            </w:tcBorders>
            <w:shd w:val="clear" w:color="auto" w:fill="auto"/>
            <w:noWrap/>
            <w:vAlign w:val="bottom"/>
            <w:hideMark/>
          </w:tcPr>
          <w:p w:rsidR="00F0094E" w:rsidRPr="00F0094E" w:rsidRDefault="00F0094E" w:rsidP="00FE5CBB">
            <w:pPr>
              <w:jc w:val="center"/>
              <w:rPr>
                <w:color w:val="000000" w:themeColor="text1"/>
                <w:sz w:val="20"/>
                <w:szCs w:val="20"/>
              </w:rPr>
            </w:pPr>
            <w:r w:rsidRPr="00F0094E">
              <w:rPr>
                <w:color w:val="000000" w:themeColor="text1"/>
                <w:sz w:val="20"/>
                <w:szCs w:val="20"/>
              </w:rPr>
              <w:t>13.59</w:t>
            </w:r>
          </w:p>
        </w:tc>
        <w:tc>
          <w:tcPr>
            <w:tcW w:w="990" w:type="dxa"/>
            <w:tcBorders>
              <w:top w:val="nil"/>
              <w:left w:val="nil"/>
              <w:bottom w:val="single" w:sz="8" w:space="0" w:color="auto"/>
              <w:right w:val="single" w:sz="4" w:space="0" w:color="auto"/>
            </w:tcBorders>
            <w:shd w:val="clear" w:color="auto" w:fill="auto"/>
            <w:noWrap/>
            <w:vAlign w:val="bottom"/>
            <w:hideMark/>
          </w:tcPr>
          <w:p w:rsidR="00F0094E" w:rsidRPr="00F0094E" w:rsidRDefault="00F0094E" w:rsidP="00FE5CBB">
            <w:pPr>
              <w:jc w:val="center"/>
              <w:rPr>
                <w:color w:val="000000" w:themeColor="text1"/>
                <w:sz w:val="20"/>
                <w:szCs w:val="20"/>
              </w:rPr>
            </w:pPr>
            <w:r w:rsidRPr="00F0094E">
              <w:rPr>
                <w:color w:val="000000" w:themeColor="text1"/>
                <w:sz w:val="20"/>
                <w:szCs w:val="20"/>
              </w:rPr>
              <w:t>13.60</w:t>
            </w:r>
          </w:p>
        </w:tc>
        <w:tc>
          <w:tcPr>
            <w:tcW w:w="990" w:type="dxa"/>
            <w:tcBorders>
              <w:top w:val="nil"/>
              <w:left w:val="nil"/>
              <w:bottom w:val="single" w:sz="8" w:space="0" w:color="auto"/>
              <w:right w:val="single" w:sz="4" w:space="0" w:color="auto"/>
            </w:tcBorders>
            <w:shd w:val="clear" w:color="auto" w:fill="auto"/>
            <w:noWrap/>
            <w:vAlign w:val="bottom"/>
            <w:hideMark/>
          </w:tcPr>
          <w:p w:rsidR="00F0094E" w:rsidRPr="00F0094E" w:rsidRDefault="00F0094E" w:rsidP="00FE5CBB">
            <w:pPr>
              <w:jc w:val="center"/>
              <w:rPr>
                <w:color w:val="000000" w:themeColor="text1"/>
                <w:sz w:val="20"/>
                <w:szCs w:val="20"/>
              </w:rPr>
            </w:pPr>
            <w:r w:rsidRPr="00F0094E">
              <w:rPr>
                <w:color w:val="000000" w:themeColor="text1"/>
                <w:sz w:val="20"/>
                <w:szCs w:val="20"/>
              </w:rPr>
              <w:t>13.62</w:t>
            </w:r>
          </w:p>
        </w:tc>
        <w:tc>
          <w:tcPr>
            <w:tcW w:w="1170" w:type="dxa"/>
            <w:tcBorders>
              <w:top w:val="nil"/>
              <w:left w:val="nil"/>
              <w:bottom w:val="single" w:sz="8" w:space="0" w:color="auto"/>
              <w:right w:val="single" w:sz="8" w:space="0" w:color="auto"/>
            </w:tcBorders>
            <w:shd w:val="clear" w:color="auto" w:fill="auto"/>
            <w:noWrap/>
            <w:vAlign w:val="bottom"/>
            <w:hideMark/>
          </w:tcPr>
          <w:p w:rsidR="00F0094E" w:rsidRPr="00F0094E" w:rsidRDefault="00F0094E" w:rsidP="00FE5CBB">
            <w:pPr>
              <w:jc w:val="center"/>
              <w:rPr>
                <w:color w:val="000000" w:themeColor="text1"/>
                <w:sz w:val="20"/>
                <w:szCs w:val="20"/>
              </w:rPr>
            </w:pPr>
            <w:r w:rsidRPr="00F0094E">
              <w:rPr>
                <w:color w:val="000000" w:themeColor="text1"/>
                <w:sz w:val="20"/>
                <w:szCs w:val="20"/>
              </w:rPr>
              <w:t>13.63</w:t>
            </w:r>
          </w:p>
        </w:tc>
      </w:tr>
    </w:tbl>
    <w:p w:rsidR="00F0094E" w:rsidRDefault="00F0094E" w:rsidP="00F0094E">
      <w:pPr>
        <w:ind w:firstLine="360"/>
      </w:pPr>
    </w:p>
    <w:p w:rsidR="00B777EF" w:rsidRPr="000D3BA6" w:rsidRDefault="00B777EF" w:rsidP="00F0094E">
      <w:pPr>
        <w:ind w:firstLine="360"/>
      </w:pPr>
    </w:p>
    <w:p w:rsidR="00F0094E" w:rsidRPr="00E32D76" w:rsidRDefault="00F0094E" w:rsidP="0024252A">
      <w:pPr>
        <w:pStyle w:val="Heading3"/>
        <w:keepLines/>
        <w:numPr>
          <w:ilvl w:val="2"/>
          <w:numId w:val="40"/>
        </w:numPr>
        <w:tabs>
          <w:tab w:val="left" w:pos="810"/>
        </w:tabs>
        <w:spacing w:before="0" w:after="0" w:line="276" w:lineRule="auto"/>
        <w:ind w:hanging="7470"/>
        <w:rPr>
          <w:rFonts w:ascii="Times New Roman" w:hAnsi="Times New Roman" w:cs="Times New Roman"/>
          <w:szCs w:val="24"/>
        </w:rPr>
      </w:pPr>
      <w:bookmarkStart w:id="275" w:name="_Toc447179853"/>
      <w:r w:rsidRPr="00E32D76">
        <w:rPr>
          <w:rFonts w:ascii="Times New Roman" w:hAnsi="Times New Roman" w:cs="Times New Roman"/>
          <w:szCs w:val="24"/>
        </w:rPr>
        <w:lastRenderedPageBreak/>
        <w:t xml:space="preserve">TOU-CPP </w:t>
      </w:r>
      <w:r w:rsidR="00111C59" w:rsidRPr="00111C59">
        <w:rPr>
          <w:rFonts w:ascii="Times New Roman" w:hAnsi="Times New Roman" w:cs="Times New Roman"/>
          <w:szCs w:val="24"/>
        </w:rPr>
        <w:t>Ex-Ante Load Impact Estimates</w:t>
      </w:r>
      <w:bookmarkEnd w:id="275"/>
    </w:p>
    <w:p w:rsidR="00F0094E" w:rsidRPr="003141EE" w:rsidRDefault="00F0094E" w:rsidP="00F0094E">
      <w:pPr>
        <w:pStyle w:val="BodyParagraph"/>
        <w:spacing w:after="0" w:line="276" w:lineRule="auto"/>
      </w:pP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Results for the incremental impact of a CPP rate on event days was estimated from PG&amp;E’s default small commercial program starting in 2015. Estimates of impacts were small and failed to meet significance thresholds at conventional levels. Therefore, the results presented here should be interpreted with caution. </w:t>
      </w:r>
    </w:p>
    <w:p w:rsidR="00F0094E" w:rsidRPr="00B777EF" w:rsidRDefault="00F0094E" w:rsidP="00F0094E">
      <w:pPr>
        <w:pStyle w:val="BodyParagraph"/>
        <w:spacing w:after="0" w:line="276" w:lineRule="auto"/>
        <w:ind w:firstLine="360"/>
        <w:rPr>
          <w:rFonts w:ascii="Times New Roman" w:hAnsi="Times New Roman"/>
          <w:color w:val="000000" w:themeColor="text1"/>
          <w:sz w:val="24"/>
          <w:szCs w:val="24"/>
        </w:rPr>
      </w:pPr>
    </w:p>
    <w:p w:rsidR="00F0094E" w:rsidRPr="00B777EF" w:rsidRDefault="00F0094E" w:rsidP="00F0094E">
      <w:pPr>
        <w:pStyle w:val="BodyParaAfterTableFigure"/>
        <w:spacing w:before="0"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Aggregate impacts for each month of the year are presented in</w:t>
      </w:r>
      <w:r w:rsidR="00260B68">
        <w:rPr>
          <w:rFonts w:ascii="Times New Roman" w:hAnsi="Times New Roman"/>
          <w:color w:val="000000" w:themeColor="text1"/>
          <w:sz w:val="24"/>
          <w:szCs w:val="24"/>
        </w:rPr>
        <w:t xml:space="preserve"> </w:t>
      </w:r>
      <w:r w:rsidR="00260B68" w:rsidRPr="00260B68">
        <w:rPr>
          <w:rFonts w:ascii="Times New Roman" w:hAnsi="Times New Roman"/>
          <w:color w:val="000000" w:themeColor="text1"/>
          <w:sz w:val="22"/>
        </w:rPr>
        <w:t>Table 9-</w:t>
      </w:r>
      <w:r w:rsidR="0024252A">
        <w:rPr>
          <w:rFonts w:ascii="Times New Roman" w:hAnsi="Times New Roman"/>
          <w:color w:val="000000" w:themeColor="text1"/>
          <w:sz w:val="22"/>
        </w:rPr>
        <w:t>6</w:t>
      </w:r>
      <w:r w:rsidRPr="00B777EF">
        <w:rPr>
          <w:rFonts w:ascii="Times New Roman" w:hAnsi="Times New Roman"/>
          <w:color w:val="000000" w:themeColor="text1"/>
          <w:sz w:val="24"/>
          <w:szCs w:val="24"/>
        </w:rPr>
        <w:t xml:space="preserve">. The impacts range from a low of about 10.4 MW in May to a high of almost 16 MW in September. It should be noted that impacts are approximately 30–40% larger in the winter compared to the summer, which is a direct consequence of basing the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estimates on the results from PG&amp;E. </w:t>
      </w:r>
    </w:p>
    <w:p w:rsidR="00F0094E" w:rsidRPr="00E067E4" w:rsidRDefault="00F0094E" w:rsidP="00F0094E">
      <w:pPr>
        <w:jc w:val="center"/>
        <w:rPr>
          <w:b/>
        </w:rPr>
      </w:pPr>
    </w:p>
    <w:p w:rsidR="00F0094E" w:rsidRPr="00111C59" w:rsidRDefault="00F0094E" w:rsidP="006114B7">
      <w:pPr>
        <w:pStyle w:val="Caption"/>
        <w:spacing w:after="120"/>
        <w:jc w:val="center"/>
        <w:rPr>
          <w:color w:val="000000" w:themeColor="text1"/>
          <w:sz w:val="22"/>
          <w:szCs w:val="22"/>
        </w:rPr>
      </w:pPr>
      <w:bookmarkStart w:id="276" w:name="_Ref446067464"/>
      <w:r w:rsidRPr="00111C59">
        <w:rPr>
          <w:color w:val="000000" w:themeColor="text1"/>
          <w:sz w:val="22"/>
          <w:szCs w:val="22"/>
        </w:rPr>
        <w:t>Table 9-</w:t>
      </w:r>
      <w:bookmarkEnd w:id="276"/>
      <w:r w:rsidR="0024252A">
        <w:rPr>
          <w:color w:val="000000" w:themeColor="text1"/>
          <w:sz w:val="22"/>
          <w:szCs w:val="22"/>
        </w:rPr>
        <w:t>6</w:t>
      </w:r>
      <w:r w:rsidRPr="00111C59">
        <w:rPr>
          <w:color w:val="000000" w:themeColor="text1"/>
          <w:sz w:val="22"/>
          <w:szCs w:val="22"/>
        </w:rPr>
        <w:t xml:space="preserve">: Aggregate </w:t>
      </w:r>
      <w:r w:rsidR="008C46A8">
        <w:rPr>
          <w:color w:val="000000" w:themeColor="text1"/>
          <w:sz w:val="22"/>
          <w:szCs w:val="22"/>
        </w:rPr>
        <w:t>Ex-Ante</w:t>
      </w:r>
      <w:r w:rsidRPr="00111C59">
        <w:rPr>
          <w:color w:val="000000" w:themeColor="text1"/>
          <w:sz w:val="22"/>
          <w:szCs w:val="22"/>
        </w:rPr>
        <w:t xml:space="preserve"> TOU Load Impacts for Small Commercial Customers on </w:t>
      </w:r>
      <w:r w:rsidRPr="00111C59">
        <w:rPr>
          <w:color w:val="000000" w:themeColor="text1"/>
          <w:sz w:val="22"/>
          <w:szCs w:val="22"/>
        </w:rPr>
        <w:br/>
        <w:t>Monthly System Peak Event Days</w:t>
      </w:r>
    </w:p>
    <w:tbl>
      <w:tblPr>
        <w:tblW w:w="6403" w:type="dxa"/>
        <w:jc w:val="center"/>
        <w:tblInd w:w="863" w:type="dxa"/>
        <w:tblLook w:val="04A0" w:firstRow="1" w:lastRow="0" w:firstColumn="1" w:lastColumn="0" w:noHBand="0" w:noVBand="1"/>
      </w:tblPr>
      <w:tblGrid>
        <w:gridCol w:w="1690"/>
        <w:gridCol w:w="1125"/>
        <w:gridCol w:w="1260"/>
        <w:gridCol w:w="1080"/>
        <w:gridCol w:w="1248"/>
      </w:tblGrid>
      <w:tr w:rsidR="00F0094E" w:rsidRPr="00E067E4" w:rsidTr="00F0094E">
        <w:trPr>
          <w:trHeight w:val="285"/>
          <w:jc w:val="center"/>
        </w:trPr>
        <w:tc>
          <w:tcPr>
            <w:tcW w:w="1690" w:type="dxa"/>
            <w:vMerge w:val="restart"/>
            <w:tcBorders>
              <w:top w:val="single" w:sz="4" w:space="0" w:color="auto"/>
              <w:left w:val="single" w:sz="4" w:space="0" w:color="auto"/>
              <w:bottom w:val="single" w:sz="4" w:space="0" w:color="000000"/>
              <w:right w:val="single" w:sz="4" w:space="0" w:color="FFFFFF"/>
            </w:tcBorders>
            <w:shd w:val="clear" w:color="auto" w:fill="1F497D" w:themeFill="text2"/>
            <w:vAlign w:val="center"/>
            <w:hideMark/>
          </w:tcPr>
          <w:p w:rsidR="00F0094E" w:rsidRPr="00FE47B7" w:rsidRDefault="00F0094E" w:rsidP="00FE47B7">
            <w:pPr>
              <w:pStyle w:val="TableHeader"/>
              <w:spacing w:before="0" w:after="0" w:line="276" w:lineRule="auto"/>
              <w:rPr>
                <w:rFonts w:ascii="Times New Roman" w:hAnsi="Times New Roman"/>
                <w:szCs w:val="20"/>
              </w:rPr>
            </w:pPr>
            <w:r w:rsidRPr="00FE47B7">
              <w:rPr>
                <w:rFonts w:ascii="Times New Roman" w:hAnsi="Times New Roman"/>
                <w:szCs w:val="20"/>
              </w:rPr>
              <w:t>Month</w:t>
            </w:r>
          </w:p>
        </w:tc>
        <w:tc>
          <w:tcPr>
            <w:tcW w:w="4713" w:type="dxa"/>
            <w:gridSpan w:val="4"/>
            <w:tcBorders>
              <w:top w:val="single" w:sz="4" w:space="0" w:color="auto"/>
              <w:left w:val="nil"/>
              <w:bottom w:val="single" w:sz="4" w:space="0" w:color="FFFFFF"/>
              <w:right w:val="single" w:sz="4" w:space="0" w:color="000000"/>
            </w:tcBorders>
            <w:shd w:val="clear" w:color="auto" w:fill="1F497D" w:themeFill="text2"/>
            <w:vAlign w:val="center"/>
            <w:hideMark/>
          </w:tcPr>
          <w:p w:rsidR="00F0094E" w:rsidRPr="00FE47B7" w:rsidRDefault="00F0094E" w:rsidP="00FE47B7">
            <w:pPr>
              <w:pStyle w:val="TableHeader"/>
              <w:spacing w:before="0" w:after="0" w:line="276" w:lineRule="auto"/>
              <w:rPr>
                <w:rFonts w:ascii="Times New Roman" w:hAnsi="Times New Roman"/>
                <w:szCs w:val="20"/>
              </w:rPr>
            </w:pPr>
            <w:r w:rsidRPr="00FE47B7">
              <w:rPr>
                <w:rFonts w:ascii="Times New Roman" w:hAnsi="Times New Roman"/>
                <w:szCs w:val="20"/>
              </w:rPr>
              <w:t>Load Impact (MW)</w:t>
            </w:r>
          </w:p>
        </w:tc>
      </w:tr>
      <w:tr w:rsidR="00F0094E" w:rsidRPr="00E067E4" w:rsidTr="00F0094E">
        <w:trPr>
          <w:trHeight w:val="285"/>
          <w:jc w:val="center"/>
        </w:trPr>
        <w:tc>
          <w:tcPr>
            <w:tcW w:w="1690" w:type="dxa"/>
            <w:vMerge/>
            <w:tcBorders>
              <w:top w:val="single" w:sz="4" w:space="0" w:color="auto"/>
              <w:left w:val="single" w:sz="4" w:space="0" w:color="auto"/>
              <w:bottom w:val="single" w:sz="4" w:space="0" w:color="000000"/>
              <w:right w:val="single" w:sz="4" w:space="0" w:color="FFFFFF"/>
            </w:tcBorders>
            <w:shd w:val="clear" w:color="auto" w:fill="1F497D" w:themeFill="text2"/>
            <w:vAlign w:val="center"/>
            <w:hideMark/>
          </w:tcPr>
          <w:p w:rsidR="00F0094E" w:rsidRPr="00FE47B7" w:rsidRDefault="00F0094E" w:rsidP="00F0094E">
            <w:pPr>
              <w:pStyle w:val="TableHeader"/>
              <w:spacing w:before="0" w:after="0" w:line="276" w:lineRule="auto"/>
              <w:ind w:firstLine="360"/>
              <w:jc w:val="left"/>
              <w:rPr>
                <w:rFonts w:ascii="Times New Roman" w:hAnsi="Times New Roman"/>
                <w:szCs w:val="20"/>
              </w:rPr>
            </w:pPr>
          </w:p>
        </w:tc>
        <w:tc>
          <w:tcPr>
            <w:tcW w:w="2385" w:type="dxa"/>
            <w:gridSpan w:val="2"/>
            <w:tcBorders>
              <w:top w:val="single" w:sz="4" w:space="0" w:color="FFFFFF"/>
              <w:left w:val="nil"/>
              <w:bottom w:val="single" w:sz="4" w:space="0" w:color="FFFFFF"/>
              <w:right w:val="single" w:sz="4" w:space="0" w:color="FFFFFF"/>
            </w:tcBorders>
            <w:shd w:val="clear" w:color="auto" w:fill="1F497D" w:themeFill="text2"/>
            <w:noWrap/>
            <w:vAlign w:val="center"/>
            <w:hideMark/>
          </w:tcPr>
          <w:p w:rsidR="00F0094E" w:rsidRPr="00FE47B7" w:rsidRDefault="00F0094E" w:rsidP="00FE47B7">
            <w:pPr>
              <w:pStyle w:val="TableHeader"/>
              <w:spacing w:before="0" w:after="0" w:line="276" w:lineRule="auto"/>
              <w:rPr>
                <w:rFonts w:ascii="Times New Roman" w:hAnsi="Times New Roman"/>
                <w:szCs w:val="20"/>
              </w:rPr>
            </w:pPr>
            <w:r w:rsidRPr="00FE47B7">
              <w:rPr>
                <w:rFonts w:ascii="Times New Roman" w:hAnsi="Times New Roman"/>
                <w:szCs w:val="20"/>
              </w:rPr>
              <w:t>CAISO</w:t>
            </w:r>
          </w:p>
        </w:tc>
        <w:tc>
          <w:tcPr>
            <w:tcW w:w="2328" w:type="dxa"/>
            <w:gridSpan w:val="2"/>
            <w:tcBorders>
              <w:top w:val="single" w:sz="4" w:space="0" w:color="FFFFFF"/>
              <w:left w:val="nil"/>
              <w:bottom w:val="single" w:sz="4" w:space="0" w:color="FFFFFF"/>
              <w:right w:val="single" w:sz="4" w:space="0" w:color="000000"/>
            </w:tcBorders>
            <w:shd w:val="clear" w:color="auto" w:fill="1F497D" w:themeFill="text2"/>
            <w:noWrap/>
            <w:vAlign w:val="center"/>
            <w:hideMark/>
          </w:tcPr>
          <w:p w:rsidR="00F0094E" w:rsidRPr="00FE47B7" w:rsidRDefault="00F0094E" w:rsidP="00FE47B7">
            <w:pPr>
              <w:pStyle w:val="TableHeader"/>
              <w:spacing w:before="0" w:after="0" w:line="276" w:lineRule="auto"/>
              <w:rPr>
                <w:rFonts w:ascii="Times New Roman" w:hAnsi="Times New Roman"/>
                <w:szCs w:val="20"/>
              </w:rPr>
            </w:pPr>
            <w:r w:rsidRPr="00FE47B7">
              <w:rPr>
                <w:rFonts w:ascii="Times New Roman" w:hAnsi="Times New Roman"/>
                <w:szCs w:val="20"/>
              </w:rPr>
              <w:t>SDG&amp;E</w:t>
            </w:r>
          </w:p>
        </w:tc>
      </w:tr>
      <w:tr w:rsidR="00F0094E" w:rsidRPr="00E067E4" w:rsidTr="00F0094E">
        <w:trPr>
          <w:trHeight w:val="285"/>
          <w:jc w:val="center"/>
        </w:trPr>
        <w:tc>
          <w:tcPr>
            <w:tcW w:w="1690" w:type="dxa"/>
            <w:vMerge/>
            <w:tcBorders>
              <w:top w:val="single" w:sz="4" w:space="0" w:color="auto"/>
              <w:left w:val="single" w:sz="4" w:space="0" w:color="auto"/>
              <w:bottom w:val="single" w:sz="4" w:space="0" w:color="000000"/>
              <w:right w:val="single" w:sz="4" w:space="0" w:color="FFFFFF"/>
            </w:tcBorders>
            <w:shd w:val="clear" w:color="auto" w:fill="1F497D" w:themeFill="text2"/>
            <w:vAlign w:val="center"/>
            <w:hideMark/>
          </w:tcPr>
          <w:p w:rsidR="00F0094E" w:rsidRPr="00FE47B7" w:rsidRDefault="00F0094E" w:rsidP="00F0094E">
            <w:pPr>
              <w:pStyle w:val="TableHeader"/>
              <w:spacing w:before="0" w:after="0" w:line="276" w:lineRule="auto"/>
              <w:ind w:firstLine="360"/>
              <w:jc w:val="left"/>
              <w:rPr>
                <w:rFonts w:ascii="Times New Roman" w:hAnsi="Times New Roman"/>
                <w:szCs w:val="20"/>
              </w:rPr>
            </w:pPr>
          </w:p>
        </w:tc>
        <w:tc>
          <w:tcPr>
            <w:tcW w:w="1125" w:type="dxa"/>
            <w:tcBorders>
              <w:top w:val="nil"/>
              <w:left w:val="nil"/>
              <w:bottom w:val="single" w:sz="4" w:space="0" w:color="auto"/>
              <w:right w:val="single" w:sz="4" w:space="0" w:color="FFFFFF"/>
            </w:tcBorders>
            <w:shd w:val="clear" w:color="auto" w:fill="1F497D" w:themeFill="text2"/>
            <w:noWrap/>
            <w:vAlign w:val="center"/>
            <w:hideMark/>
          </w:tcPr>
          <w:p w:rsidR="00F0094E" w:rsidRPr="00FE47B7" w:rsidRDefault="00F0094E" w:rsidP="00FE47B7">
            <w:pPr>
              <w:pStyle w:val="TableHeader"/>
              <w:spacing w:before="0" w:after="0" w:line="276" w:lineRule="auto"/>
              <w:rPr>
                <w:rFonts w:ascii="Times New Roman" w:hAnsi="Times New Roman"/>
                <w:szCs w:val="20"/>
              </w:rPr>
            </w:pPr>
            <w:r w:rsidRPr="00FE47B7">
              <w:rPr>
                <w:rFonts w:ascii="Times New Roman" w:hAnsi="Times New Roman"/>
                <w:szCs w:val="20"/>
              </w:rPr>
              <w:t>1-in-2</w:t>
            </w:r>
          </w:p>
        </w:tc>
        <w:tc>
          <w:tcPr>
            <w:tcW w:w="1260" w:type="dxa"/>
            <w:tcBorders>
              <w:top w:val="nil"/>
              <w:left w:val="nil"/>
              <w:bottom w:val="single" w:sz="4" w:space="0" w:color="auto"/>
              <w:right w:val="single" w:sz="4" w:space="0" w:color="FFFFFF"/>
            </w:tcBorders>
            <w:shd w:val="clear" w:color="auto" w:fill="1F497D" w:themeFill="text2"/>
            <w:noWrap/>
            <w:vAlign w:val="center"/>
            <w:hideMark/>
          </w:tcPr>
          <w:p w:rsidR="00F0094E" w:rsidRPr="00FE47B7" w:rsidRDefault="00F0094E" w:rsidP="00FE47B7">
            <w:pPr>
              <w:pStyle w:val="TableHeader"/>
              <w:spacing w:before="0" w:after="0" w:line="276" w:lineRule="auto"/>
              <w:rPr>
                <w:rFonts w:ascii="Times New Roman" w:hAnsi="Times New Roman"/>
                <w:szCs w:val="20"/>
              </w:rPr>
            </w:pPr>
            <w:r w:rsidRPr="00FE47B7">
              <w:rPr>
                <w:rFonts w:ascii="Times New Roman" w:hAnsi="Times New Roman"/>
                <w:szCs w:val="20"/>
              </w:rPr>
              <w:t>1-in-10</w:t>
            </w:r>
          </w:p>
        </w:tc>
        <w:tc>
          <w:tcPr>
            <w:tcW w:w="1080" w:type="dxa"/>
            <w:tcBorders>
              <w:top w:val="nil"/>
              <w:left w:val="nil"/>
              <w:bottom w:val="single" w:sz="4" w:space="0" w:color="auto"/>
              <w:right w:val="single" w:sz="4" w:space="0" w:color="FFFFFF"/>
            </w:tcBorders>
            <w:shd w:val="clear" w:color="auto" w:fill="1F497D" w:themeFill="text2"/>
            <w:noWrap/>
            <w:vAlign w:val="center"/>
            <w:hideMark/>
          </w:tcPr>
          <w:p w:rsidR="00F0094E" w:rsidRPr="00FE47B7" w:rsidRDefault="00F0094E" w:rsidP="00FE47B7">
            <w:pPr>
              <w:pStyle w:val="TableHeader"/>
              <w:spacing w:before="0" w:after="0" w:line="276" w:lineRule="auto"/>
              <w:rPr>
                <w:rFonts w:ascii="Times New Roman" w:hAnsi="Times New Roman"/>
                <w:szCs w:val="20"/>
              </w:rPr>
            </w:pPr>
            <w:r w:rsidRPr="00FE47B7">
              <w:rPr>
                <w:rFonts w:ascii="Times New Roman" w:hAnsi="Times New Roman"/>
                <w:szCs w:val="20"/>
              </w:rPr>
              <w:t>1-in-2</w:t>
            </w:r>
          </w:p>
        </w:tc>
        <w:tc>
          <w:tcPr>
            <w:tcW w:w="1248" w:type="dxa"/>
            <w:tcBorders>
              <w:top w:val="nil"/>
              <w:left w:val="nil"/>
              <w:bottom w:val="single" w:sz="4" w:space="0" w:color="auto"/>
              <w:right w:val="single" w:sz="4" w:space="0" w:color="auto"/>
            </w:tcBorders>
            <w:shd w:val="clear" w:color="auto" w:fill="1F497D" w:themeFill="text2"/>
            <w:noWrap/>
            <w:vAlign w:val="center"/>
            <w:hideMark/>
          </w:tcPr>
          <w:p w:rsidR="00F0094E" w:rsidRPr="00FE47B7" w:rsidRDefault="00F0094E" w:rsidP="00FE47B7">
            <w:pPr>
              <w:pStyle w:val="TableHeader"/>
              <w:spacing w:before="0" w:after="0" w:line="276" w:lineRule="auto"/>
              <w:rPr>
                <w:rFonts w:ascii="Times New Roman" w:hAnsi="Times New Roman"/>
                <w:szCs w:val="20"/>
              </w:rPr>
            </w:pPr>
            <w:r w:rsidRPr="00FE47B7">
              <w:rPr>
                <w:rFonts w:ascii="Times New Roman" w:hAnsi="Times New Roman"/>
                <w:szCs w:val="20"/>
              </w:rPr>
              <w:t>1-in-10</w:t>
            </w:r>
          </w:p>
        </w:tc>
      </w:tr>
      <w:tr w:rsidR="00F0094E" w:rsidRPr="00E067E4"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47B7" w:rsidRDefault="00F0094E" w:rsidP="00FE47B7">
            <w:pPr>
              <w:pStyle w:val="TableText"/>
              <w:spacing w:before="0" w:after="0" w:line="276" w:lineRule="auto"/>
              <w:rPr>
                <w:rFonts w:ascii="Times New Roman" w:hAnsi="Times New Roman"/>
                <w:color w:val="000000" w:themeColor="text1"/>
                <w:sz w:val="20"/>
                <w:szCs w:val="20"/>
              </w:rPr>
            </w:pPr>
            <w:r w:rsidRPr="00FE47B7">
              <w:rPr>
                <w:rFonts w:ascii="Times New Roman" w:hAnsi="Times New Roman"/>
                <w:color w:val="000000" w:themeColor="text1"/>
                <w:sz w:val="20"/>
                <w:szCs w:val="20"/>
              </w:rPr>
              <w:t>January</w:t>
            </w:r>
          </w:p>
        </w:tc>
        <w:tc>
          <w:tcPr>
            <w:tcW w:w="1125"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13.40</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13.40</w:t>
            </w:r>
          </w:p>
        </w:tc>
        <w:tc>
          <w:tcPr>
            <w:tcW w:w="108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13.40</w:t>
            </w:r>
          </w:p>
        </w:tc>
        <w:tc>
          <w:tcPr>
            <w:tcW w:w="1248"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13.40</w:t>
            </w:r>
          </w:p>
        </w:tc>
      </w:tr>
      <w:tr w:rsidR="00F0094E" w:rsidRPr="00E067E4"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47B7" w:rsidRDefault="00F0094E" w:rsidP="00FE47B7">
            <w:pPr>
              <w:pStyle w:val="TableText"/>
              <w:spacing w:before="0" w:after="0" w:line="276" w:lineRule="auto"/>
              <w:rPr>
                <w:rFonts w:ascii="Times New Roman" w:hAnsi="Times New Roman"/>
                <w:color w:val="000000" w:themeColor="text1"/>
                <w:sz w:val="20"/>
                <w:szCs w:val="20"/>
              </w:rPr>
            </w:pPr>
            <w:r w:rsidRPr="00FE47B7">
              <w:rPr>
                <w:rFonts w:ascii="Times New Roman" w:hAnsi="Times New Roman"/>
                <w:color w:val="000000" w:themeColor="text1"/>
                <w:sz w:val="20"/>
                <w:szCs w:val="20"/>
              </w:rPr>
              <w:t>February</w:t>
            </w:r>
          </w:p>
        </w:tc>
        <w:tc>
          <w:tcPr>
            <w:tcW w:w="1125"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13.24</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13.24</w:t>
            </w:r>
          </w:p>
        </w:tc>
        <w:tc>
          <w:tcPr>
            <w:tcW w:w="108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13.24</w:t>
            </w:r>
          </w:p>
        </w:tc>
        <w:tc>
          <w:tcPr>
            <w:tcW w:w="1248"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13.24</w:t>
            </w:r>
          </w:p>
        </w:tc>
      </w:tr>
      <w:tr w:rsidR="00F0094E" w:rsidRPr="00E067E4"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47B7" w:rsidRDefault="00F0094E" w:rsidP="00FE47B7">
            <w:pPr>
              <w:pStyle w:val="TableText"/>
              <w:spacing w:before="0" w:after="0" w:line="276" w:lineRule="auto"/>
              <w:rPr>
                <w:rFonts w:ascii="Times New Roman" w:hAnsi="Times New Roman"/>
                <w:color w:val="000000" w:themeColor="text1"/>
                <w:sz w:val="20"/>
                <w:szCs w:val="20"/>
              </w:rPr>
            </w:pPr>
            <w:r w:rsidRPr="00FE47B7">
              <w:rPr>
                <w:rFonts w:ascii="Times New Roman" w:hAnsi="Times New Roman"/>
                <w:color w:val="000000" w:themeColor="text1"/>
                <w:sz w:val="20"/>
                <w:szCs w:val="20"/>
              </w:rPr>
              <w:t>March</w:t>
            </w:r>
          </w:p>
        </w:tc>
        <w:tc>
          <w:tcPr>
            <w:tcW w:w="1125"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13.02</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13.68</w:t>
            </w:r>
          </w:p>
        </w:tc>
        <w:tc>
          <w:tcPr>
            <w:tcW w:w="108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13.02</w:t>
            </w:r>
          </w:p>
        </w:tc>
        <w:tc>
          <w:tcPr>
            <w:tcW w:w="1248" w:type="dxa"/>
            <w:tcBorders>
              <w:top w:val="nil"/>
              <w:left w:val="nil"/>
              <w:bottom w:val="single" w:sz="4" w:space="0" w:color="auto"/>
              <w:right w:val="single" w:sz="4" w:space="0" w:color="auto"/>
            </w:tcBorders>
            <w:shd w:val="clear" w:color="auto" w:fill="auto"/>
            <w:noWrap/>
            <w:vAlign w:val="bottom"/>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13.46</w:t>
            </w:r>
          </w:p>
        </w:tc>
      </w:tr>
      <w:tr w:rsidR="00F0094E" w:rsidRPr="00E067E4"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47B7" w:rsidRDefault="00F0094E" w:rsidP="00FE47B7">
            <w:pPr>
              <w:pStyle w:val="TableText"/>
              <w:spacing w:before="0" w:after="0" w:line="276" w:lineRule="auto"/>
              <w:rPr>
                <w:rFonts w:ascii="Times New Roman" w:hAnsi="Times New Roman"/>
                <w:color w:val="000000" w:themeColor="text1"/>
                <w:sz w:val="20"/>
                <w:szCs w:val="20"/>
              </w:rPr>
            </w:pPr>
            <w:r w:rsidRPr="00FE47B7">
              <w:rPr>
                <w:rFonts w:ascii="Times New Roman" w:hAnsi="Times New Roman"/>
                <w:color w:val="000000" w:themeColor="text1"/>
                <w:sz w:val="20"/>
                <w:szCs w:val="20"/>
              </w:rPr>
              <w:t>April</w:t>
            </w:r>
          </w:p>
        </w:tc>
        <w:tc>
          <w:tcPr>
            <w:tcW w:w="1125"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12.65</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13.98</w:t>
            </w:r>
          </w:p>
        </w:tc>
        <w:tc>
          <w:tcPr>
            <w:tcW w:w="108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12.85</w:t>
            </w:r>
          </w:p>
        </w:tc>
        <w:tc>
          <w:tcPr>
            <w:tcW w:w="1248" w:type="dxa"/>
            <w:tcBorders>
              <w:top w:val="nil"/>
              <w:left w:val="nil"/>
              <w:bottom w:val="single" w:sz="4" w:space="0" w:color="auto"/>
              <w:right w:val="single" w:sz="4" w:space="0" w:color="auto"/>
            </w:tcBorders>
            <w:shd w:val="clear" w:color="auto" w:fill="auto"/>
            <w:noWrap/>
            <w:vAlign w:val="bottom"/>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14.35</w:t>
            </w:r>
          </w:p>
        </w:tc>
      </w:tr>
      <w:tr w:rsidR="00F0094E" w:rsidRPr="00E067E4"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47B7" w:rsidRDefault="00F0094E" w:rsidP="00FE47B7">
            <w:pPr>
              <w:pStyle w:val="TableText"/>
              <w:spacing w:before="0" w:after="0" w:line="276" w:lineRule="auto"/>
              <w:rPr>
                <w:rFonts w:ascii="Times New Roman" w:hAnsi="Times New Roman"/>
                <w:color w:val="000000" w:themeColor="text1"/>
                <w:sz w:val="20"/>
                <w:szCs w:val="20"/>
              </w:rPr>
            </w:pPr>
            <w:r w:rsidRPr="00FE47B7">
              <w:rPr>
                <w:rFonts w:ascii="Times New Roman" w:hAnsi="Times New Roman"/>
                <w:color w:val="000000" w:themeColor="text1"/>
                <w:sz w:val="20"/>
                <w:szCs w:val="20"/>
              </w:rPr>
              <w:t>May</w:t>
            </w:r>
          </w:p>
        </w:tc>
        <w:tc>
          <w:tcPr>
            <w:tcW w:w="1125"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10.36</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12.05</w:t>
            </w:r>
          </w:p>
        </w:tc>
        <w:tc>
          <w:tcPr>
            <w:tcW w:w="108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10.93</w:t>
            </w:r>
          </w:p>
        </w:tc>
        <w:tc>
          <w:tcPr>
            <w:tcW w:w="1248" w:type="dxa"/>
            <w:tcBorders>
              <w:top w:val="nil"/>
              <w:left w:val="nil"/>
              <w:bottom w:val="single" w:sz="4" w:space="0" w:color="auto"/>
              <w:right w:val="single" w:sz="4" w:space="0" w:color="auto"/>
            </w:tcBorders>
            <w:shd w:val="clear" w:color="auto" w:fill="auto"/>
            <w:noWrap/>
            <w:vAlign w:val="bottom"/>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12.52</w:t>
            </w:r>
          </w:p>
        </w:tc>
      </w:tr>
      <w:tr w:rsidR="00F0094E" w:rsidRPr="00E067E4"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47B7" w:rsidRDefault="00F0094E" w:rsidP="00FE47B7">
            <w:pPr>
              <w:pStyle w:val="TableText"/>
              <w:spacing w:before="0" w:after="0" w:line="276" w:lineRule="auto"/>
              <w:rPr>
                <w:rFonts w:ascii="Times New Roman" w:hAnsi="Times New Roman"/>
                <w:color w:val="000000" w:themeColor="text1"/>
                <w:sz w:val="20"/>
                <w:szCs w:val="20"/>
              </w:rPr>
            </w:pPr>
            <w:r w:rsidRPr="00FE47B7">
              <w:rPr>
                <w:rFonts w:ascii="Times New Roman" w:hAnsi="Times New Roman"/>
                <w:color w:val="000000" w:themeColor="text1"/>
                <w:sz w:val="20"/>
                <w:szCs w:val="20"/>
              </w:rPr>
              <w:t>June</w:t>
            </w:r>
          </w:p>
        </w:tc>
        <w:tc>
          <w:tcPr>
            <w:tcW w:w="1125"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11.85</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12.87</w:t>
            </w:r>
          </w:p>
        </w:tc>
        <w:tc>
          <w:tcPr>
            <w:tcW w:w="108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11.84</w:t>
            </w:r>
          </w:p>
        </w:tc>
        <w:tc>
          <w:tcPr>
            <w:tcW w:w="1248" w:type="dxa"/>
            <w:tcBorders>
              <w:top w:val="nil"/>
              <w:left w:val="nil"/>
              <w:bottom w:val="single" w:sz="4" w:space="0" w:color="auto"/>
              <w:right w:val="single" w:sz="4" w:space="0" w:color="auto"/>
            </w:tcBorders>
            <w:shd w:val="clear" w:color="auto" w:fill="auto"/>
            <w:noWrap/>
            <w:vAlign w:val="bottom"/>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12.90</w:t>
            </w:r>
          </w:p>
        </w:tc>
      </w:tr>
      <w:tr w:rsidR="00F0094E" w:rsidRPr="00E067E4"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47B7" w:rsidRDefault="00F0094E" w:rsidP="00FE47B7">
            <w:pPr>
              <w:pStyle w:val="TableText"/>
              <w:spacing w:before="0" w:after="0" w:line="276" w:lineRule="auto"/>
              <w:rPr>
                <w:rFonts w:ascii="Times New Roman" w:hAnsi="Times New Roman"/>
                <w:color w:val="000000" w:themeColor="text1"/>
                <w:sz w:val="20"/>
                <w:szCs w:val="20"/>
              </w:rPr>
            </w:pPr>
            <w:r w:rsidRPr="00FE47B7">
              <w:rPr>
                <w:rFonts w:ascii="Times New Roman" w:hAnsi="Times New Roman"/>
                <w:color w:val="000000" w:themeColor="text1"/>
                <w:sz w:val="20"/>
                <w:szCs w:val="20"/>
              </w:rPr>
              <w:t>July</w:t>
            </w:r>
          </w:p>
        </w:tc>
        <w:tc>
          <w:tcPr>
            <w:tcW w:w="1125"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12.84</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13.25</w:t>
            </w:r>
          </w:p>
        </w:tc>
        <w:tc>
          <w:tcPr>
            <w:tcW w:w="108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12.87</w:t>
            </w:r>
          </w:p>
        </w:tc>
        <w:tc>
          <w:tcPr>
            <w:tcW w:w="1248" w:type="dxa"/>
            <w:tcBorders>
              <w:top w:val="nil"/>
              <w:left w:val="nil"/>
              <w:bottom w:val="single" w:sz="4" w:space="0" w:color="auto"/>
              <w:right w:val="single" w:sz="4" w:space="0" w:color="auto"/>
            </w:tcBorders>
            <w:shd w:val="clear" w:color="auto" w:fill="auto"/>
            <w:noWrap/>
            <w:vAlign w:val="bottom"/>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14.13</w:t>
            </w:r>
          </w:p>
        </w:tc>
      </w:tr>
      <w:tr w:rsidR="00F0094E" w:rsidRPr="00E067E4"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47B7" w:rsidRDefault="00F0094E" w:rsidP="00FE47B7">
            <w:pPr>
              <w:pStyle w:val="TableText"/>
              <w:spacing w:before="0" w:after="0" w:line="276" w:lineRule="auto"/>
              <w:rPr>
                <w:rFonts w:ascii="Times New Roman" w:hAnsi="Times New Roman"/>
                <w:color w:val="000000" w:themeColor="text1"/>
                <w:sz w:val="20"/>
                <w:szCs w:val="20"/>
              </w:rPr>
            </w:pPr>
            <w:r w:rsidRPr="00FE47B7">
              <w:rPr>
                <w:rFonts w:ascii="Times New Roman" w:hAnsi="Times New Roman"/>
                <w:color w:val="000000" w:themeColor="text1"/>
                <w:sz w:val="20"/>
                <w:szCs w:val="20"/>
              </w:rPr>
              <w:t>August</w:t>
            </w:r>
          </w:p>
        </w:tc>
        <w:tc>
          <w:tcPr>
            <w:tcW w:w="1125"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14.50</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14.65</w:t>
            </w:r>
          </w:p>
        </w:tc>
        <w:tc>
          <w:tcPr>
            <w:tcW w:w="108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14.24</w:t>
            </w:r>
          </w:p>
        </w:tc>
        <w:tc>
          <w:tcPr>
            <w:tcW w:w="1248" w:type="dxa"/>
            <w:tcBorders>
              <w:top w:val="nil"/>
              <w:left w:val="nil"/>
              <w:bottom w:val="single" w:sz="4" w:space="0" w:color="auto"/>
              <w:right w:val="single" w:sz="4" w:space="0" w:color="auto"/>
            </w:tcBorders>
            <w:shd w:val="clear" w:color="auto" w:fill="auto"/>
            <w:noWrap/>
            <w:vAlign w:val="bottom"/>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15.20</w:t>
            </w:r>
          </w:p>
        </w:tc>
      </w:tr>
      <w:tr w:rsidR="00F0094E" w:rsidRPr="00E067E4"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47B7" w:rsidRDefault="00F0094E" w:rsidP="00FE47B7">
            <w:pPr>
              <w:pStyle w:val="TableText"/>
              <w:spacing w:before="0" w:after="0" w:line="276" w:lineRule="auto"/>
              <w:rPr>
                <w:rFonts w:ascii="Times New Roman" w:hAnsi="Times New Roman"/>
                <w:color w:val="000000" w:themeColor="text1"/>
                <w:sz w:val="20"/>
                <w:szCs w:val="20"/>
              </w:rPr>
            </w:pPr>
            <w:r w:rsidRPr="00FE47B7">
              <w:rPr>
                <w:rFonts w:ascii="Times New Roman" w:hAnsi="Times New Roman"/>
                <w:color w:val="000000" w:themeColor="text1"/>
                <w:sz w:val="20"/>
                <w:szCs w:val="20"/>
              </w:rPr>
              <w:t>September</w:t>
            </w:r>
          </w:p>
        </w:tc>
        <w:tc>
          <w:tcPr>
            <w:tcW w:w="1125"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14.38</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15.52</w:t>
            </w:r>
          </w:p>
        </w:tc>
        <w:tc>
          <w:tcPr>
            <w:tcW w:w="108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14.21</w:t>
            </w:r>
          </w:p>
        </w:tc>
        <w:tc>
          <w:tcPr>
            <w:tcW w:w="1248" w:type="dxa"/>
            <w:tcBorders>
              <w:top w:val="nil"/>
              <w:left w:val="nil"/>
              <w:bottom w:val="single" w:sz="4" w:space="0" w:color="auto"/>
              <w:right w:val="single" w:sz="4" w:space="0" w:color="auto"/>
            </w:tcBorders>
            <w:shd w:val="clear" w:color="auto" w:fill="auto"/>
            <w:noWrap/>
            <w:vAlign w:val="bottom"/>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15.39</w:t>
            </w:r>
          </w:p>
        </w:tc>
      </w:tr>
      <w:tr w:rsidR="00F0094E" w:rsidRPr="00E067E4"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47B7" w:rsidRDefault="00F0094E" w:rsidP="00FE47B7">
            <w:pPr>
              <w:pStyle w:val="TableText"/>
              <w:spacing w:before="0" w:after="0" w:line="276" w:lineRule="auto"/>
              <w:rPr>
                <w:rFonts w:ascii="Times New Roman" w:hAnsi="Times New Roman"/>
                <w:color w:val="000000" w:themeColor="text1"/>
                <w:sz w:val="20"/>
                <w:szCs w:val="20"/>
              </w:rPr>
            </w:pPr>
            <w:r w:rsidRPr="00FE47B7">
              <w:rPr>
                <w:rFonts w:ascii="Times New Roman" w:hAnsi="Times New Roman"/>
                <w:color w:val="000000" w:themeColor="text1"/>
                <w:sz w:val="20"/>
                <w:szCs w:val="20"/>
              </w:rPr>
              <w:t>October</w:t>
            </w:r>
          </w:p>
        </w:tc>
        <w:tc>
          <w:tcPr>
            <w:tcW w:w="1125"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13.11</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14.29</w:t>
            </w:r>
          </w:p>
        </w:tc>
        <w:tc>
          <w:tcPr>
            <w:tcW w:w="108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13.53</w:t>
            </w:r>
          </w:p>
        </w:tc>
        <w:tc>
          <w:tcPr>
            <w:tcW w:w="1248"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14.72</w:t>
            </w:r>
          </w:p>
        </w:tc>
      </w:tr>
      <w:tr w:rsidR="00F0094E" w:rsidRPr="00E067E4"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47B7" w:rsidRDefault="00F0094E" w:rsidP="00FE47B7">
            <w:pPr>
              <w:pStyle w:val="TableText"/>
              <w:spacing w:before="0" w:after="0" w:line="276" w:lineRule="auto"/>
              <w:rPr>
                <w:rFonts w:ascii="Times New Roman" w:hAnsi="Times New Roman"/>
                <w:color w:val="000000" w:themeColor="text1"/>
                <w:sz w:val="20"/>
                <w:szCs w:val="20"/>
              </w:rPr>
            </w:pPr>
            <w:r w:rsidRPr="00FE47B7">
              <w:rPr>
                <w:rFonts w:ascii="Times New Roman" w:hAnsi="Times New Roman"/>
                <w:color w:val="000000" w:themeColor="text1"/>
                <w:sz w:val="20"/>
                <w:szCs w:val="20"/>
              </w:rPr>
              <w:t>November</w:t>
            </w:r>
          </w:p>
        </w:tc>
        <w:tc>
          <w:tcPr>
            <w:tcW w:w="1125"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13.63</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14.39</w:t>
            </w:r>
          </w:p>
        </w:tc>
        <w:tc>
          <w:tcPr>
            <w:tcW w:w="108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13.74</w:t>
            </w:r>
          </w:p>
        </w:tc>
        <w:tc>
          <w:tcPr>
            <w:tcW w:w="1248"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14.82</w:t>
            </w:r>
          </w:p>
        </w:tc>
      </w:tr>
      <w:tr w:rsidR="00F0094E" w:rsidRPr="00E067E4" w:rsidTr="00F0094E">
        <w:trPr>
          <w:trHeight w:val="285"/>
          <w:jc w:val="center"/>
        </w:trPr>
        <w:tc>
          <w:tcPr>
            <w:tcW w:w="1690" w:type="dxa"/>
            <w:tcBorders>
              <w:top w:val="nil"/>
              <w:left w:val="single" w:sz="4" w:space="0" w:color="auto"/>
              <w:bottom w:val="single" w:sz="4" w:space="0" w:color="auto"/>
              <w:right w:val="single" w:sz="4" w:space="0" w:color="auto"/>
            </w:tcBorders>
            <w:shd w:val="clear" w:color="auto" w:fill="auto"/>
            <w:noWrap/>
            <w:vAlign w:val="center"/>
            <w:hideMark/>
          </w:tcPr>
          <w:p w:rsidR="00F0094E" w:rsidRPr="00FE47B7" w:rsidRDefault="00F0094E" w:rsidP="00FE47B7">
            <w:pPr>
              <w:pStyle w:val="TableText"/>
              <w:spacing w:before="0" w:after="0" w:line="276" w:lineRule="auto"/>
              <w:rPr>
                <w:rFonts w:ascii="Times New Roman" w:hAnsi="Times New Roman"/>
                <w:color w:val="000000" w:themeColor="text1"/>
                <w:sz w:val="20"/>
                <w:szCs w:val="20"/>
              </w:rPr>
            </w:pPr>
            <w:r w:rsidRPr="00FE47B7">
              <w:rPr>
                <w:rFonts w:ascii="Times New Roman" w:hAnsi="Times New Roman"/>
                <w:color w:val="000000" w:themeColor="text1"/>
                <w:sz w:val="20"/>
                <w:szCs w:val="20"/>
              </w:rPr>
              <w:t>December</w:t>
            </w:r>
          </w:p>
        </w:tc>
        <w:tc>
          <w:tcPr>
            <w:tcW w:w="1125"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13.40</w:t>
            </w:r>
          </w:p>
        </w:tc>
        <w:tc>
          <w:tcPr>
            <w:tcW w:w="126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13.40</w:t>
            </w:r>
          </w:p>
        </w:tc>
        <w:tc>
          <w:tcPr>
            <w:tcW w:w="1080"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13.40</w:t>
            </w:r>
          </w:p>
        </w:tc>
        <w:tc>
          <w:tcPr>
            <w:tcW w:w="1248" w:type="dxa"/>
            <w:tcBorders>
              <w:top w:val="nil"/>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13.40</w:t>
            </w:r>
          </w:p>
        </w:tc>
      </w:tr>
    </w:tbl>
    <w:p w:rsidR="00F0094E" w:rsidRDefault="00F0094E" w:rsidP="00F0094E">
      <w:pPr>
        <w:pStyle w:val="BodyParaAfterTableFigure"/>
        <w:spacing w:before="0" w:after="0" w:line="276" w:lineRule="auto"/>
        <w:ind w:firstLine="360"/>
        <w:rPr>
          <w:rFonts w:ascii="Times New Roman" w:hAnsi="Times New Roman"/>
          <w:sz w:val="24"/>
          <w:szCs w:val="24"/>
        </w:rPr>
      </w:pPr>
    </w:p>
    <w:p w:rsidR="00F0094E" w:rsidRPr="000D3BA6" w:rsidRDefault="00F0094E" w:rsidP="00F0094E">
      <w:pPr>
        <w:pStyle w:val="BodyParaAfterTableFigure"/>
        <w:spacing w:before="0" w:after="0" w:line="276" w:lineRule="auto"/>
        <w:ind w:firstLine="360"/>
        <w:rPr>
          <w:rFonts w:ascii="Times New Roman" w:hAnsi="Times New Roman"/>
          <w:sz w:val="24"/>
          <w:szCs w:val="24"/>
        </w:rPr>
      </w:pPr>
      <w:r w:rsidRPr="000D3BA6">
        <w:rPr>
          <w:rFonts w:ascii="Times New Roman" w:hAnsi="Times New Roman"/>
          <w:sz w:val="24"/>
          <w:szCs w:val="24"/>
        </w:rPr>
        <w:t xml:space="preserve">Enrollment in the TOU-CPP rates is forecast to decrease over time. This is because SDG&amp;E forecasts a larger fraction of customers switching to TOU-only rates over time and away from the TOU-CPP rate. Despite a growing population, enrollment will decrease over time, flattening out after 2019. </w:t>
      </w:r>
      <w:r w:rsidRPr="00260B68">
        <w:rPr>
          <w:rFonts w:ascii="Times New Roman" w:hAnsi="Times New Roman"/>
          <w:sz w:val="22"/>
        </w:rPr>
        <w:fldChar w:fldCharType="begin"/>
      </w:r>
      <w:r w:rsidRPr="00260B68">
        <w:rPr>
          <w:rFonts w:ascii="Times New Roman" w:hAnsi="Times New Roman"/>
          <w:sz w:val="22"/>
        </w:rPr>
        <w:instrText xml:space="preserve"> REF _Ref446067543 \h  \* MERGEFORMAT </w:instrText>
      </w:r>
      <w:r w:rsidRPr="00260B68">
        <w:rPr>
          <w:rFonts w:ascii="Times New Roman" w:hAnsi="Times New Roman"/>
          <w:sz w:val="22"/>
        </w:rPr>
      </w:r>
      <w:r w:rsidRPr="00260B68">
        <w:rPr>
          <w:rFonts w:ascii="Times New Roman" w:hAnsi="Times New Roman"/>
          <w:sz w:val="22"/>
        </w:rPr>
        <w:fldChar w:fldCharType="separate"/>
      </w:r>
      <w:r w:rsidR="00260B68" w:rsidRPr="00260B68">
        <w:rPr>
          <w:rFonts w:ascii="Times New Roman" w:hAnsi="Times New Roman"/>
          <w:sz w:val="22"/>
        </w:rPr>
        <w:t xml:space="preserve">Table </w:t>
      </w:r>
      <w:r w:rsidRPr="00260B68">
        <w:rPr>
          <w:rFonts w:ascii="Times New Roman" w:hAnsi="Times New Roman"/>
          <w:sz w:val="22"/>
        </w:rPr>
        <w:fldChar w:fldCharType="end"/>
      </w:r>
      <w:r w:rsidR="00260B68" w:rsidRPr="00260B68">
        <w:rPr>
          <w:rFonts w:ascii="Times New Roman" w:hAnsi="Times New Roman"/>
          <w:sz w:val="22"/>
        </w:rPr>
        <w:t>9-</w:t>
      </w:r>
      <w:r w:rsidR="0024252A">
        <w:rPr>
          <w:rFonts w:ascii="Times New Roman" w:hAnsi="Times New Roman"/>
          <w:sz w:val="22"/>
        </w:rPr>
        <w:t>7</w:t>
      </w:r>
      <w:r>
        <w:rPr>
          <w:rFonts w:ascii="Times New Roman" w:hAnsi="Times New Roman"/>
          <w:sz w:val="24"/>
          <w:szCs w:val="24"/>
        </w:rPr>
        <w:t xml:space="preserve"> </w:t>
      </w:r>
      <w:r w:rsidRPr="000D3BA6">
        <w:rPr>
          <w:rFonts w:ascii="Times New Roman" w:hAnsi="Times New Roman"/>
          <w:sz w:val="24"/>
          <w:szCs w:val="24"/>
        </w:rPr>
        <w:t>provides aggregate impacts for each August Monthly System Peak Non-Event Day in the forecast according to the SDG&amp;E 1-in-2 Weather Forecast.</w:t>
      </w:r>
    </w:p>
    <w:p w:rsidR="00F0094E" w:rsidRPr="00E067E4" w:rsidRDefault="00F0094E" w:rsidP="00F0094E">
      <w:pPr>
        <w:pStyle w:val="BodyParagraph"/>
        <w:spacing w:after="0" w:line="276" w:lineRule="auto"/>
        <w:ind w:firstLine="360"/>
        <w:jc w:val="center"/>
        <w:rPr>
          <w:rFonts w:ascii="Times New Roman" w:hAnsi="Times New Roman"/>
          <w:szCs w:val="20"/>
        </w:rPr>
      </w:pPr>
    </w:p>
    <w:p w:rsidR="00510275" w:rsidRDefault="00F0094E" w:rsidP="006114B7">
      <w:pPr>
        <w:pStyle w:val="Caption"/>
        <w:spacing w:after="120"/>
        <w:jc w:val="center"/>
        <w:rPr>
          <w:sz w:val="22"/>
          <w:szCs w:val="22"/>
        </w:rPr>
      </w:pPr>
      <w:r w:rsidRPr="00FE47B7">
        <w:rPr>
          <w:sz w:val="22"/>
          <w:szCs w:val="22"/>
        </w:rPr>
        <w:t>Table 9-</w:t>
      </w:r>
      <w:r w:rsidR="0024252A">
        <w:rPr>
          <w:sz w:val="22"/>
          <w:szCs w:val="22"/>
        </w:rPr>
        <w:t>7</w:t>
      </w:r>
      <w:r w:rsidRPr="00FE47B7">
        <w:rPr>
          <w:sz w:val="22"/>
          <w:szCs w:val="22"/>
        </w:rPr>
        <w:t xml:space="preserve">: Aggregate </w:t>
      </w:r>
      <w:r w:rsidR="008C46A8">
        <w:rPr>
          <w:sz w:val="22"/>
          <w:szCs w:val="22"/>
        </w:rPr>
        <w:t>Ex-Ante</w:t>
      </w:r>
      <w:r w:rsidRPr="00FE47B7">
        <w:rPr>
          <w:sz w:val="22"/>
          <w:szCs w:val="22"/>
        </w:rPr>
        <w:t xml:space="preserve"> TOU-CPP Load Impacts for Small Commercial </w:t>
      </w:r>
    </w:p>
    <w:p w:rsidR="00F0094E" w:rsidRPr="00FE47B7" w:rsidRDefault="00F0094E" w:rsidP="006114B7">
      <w:pPr>
        <w:pStyle w:val="Caption"/>
        <w:spacing w:after="120"/>
        <w:jc w:val="center"/>
        <w:rPr>
          <w:sz w:val="22"/>
          <w:szCs w:val="22"/>
        </w:rPr>
      </w:pPr>
      <w:r w:rsidRPr="00FE47B7">
        <w:rPr>
          <w:sz w:val="22"/>
          <w:szCs w:val="22"/>
        </w:rPr>
        <w:t>Customers on August Monthly Peak Days</w:t>
      </w:r>
    </w:p>
    <w:tbl>
      <w:tblPr>
        <w:tblW w:w="8720" w:type="dxa"/>
        <w:jc w:val="center"/>
        <w:tblInd w:w="93" w:type="dxa"/>
        <w:tblLook w:val="04A0" w:firstRow="1" w:lastRow="0" w:firstColumn="1" w:lastColumn="0" w:noHBand="0" w:noVBand="1"/>
      </w:tblPr>
      <w:tblGrid>
        <w:gridCol w:w="3518"/>
        <w:gridCol w:w="1226"/>
        <w:gridCol w:w="1276"/>
        <w:gridCol w:w="1224"/>
        <w:gridCol w:w="1476"/>
      </w:tblGrid>
      <w:tr w:rsidR="00F0094E" w:rsidRPr="00E067E4" w:rsidTr="00F0094E">
        <w:trPr>
          <w:trHeight w:val="300"/>
          <w:jc w:val="center"/>
        </w:trPr>
        <w:tc>
          <w:tcPr>
            <w:tcW w:w="3518" w:type="dxa"/>
            <w:tcBorders>
              <w:top w:val="single" w:sz="8" w:space="0" w:color="auto"/>
              <w:left w:val="single" w:sz="8" w:space="0" w:color="auto"/>
              <w:bottom w:val="single" w:sz="8" w:space="0" w:color="auto"/>
              <w:right w:val="single" w:sz="8" w:space="0" w:color="FFFFFF"/>
            </w:tcBorders>
            <w:shd w:val="clear" w:color="auto" w:fill="1F497D" w:themeFill="text2"/>
            <w:noWrap/>
            <w:vAlign w:val="center"/>
            <w:hideMark/>
          </w:tcPr>
          <w:p w:rsidR="00F0094E" w:rsidRPr="00E067E4" w:rsidRDefault="00F0094E" w:rsidP="005703B8">
            <w:pPr>
              <w:jc w:val="center"/>
              <w:rPr>
                <w:b/>
                <w:bCs/>
                <w:color w:val="FFFFFF"/>
                <w:sz w:val="20"/>
                <w:szCs w:val="20"/>
              </w:rPr>
            </w:pPr>
            <w:r w:rsidRPr="00E067E4">
              <w:rPr>
                <w:b/>
                <w:bCs/>
                <w:color w:val="FFFFFF"/>
                <w:sz w:val="20"/>
                <w:szCs w:val="20"/>
              </w:rPr>
              <w:t>Year</w:t>
            </w:r>
          </w:p>
        </w:tc>
        <w:tc>
          <w:tcPr>
            <w:tcW w:w="1226" w:type="dxa"/>
            <w:tcBorders>
              <w:top w:val="single" w:sz="8" w:space="0" w:color="auto"/>
              <w:left w:val="nil"/>
              <w:bottom w:val="single" w:sz="8" w:space="0" w:color="auto"/>
              <w:right w:val="single" w:sz="8" w:space="0" w:color="FFFFFF"/>
            </w:tcBorders>
            <w:shd w:val="clear" w:color="auto" w:fill="1F497D" w:themeFill="text2"/>
            <w:noWrap/>
            <w:vAlign w:val="center"/>
            <w:hideMark/>
          </w:tcPr>
          <w:p w:rsidR="00F0094E" w:rsidRPr="00E067E4" w:rsidRDefault="00F0094E" w:rsidP="005703B8">
            <w:pPr>
              <w:jc w:val="center"/>
              <w:rPr>
                <w:b/>
                <w:bCs/>
                <w:color w:val="FFFFFF"/>
                <w:sz w:val="20"/>
                <w:szCs w:val="20"/>
              </w:rPr>
            </w:pPr>
            <w:r w:rsidRPr="00E067E4">
              <w:rPr>
                <w:b/>
                <w:bCs/>
                <w:color w:val="FFFFFF"/>
                <w:sz w:val="20"/>
                <w:szCs w:val="20"/>
              </w:rPr>
              <w:t>2016</w:t>
            </w:r>
          </w:p>
        </w:tc>
        <w:tc>
          <w:tcPr>
            <w:tcW w:w="1276" w:type="dxa"/>
            <w:tcBorders>
              <w:top w:val="single" w:sz="8" w:space="0" w:color="auto"/>
              <w:left w:val="nil"/>
              <w:bottom w:val="single" w:sz="8" w:space="0" w:color="auto"/>
              <w:right w:val="single" w:sz="8" w:space="0" w:color="FFFFFF"/>
            </w:tcBorders>
            <w:shd w:val="clear" w:color="auto" w:fill="1F497D" w:themeFill="text2"/>
            <w:noWrap/>
            <w:vAlign w:val="center"/>
            <w:hideMark/>
          </w:tcPr>
          <w:p w:rsidR="00F0094E" w:rsidRPr="00E067E4" w:rsidRDefault="00F0094E" w:rsidP="005703B8">
            <w:pPr>
              <w:jc w:val="center"/>
              <w:rPr>
                <w:b/>
                <w:bCs/>
                <w:color w:val="FFFFFF"/>
                <w:sz w:val="20"/>
                <w:szCs w:val="20"/>
              </w:rPr>
            </w:pPr>
            <w:r w:rsidRPr="00E067E4">
              <w:rPr>
                <w:b/>
                <w:bCs/>
                <w:color w:val="FFFFFF"/>
                <w:sz w:val="20"/>
                <w:szCs w:val="20"/>
              </w:rPr>
              <w:t>2017</w:t>
            </w:r>
          </w:p>
        </w:tc>
        <w:tc>
          <w:tcPr>
            <w:tcW w:w="1224" w:type="dxa"/>
            <w:tcBorders>
              <w:top w:val="single" w:sz="8" w:space="0" w:color="auto"/>
              <w:left w:val="nil"/>
              <w:bottom w:val="single" w:sz="8" w:space="0" w:color="auto"/>
              <w:right w:val="single" w:sz="8" w:space="0" w:color="FFFFFF"/>
            </w:tcBorders>
            <w:shd w:val="clear" w:color="auto" w:fill="1F497D" w:themeFill="text2"/>
            <w:noWrap/>
            <w:vAlign w:val="center"/>
            <w:hideMark/>
          </w:tcPr>
          <w:p w:rsidR="00F0094E" w:rsidRPr="00E067E4" w:rsidRDefault="00F0094E" w:rsidP="005703B8">
            <w:pPr>
              <w:jc w:val="center"/>
              <w:rPr>
                <w:b/>
                <w:bCs/>
                <w:color w:val="FFFFFF"/>
                <w:sz w:val="20"/>
                <w:szCs w:val="20"/>
              </w:rPr>
            </w:pPr>
            <w:r w:rsidRPr="00E067E4">
              <w:rPr>
                <w:b/>
                <w:bCs/>
                <w:color w:val="FFFFFF"/>
                <w:sz w:val="20"/>
                <w:szCs w:val="20"/>
              </w:rPr>
              <w:t>2018</w:t>
            </w:r>
          </w:p>
        </w:tc>
        <w:tc>
          <w:tcPr>
            <w:tcW w:w="1476" w:type="dxa"/>
            <w:tcBorders>
              <w:top w:val="single" w:sz="8" w:space="0" w:color="auto"/>
              <w:left w:val="nil"/>
              <w:bottom w:val="single" w:sz="8" w:space="0" w:color="auto"/>
              <w:right w:val="single" w:sz="8" w:space="0" w:color="FFFFFF"/>
            </w:tcBorders>
            <w:shd w:val="clear" w:color="auto" w:fill="1F497D" w:themeFill="text2"/>
            <w:noWrap/>
            <w:vAlign w:val="center"/>
            <w:hideMark/>
          </w:tcPr>
          <w:p w:rsidR="00F0094E" w:rsidRPr="00E067E4" w:rsidRDefault="00F0094E" w:rsidP="005703B8">
            <w:pPr>
              <w:jc w:val="center"/>
              <w:rPr>
                <w:b/>
                <w:bCs/>
                <w:color w:val="FFFFFF"/>
                <w:sz w:val="20"/>
                <w:szCs w:val="20"/>
              </w:rPr>
            </w:pPr>
            <w:r w:rsidRPr="00E067E4">
              <w:rPr>
                <w:b/>
                <w:bCs/>
                <w:color w:val="FFFFFF"/>
                <w:sz w:val="20"/>
                <w:szCs w:val="20"/>
              </w:rPr>
              <w:t>2019-2026</w:t>
            </w:r>
          </w:p>
        </w:tc>
      </w:tr>
      <w:tr w:rsidR="00F0094E" w:rsidRPr="00E067E4" w:rsidTr="00F0094E">
        <w:trPr>
          <w:trHeight w:val="285"/>
          <w:jc w:val="center"/>
        </w:trPr>
        <w:tc>
          <w:tcPr>
            <w:tcW w:w="3518"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F0094E" w:rsidRPr="00FE47B7" w:rsidRDefault="00F0094E" w:rsidP="00FE47B7">
            <w:pPr>
              <w:rPr>
                <w:color w:val="000000" w:themeColor="text1"/>
                <w:sz w:val="20"/>
                <w:szCs w:val="20"/>
              </w:rPr>
            </w:pPr>
            <w:r w:rsidRPr="00FE47B7">
              <w:rPr>
                <w:color w:val="000000" w:themeColor="text1"/>
                <w:sz w:val="20"/>
                <w:szCs w:val="20"/>
              </w:rPr>
              <w:t>Aggregate Reference Load (MW)</w:t>
            </w:r>
          </w:p>
        </w:tc>
        <w:tc>
          <w:tcPr>
            <w:tcW w:w="1226" w:type="dxa"/>
            <w:tcBorders>
              <w:top w:val="single" w:sz="4" w:space="0" w:color="auto"/>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361.77</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323.75</w:t>
            </w:r>
          </w:p>
        </w:tc>
        <w:tc>
          <w:tcPr>
            <w:tcW w:w="1224" w:type="dxa"/>
            <w:tcBorders>
              <w:top w:val="single" w:sz="4" w:space="0" w:color="auto"/>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304.74</w:t>
            </w:r>
          </w:p>
        </w:tc>
        <w:tc>
          <w:tcPr>
            <w:tcW w:w="1476" w:type="dxa"/>
            <w:tcBorders>
              <w:top w:val="single" w:sz="4" w:space="0" w:color="auto"/>
              <w:left w:val="nil"/>
              <w:bottom w:val="single" w:sz="4"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304.74</w:t>
            </w:r>
          </w:p>
        </w:tc>
      </w:tr>
      <w:tr w:rsidR="00F0094E" w:rsidRPr="00E067E4" w:rsidTr="00F0094E">
        <w:trPr>
          <w:trHeight w:val="300"/>
          <w:jc w:val="center"/>
        </w:trPr>
        <w:tc>
          <w:tcPr>
            <w:tcW w:w="3518" w:type="dxa"/>
            <w:tcBorders>
              <w:top w:val="nil"/>
              <w:left w:val="single" w:sz="8" w:space="0" w:color="auto"/>
              <w:bottom w:val="single" w:sz="8" w:space="0" w:color="auto"/>
              <w:right w:val="single" w:sz="4" w:space="0" w:color="auto"/>
            </w:tcBorders>
            <w:shd w:val="clear" w:color="auto" w:fill="auto"/>
            <w:noWrap/>
            <w:vAlign w:val="bottom"/>
            <w:hideMark/>
          </w:tcPr>
          <w:p w:rsidR="00F0094E" w:rsidRPr="00FE47B7" w:rsidRDefault="00F0094E" w:rsidP="00FE47B7">
            <w:pPr>
              <w:rPr>
                <w:color w:val="000000" w:themeColor="text1"/>
                <w:sz w:val="20"/>
                <w:szCs w:val="20"/>
              </w:rPr>
            </w:pPr>
            <w:r w:rsidRPr="00FE47B7">
              <w:rPr>
                <w:color w:val="000000" w:themeColor="text1"/>
                <w:sz w:val="20"/>
                <w:szCs w:val="20"/>
              </w:rPr>
              <w:t>Aggregate Impact (MW)</w:t>
            </w:r>
          </w:p>
        </w:tc>
        <w:tc>
          <w:tcPr>
            <w:tcW w:w="1226" w:type="dxa"/>
            <w:tcBorders>
              <w:top w:val="nil"/>
              <w:left w:val="nil"/>
              <w:bottom w:val="single" w:sz="8"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14.24</w:t>
            </w:r>
          </w:p>
        </w:tc>
        <w:tc>
          <w:tcPr>
            <w:tcW w:w="1276" w:type="dxa"/>
            <w:tcBorders>
              <w:top w:val="nil"/>
              <w:left w:val="nil"/>
              <w:bottom w:val="single" w:sz="8"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12.74</w:t>
            </w:r>
          </w:p>
        </w:tc>
        <w:tc>
          <w:tcPr>
            <w:tcW w:w="1224" w:type="dxa"/>
            <w:tcBorders>
              <w:top w:val="nil"/>
              <w:left w:val="nil"/>
              <w:bottom w:val="single" w:sz="8"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12.00</w:t>
            </w:r>
          </w:p>
        </w:tc>
        <w:tc>
          <w:tcPr>
            <w:tcW w:w="1476" w:type="dxa"/>
            <w:tcBorders>
              <w:top w:val="nil"/>
              <w:left w:val="nil"/>
              <w:bottom w:val="single" w:sz="8" w:space="0" w:color="auto"/>
              <w:right w:val="single" w:sz="4" w:space="0" w:color="auto"/>
            </w:tcBorders>
            <w:shd w:val="clear" w:color="auto" w:fill="auto"/>
            <w:noWrap/>
            <w:vAlign w:val="bottom"/>
            <w:hideMark/>
          </w:tcPr>
          <w:p w:rsidR="00F0094E" w:rsidRPr="00FE47B7" w:rsidRDefault="00F0094E" w:rsidP="00FE47B7">
            <w:pPr>
              <w:contextualSpacing/>
              <w:jc w:val="center"/>
              <w:rPr>
                <w:color w:val="000000" w:themeColor="text1"/>
                <w:sz w:val="20"/>
                <w:szCs w:val="20"/>
              </w:rPr>
            </w:pPr>
            <w:r w:rsidRPr="00FE47B7">
              <w:rPr>
                <w:color w:val="000000" w:themeColor="text1"/>
                <w:sz w:val="20"/>
                <w:szCs w:val="20"/>
              </w:rPr>
              <w:t>2.00</w:t>
            </w:r>
          </w:p>
        </w:tc>
      </w:tr>
    </w:tbl>
    <w:p w:rsidR="00714AFF" w:rsidRPr="0075092E" w:rsidRDefault="005703B8" w:rsidP="00714AFF">
      <w:pPr>
        <w:pStyle w:val="Heading1"/>
        <w:spacing w:after="0" w:line="276" w:lineRule="auto"/>
        <w:rPr>
          <w:rFonts w:ascii="Times New Roman" w:hAnsi="Times New Roman" w:cs="Times New Roman"/>
          <w:color w:val="000000" w:themeColor="text1"/>
        </w:rPr>
      </w:pPr>
      <w:bookmarkStart w:id="277" w:name="_Toc447179854"/>
      <w:r>
        <w:rPr>
          <w:rFonts w:ascii="Times New Roman" w:hAnsi="Times New Roman" w:cs="Times New Roman"/>
          <w:color w:val="000000" w:themeColor="text1"/>
        </w:rPr>
        <w:lastRenderedPageBreak/>
        <w:t>C</w:t>
      </w:r>
      <w:r w:rsidR="00714AFF">
        <w:rPr>
          <w:rFonts w:ascii="Times New Roman" w:hAnsi="Times New Roman" w:cs="Times New Roman"/>
          <w:color w:val="000000" w:themeColor="text1"/>
        </w:rPr>
        <w:t>ommercial Thermostats</w:t>
      </w:r>
      <w:bookmarkEnd w:id="277"/>
    </w:p>
    <w:p w:rsidR="00714AFF" w:rsidRPr="00463C7B" w:rsidRDefault="00714AFF" w:rsidP="00714AFF">
      <w:pPr>
        <w:pStyle w:val="Heading2"/>
        <w:rPr>
          <w:rFonts w:ascii="Times New Roman" w:hAnsi="Times New Roman" w:cs="Times New Roman"/>
          <w:color w:val="000000" w:themeColor="text1"/>
        </w:rPr>
      </w:pPr>
      <w:bookmarkStart w:id="278" w:name="_Toc447179855"/>
      <w:r>
        <w:rPr>
          <w:rFonts w:ascii="Times New Roman" w:hAnsi="Times New Roman" w:cs="Times New Roman"/>
          <w:color w:val="000000" w:themeColor="text1"/>
        </w:rPr>
        <w:t>Commercial Thermostats Overview</w:t>
      </w:r>
      <w:bookmarkEnd w:id="278"/>
    </w:p>
    <w:p w:rsidR="00714AFF" w:rsidRPr="00714AFF" w:rsidRDefault="00714AFF" w:rsidP="00714AFF">
      <w:pPr>
        <w:pStyle w:val="BodyParagraph"/>
        <w:spacing w:after="0" w:line="276" w:lineRule="auto"/>
        <w:rPr>
          <w:rFonts w:ascii="Times New Roman" w:hAnsi="Times New Roman"/>
          <w:sz w:val="24"/>
          <w:szCs w:val="24"/>
        </w:rPr>
      </w:pPr>
    </w:p>
    <w:p w:rsidR="00DD0D4B" w:rsidRPr="00B777EF" w:rsidRDefault="00DD0D4B" w:rsidP="00DD0D4B">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SDG&amp;E’s commercial thermostat program provides commercial customers with programmable communicating thermostats (PCTs). On event days, customers are subject to two different AC cycling strategies—50% cycling and a 4-degree temperature setback. Customers receive the PCTs for free, but do not currently receive an incentive payment, and are able to override the signal or opt out of DR events. More than half of these customers will be defaulted onto Critical Peak Pricing (CPP) by April of 2016. In 2015, the thermostats were activated on residential Peak Time Rebate (PTR) event days.</w:t>
      </w:r>
    </w:p>
    <w:p w:rsidR="00DD0D4B" w:rsidRPr="00B777EF" w:rsidRDefault="00DD0D4B" w:rsidP="00DD0D4B">
      <w:pPr>
        <w:pStyle w:val="BodyParagraph"/>
        <w:spacing w:after="0" w:line="276" w:lineRule="auto"/>
        <w:ind w:firstLine="360"/>
        <w:rPr>
          <w:rFonts w:ascii="Times New Roman" w:hAnsi="Times New Roman"/>
          <w:color w:val="000000" w:themeColor="text1"/>
          <w:sz w:val="24"/>
          <w:szCs w:val="24"/>
        </w:rPr>
      </w:pPr>
    </w:p>
    <w:p w:rsidR="00DD0D4B" w:rsidRPr="00B777EF" w:rsidRDefault="00DD0D4B" w:rsidP="00796333">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As of February 2016, over 12,000 PCTs have been rolled out to roughly 2,500 customers. Enrollment has grown substantially since summer 2014, but remained relatively constant since summer 2015. A few participants are considered residential customers in SDG&amp;E’s records, even though these customers are part of a commercial DR program. These residential premises are located in commercially-managed facilities. This small, unique group accounts for roughly 10% of the thermostats in the program. These customers have been segmented for a separate analysis accordingly.</w:t>
      </w:r>
    </w:p>
    <w:p w:rsidR="00DD0D4B" w:rsidRDefault="00DD0D4B" w:rsidP="00796333">
      <w:pPr>
        <w:pStyle w:val="BodyParagraph"/>
        <w:spacing w:after="0" w:line="276" w:lineRule="auto"/>
        <w:ind w:firstLine="360"/>
        <w:rPr>
          <w:rFonts w:ascii="Times New Roman" w:hAnsi="Times New Roman"/>
          <w:sz w:val="24"/>
          <w:szCs w:val="24"/>
        </w:rPr>
      </w:pPr>
    </w:p>
    <w:p w:rsidR="00DD0D4B" w:rsidRPr="00DD0D4B" w:rsidRDefault="00DD0D4B" w:rsidP="00796333">
      <w:pPr>
        <w:pStyle w:val="Heading2"/>
        <w:spacing w:before="0" w:after="0" w:line="276" w:lineRule="auto"/>
        <w:ind w:left="0" w:firstLine="0"/>
        <w:rPr>
          <w:rFonts w:ascii="Times New Roman" w:hAnsi="Times New Roman" w:cs="Times New Roman"/>
        </w:rPr>
      </w:pPr>
      <w:bookmarkStart w:id="279" w:name="_Ex_Post_Methodology"/>
      <w:bookmarkStart w:id="280" w:name="_Ref446073195"/>
      <w:bookmarkStart w:id="281" w:name="_Toc447179856"/>
      <w:bookmarkEnd w:id="279"/>
      <w:r w:rsidRPr="00DD0D4B">
        <w:rPr>
          <w:rFonts w:ascii="Times New Roman" w:hAnsi="Times New Roman" w:cs="Times New Roman"/>
          <w:color w:val="000000" w:themeColor="text1"/>
        </w:rPr>
        <w:t xml:space="preserve">Commercial Thermostats </w:t>
      </w:r>
      <w:r w:rsidRPr="00DD0D4B">
        <w:rPr>
          <w:rFonts w:ascii="Times New Roman" w:hAnsi="Times New Roman" w:cs="Times New Roman"/>
        </w:rPr>
        <w:t>Ex</w:t>
      </w:r>
      <w:r>
        <w:rPr>
          <w:rFonts w:ascii="Times New Roman" w:hAnsi="Times New Roman" w:cs="Times New Roman"/>
        </w:rPr>
        <w:t>-</w:t>
      </w:r>
      <w:r w:rsidRPr="00DD0D4B">
        <w:rPr>
          <w:rFonts w:ascii="Times New Roman" w:hAnsi="Times New Roman" w:cs="Times New Roman"/>
        </w:rPr>
        <w:t xml:space="preserve">Post </w:t>
      </w:r>
      <w:r w:rsidR="001F1158">
        <w:rPr>
          <w:rFonts w:ascii="Times New Roman" w:hAnsi="Times New Roman" w:cs="Times New Roman"/>
        </w:rPr>
        <w:t xml:space="preserve">Evaluation </w:t>
      </w:r>
      <w:r w:rsidRPr="00DD0D4B">
        <w:rPr>
          <w:rFonts w:ascii="Times New Roman" w:hAnsi="Times New Roman" w:cs="Times New Roman"/>
        </w:rPr>
        <w:t>Method</w:t>
      </w:r>
      <w:r>
        <w:rPr>
          <w:rFonts w:ascii="Times New Roman" w:hAnsi="Times New Roman" w:cs="Times New Roman"/>
        </w:rPr>
        <w:t>ology</w:t>
      </w:r>
      <w:r w:rsidRPr="00DD0D4B">
        <w:rPr>
          <w:rFonts w:ascii="Times New Roman" w:hAnsi="Times New Roman" w:cs="Times New Roman"/>
        </w:rPr>
        <w:t xml:space="preserve"> and Validation</w:t>
      </w:r>
      <w:bookmarkEnd w:id="280"/>
      <w:bookmarkEnd w:id="281"/>
    </w:p>
    <w:p w:rsidR="00DD0D4B" w:rsidRDefault="00DD0D4B" w:rsidP="00796333">
      <w:pPr>
        <w:pStyle w:val="BodyParagraph"/>
        <w:spacing w:after="0" w:line="276" w:lineRule="auto"/>
        <w:ind w:firstLine="360"/>
        <w:rPr>
          <w:rFonts w:ascii="Times New Roman" w:hAnsi="Times New Roman"/>
          <w:sz w:val="24"/>
          <w:szCs w:val="24"/>
        </w:rPr>
      </w:pPr>
    </w:p>
    <w:p w:rsidR="00DD0D4B" w:rsidRPr="003D30DF" w:rsidRDefault="00DD0D4B" w:rsidP="00796333">
      <w:pPr>
        <w:pStyle w:val="BodyParagraph"/>
        <w:spacing w:after="0" w:line="276" w:lineRule="auto"/>
        <w:ind w:firstLine="360"/>
        <w:rPr>
          <w:rFonts w:ascii="Times New Roman" w:hAnsi="Times New Roman"/>
          <w:sz w:val="24"/>
          <w:szCs w:val="24"/>
        </w:rPr>
      </w:pPr>
      <w:r w:rsidRPr="00B97976">
        <w:rPr>
          <w:rFonts w:ascii="Times New Roman" w:hAnsi="Times New Roman"/>
          <w:sz w:val="24"/>
          <w:szCs w:val="24"/>
        </w:rPr>
        <w:t xml:space="preserve">The fundamental problem for estimating load impacts is developing an estimate of the reference load. The reference load is an estimate of what load would have been in the absence of the thermostat control that is in effect for participants. For this evaluation, the focus is on what load would have been on days in which thermostat control was dispatched. </w:t>
      </w:r>
      <w:r w:rsidRPr="00714AFF">
        <w:rPr>
          <w:rFonts w:ascii="Times New Roman" w:hAnsi="Times New Roman"/>
          <w:sz w:val="24"/>
          <w:szCs w:val="24"/>
        </w:rPr>
        <w:t>The methods used in the commercial thermostat program evaluation rely on the selection of a control group using statistical matching and i</w:t>
      </w:r>
      <w:r>
        <w:rPr>
          <w:rFonts w:ascii="Times New Roman" w:hAnsi="Times New Roman"/>
          <w:sz w:val="24"/>
          <w:szCs w:val="24"/>
        </w:rPr>
        <w:t>ndividual customer regressions.</w:t>
      </w:r>
    </w:p>
    <w:p w:rsidR="00DD0D4B" w:rsidRPr="00DD0D4B" w:rsidRDefault="00DD0D4B" w:rsidP="00DD0D4B">
      <w:pPr>
        <w:pStyle w:val="Heading3"/>
        <w:ind w:left="720"/>
        <w:rPr>
          <w:rFonts w:ascii="Times New Roman" w:hAnsi="Times New Roman" w:cs="Times New Roman"/>
        </w:rPr>
      </w:pPr>
      <w:bookmarkStart w:id="282" w:name="_Toc349193880"/>
      <w:bookmarkStart w:id="283" w:name="_Toc352567295"/>
      <w:bookmarkStart w:id="284" w:name="_Toc413592750"/>
      <w:bookmarkStart w:id="285" w:name="_Toc415585926"/>
      <w:bookmarkStart w:id="286" w:name="_Toc415749043"/>
      <w:bookmarkStart w:id="287" w:name="_Toc447179857"/>
      <w:r w:rsidRPr="001D7BAA">
        <w:rPr>
          <w:rFonts w:ascii="Times New Roman" w:hAnsi="Times New Roman" w:cs="Times New Roman"/>
        </w:rPr>
        <w:t>Matched Control Group Methodology</w:t>
      </w:r>
      <w:bookmarkEnd w:id="282"/>
      <w:bookmarkEnd w:id="283"/>
      <w:bookmarkEnd w:id="284"/>
      <w:r w:rsidRPr="001D7BAA">
        <w:rPr>
          <w:rFonts w:ascii="Times New Roman" w:hAnsi="Times New Roman" w:cs="Times New Roman"/>
        </w:rPr>
        <w:t xml:space="preserve"> – Commercial</w:t>
      </w:r>
      <w:bookmarkEnd w:id="285"/>
      <w:bookmarkEnd w:id="286"/>
      <w:bookmarkEnd w:id="287"/>
    </w:p>
    <w:p w:rsidR="00DD0D4B" w:rsidRDefault="00DD0D4B" w:rsidP="00DD0D4B">
      <w:pPr>
        <w:pStyle w:val="BodyParagraph"/>
        <w:spacing w:after="0" w:line="276" w:lineRule="auto"/>
      </w:pPr>
    </w:p>
    <w:p w:rsidR="00DD0D4B" w:rsidRPr="00B777EF" w:rsidRDefault="00DD0D4B" w:rsidP="00DD0D4B">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The primary source of reference loads, and hence impact estimates, is a number of matched control groups. These control groups are assembled from among the non-participant population. The methods used to assemble the groups are designed to ensure that the control group load on event days is an accurate estimate of what load would have been among participants on event days had they not participated.</w:t>
      </w:r>
    </w:p>
    <w:p w:rsidR="00DD0D4B" w:rsidRPr="00B777EF" w:rsidRDefault="00DD0D4B" w:rsidP="00DD0D4B">
      <w:pPr>
        <w:pStyle w:val="BodyParagraph"/>
        <w:spacing w:after="0" w:line="276" w:lineRule="auto"/>
        <w:ind w:firstLine="360"/>
        <w:rPr>
          <w:rFonts w:ascii="Times New Roman" w:hAnsi="Times New Roman"/>
          <w:color w:val="000000" w:themeColor="text1"/>
          <w:sz w:val="24"/>
          <w:szCs w:val="24"/>
        </w:rPr>
      </w:pPr>
    </w:p>
    <w:p w:rsidR="00DD0D4B" w:rsidRPr="00B777EF" w:rsidRDefault="00DD0D4B" w:rsidP="00DD0D4B">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The fundamental idea behind the matching process is to find customers who were not subject to events that have similar characteristics to those who were subject to events. The control group was selected using a propensity score match to find customers who had demand patterns most similar to participants. In this procedure, a probit model is used to estimate a score for each </w:t>
      </w:r>
      <w:r w:rsidRPr="00B777EF">
        <w:rPr>
          <w:rFonts w:ascii="Times New Roman" w:hAnsi="Times New Roman"/>
          <w:color w:val="000000" w:themeColor="text1"/>
          <w:sz w:val="24"/>
          <w:szCs w:val="24"/>
        </w:rPr>
        <w:lastRenderedPageBreak/>
        <w:t>customer based on a set of observable variables that are assumed to affect the decision to participate in the commercial thermostat program. A probit model is a regression model designed to estimate probabilities—in this case, the probability that a customer would choose to participate.</w:t>
      </w:r>
    </w:p>
    <w:p w:rsidR="00DD0D4B" w:rsidRPr="00B777EF" w:rsidRDefault="00DD0D4B" w:rsidP="00DD0D4B">
      <w:pPr>
        <w:pStyle w:val="BodyParagraph"/>
        <w:spacing w:after="0" w:line="276" w:lineRule="auto"/>
        <w:ind w:firstLine="360"/>
        <w:rPr>
          <w:rFonts w:ascii="Times New Roman" w:hAnsi="Times New Roman"/>
          <w:color w:val="000000" w:themeColor="text1"/>
          <w:sz w:val="24"/>
          <w:szCs w:val="24"/>
        </w:rPr>
      </w:pPr>
    </w:p>
    <w:p w:rsidR="00DD0D4B" w:rsidRPr="00B777EF" w:rsidRDefault="00DD0D4B" w:rsidP="00464FC5">
      <w:pPr>
        <w:pStyle w:val="BodyParagraph"/>
        <w:spacing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Once the control group was matched and validated, load impacts were estimated using a triple differences methodology, which combines a difference-in-differences regression and a same-day (weather sensitivity) adjustment</w:t>
      </w:r>
      <w:r w:rsidRPr="00B777EF">
        <w:rPr>
          <w:rStyle w:val="FootnoteReference"/>
          <w:rFonts w:ascii="Times New Roman" w:hAnsi="Times New Roman"/>
          <w:color w:val="000000" w:themeColor="text1"/>
          <w:sz w:val="24"/>
          <w:szCs w:val="24"/>
        </w:rPr>
        <w:footnoteReference w:id="22"/>
      </w:r>
      <w:r w:rsidRPr="00B777EF">
        <w:rPr>
          <w:rFonts w:ascii="Times New Roman" w:hAnsi="Times New Roman"/>
          <w:color w:val="000000" w:themeColor="text1"/>
          <w:sz w:val="24"/>
          <w:szCs w:val="24"/>
        </w:rPr>
        <w:t xml:space="preserve">. This methodology calculates the estimated impacts as the difference in average loads between participants and control customers on event days minus the difference between the two groups on hot, non-event days and then adjusts for differences in weather sensitivity within the treatment and control groups. This calculation controls for residual differences in load between the groups that are not eliminated through the matching process, thus reducing bias.  </w:t>
      </w:r>
      <w:r w:rsidRPr="00464FC5">
        <w:rPr>
          <w:rFonts w:ascii="Times New Roman" w:hAnsi="Times New Roman"/>
          <w:color w:val="000000" w:themeColor="text1"/>
          <w:sz w:val="22"/>
        </w:rPr>
        <w:fldChar w:fldCharType="begin"/>
      </w:r>
      <w:r w:rsidRPr="00464FC5">
        <w:rPr>
          <w:rFonts w:ascii="Times New Roman" w:hAnsi="Times New Roman"/>
          <w:color w:val="000000" w:themeColor="text1"/>
          <w:sz w:val="22"/>
        </w:rPr>
        <w:instrText xml:space="preserve"> REF _Ref445990531 \h  \* MERGEFORMAT </w:instrText>
      </w:r>
      <w:r w:rsidRPr="00464FC5">
        <w:rPr>
          <w:rFonts w:ascii="Times New Roman" w:hAnsi="Times New Roman"/>
          <w:color w:val="000000" w:themeColor="text1"/>
          <w:sz w:val="22"/>
        </w:rPr>
      </w:r>
      <w:r w:rsidRPr="00464FC5">
        <w:rPr>
          <w:rFonts w:ascii="Times New Roman" w:hAnsi="Times New Roman"/>
          <w:color w:val="000000" w:themeColor="text1"/>
          <w:sz w:val="22"/>
        </w:rPr>
        <w:fldChar w:fldCharType="separate"/>
      </w:r>
      <w:r w:rsidR="008A6A2B" w:rsidRPr="00464FC5">
        <w:rPr>
          <w:rFonts w:ascii="Times New Roman" w:hAnsi="Times New Roman"/>
          <w:color w:val="000000" w:themeColor="text1"/>
          <w:sz w:val="22"/>
        </w:rPr>
        <w:t>Equation 10</w:t>
      </w:r>
      <w:r w:rsidR="008A6A2B" w:rsidRPr="00464FC5">
        <w:rPr>
          <w:rFonts w:ascii="Times New Roman" w:hAnsi="Times New Roman"/>
          <w:color w:val="000000" w:themeColor="text1"/>
          <w:sz w:val="22"/>
        </w:rPr>
        <w:noBreakHyphen/>
        <w:t>1</w:t>
      </w:r>
      <w:r w:rsidRPr="00464FC5">
        <w:rPr>
          <w:rFonts w:ascii="Times New Roman" w:hAnsi="Times New Roman"/>
          <w:color w:val="000000" w:themeColor="text1"/>
          <w:sz w:val="22"/>
        </w:rPr>
        <w:fldChar w:fldCharType="end"/>
      </w:r>
      <w:r w:rsidRPr="00B777EF">
        <w:rPr>
          <w:rFonts w:ascii="Times New Roman" w:hAnsi="Times New Roman"/>
          <w:color w:val="000000" w:themeColor="text1"/>
          <w:sz w:val="24"/>
          <w:szCs w:val="24"/>
        </w:rPr>
        <w:t xml:space="preserve"> summarizes the triple differences calculation and </w:t>
      </w:r>
      <w:r w:rsidR="00464FC5" w:rsidRPr="00464FC5">
        <w:rPr>
          <w:rFonts w:ascii="Times New Roman" w:hAnsi="Times New Roman"/>
          <w:color w:val="000000" w:themeColor="text1"/>
          <w:sz w:val="22"/>
        </w:rPr>
        <w:t>Table 10-1</w:t>
      </w:r>
      <w:r w:rsidR="00464FC5">
        <w:rPr>
          <w:rFonts w:ascii="Times New Roman" w:hAnsi="Times New Roman"/>
          <w:color w:val="000000" w:themeColor="text1"/>
          <w:sz w:val="24"/>
          <w:szCs w:val="24"/>
        </w:rPr>
        <w:t xml:space="preserve"> </w:t>
      </w:r>
      <w:r w:rsidRPr="00B777EF">
        <w:rPr>
          <w:rFonts w:ascii="Times New Roman" w:hAnsi="Times New Roman"/>
          <w:color w:val="000000" w:themeColor="text1"/>
          <w:sz w:val="24"/>
          <w:szCs w:val="24"/>
        </w:rPr>
        <w:t>provides the definitions for variables in the equation</w:t>
      </w:r>
      <w:r w:rsidRPr="00B777EF">
        <w:rPr>
          <w:rStyle w:val="FootnoteReference"/>
          <w:rFonts w:ascii="Times New Roman" w:hAnsi="Times New Roman"/>
          <w:color w:val="000000" w:themeColor="text1"/>
          <w:sz w:val="24"/>
          <w:szCs w:val="24"/>
        </w:rPr>
        <w:footnoteReference w:id="23"/>
      </w:r>
      <w:r w:rsidRPr="00B777EF">
        <w:rPr>
          <w:rFonts w:ascii="Times New Roman" w:hAnsi="Times New Roman"/>
          <w:color w:val="000000" w:themeColor="text1"/>
          <w:sz w:val="24"/>
          <w:szCs w:val="24"/>
        </w:rPr>
        <w:t>.</w:t>
      </w:r>
    </w:p>
    <w:p w:rsidR="00DD0D4B" w:rsidRPr="002D38CC" w:rsidRDefault="00DD0D4B" w:rsidP="00DD0D4B">
      <w:pPr>
        <w:pStyle w:val="BodyParagraph"/>
        <w:spacing w:after="0" w:line="276" w:lineRule="auto"/>
        <w:ind w:firstLine="360"/>
        <w:rPr>
          <w:rFonts w:ascii="Times New Roman" w:hAnsi="Times New Roman"/>
          <w:sz w:val="24"/>
          <w:szCs w:val="24"/>
        </w:rPr>
      </w:pPr>
    </w:p>
    <w:p w:rsidR="00DD0D4B" w:rsidRPr="000C482F" w:rsidRDefault="00DD0D4B" w:rsidP="00DD0D4B">
      <w:pPr>
        <w:pStyle w:val="Caption"/>
        <w:spacing w:after="240"/>
        <w:jc w:val="center"/>
        <w:rPr>
          <w:sz w:val="22"/>
          <w:szCs w:val="22"/>
        </w:rPr>
      </w:pPr>
      <w:bookmarkStart w:id="288" w:name="_Ref445990531"/>
      <w:r w:rsidRPr="000C482F">
        <w:rPr>
          <w:sz w:val="22"/>
          <w:szCs w:val="22"/>
        </w:rPr>
        <w:t xml:space="preserve">Equation </w:t>
      </w:r>
      <w:r w:rsidRPr="000C482F">
        <w:rPr>
          <w:sz w:val="22"/>
          <w:szCs w:val="22"/>
        </w:rPr>
        <w:fldChar w:fldCharType="begin"/>
      </w:r>
      <w:r w:rsidRPr="000C482F">
        <w:rPr>
          <w:sz w:val="22"/>
          <w:szCs w:val="22"/>
        </w:rPr>
        <w:instrText xml:space="preserve"> STYLEREF 1 \s </w:instrText>
      </w:r>
      <w:r w:rsidRPr="000C482F">
        <w:rPr>
          <w:sz w:val="22"/>
          <w:szCs w:val="22"/>
        </w:rPr>
        <w:fldChar w:fldCharType="separate"/>
      </w:r>
      <w:r w:rsidR="008A6A2B">
        <w:rPr>
          <w:noProof/>
          <w:sz w:val="22"/>
          <w:szCs w:val="22"/>
        </w:rPr>
        <w:t>10</w:t>
      </w:r>
      <w:r w:rsidRPr="000C482F">
        <w:rPr>
          <w:sz w:val="22"/>
          <w:szCs w:val="22"/>
        </w:rPr>
        <w:fldChar w:fldCharType="end"/>
      </w:r>
      <w:r w:rsidRPr="000C482F">
        <w:rPr>
          <w:sz w:val="22"/>
          <w:szCs w:val="22"/>
        </w:rPr>
        <w:noBreakHyphen/>
      </w:r>
      <w:r w:rsidRPr="000C482F">
        <w:rPr>
          <w:sz w:val="22"/>
          <w:szCs w:val="22"/>
        </w:rPr>
        <w:fldChar w:fldCharType="begin"/>
      </w:r>
      <w:r w:rsidRPr="000C482F">
        <w:rPr>
          <w:sz w:val="22"/>
          <w:szCs w:val="22"/>
        </w:rPr>
        <w:instrText xml:space="preserve"> SEQ Equation \* ARABIC \s 1 </w:instrText>
      </w:r>
      <w:r w:rsidRPr="000C482F">
        <w:rPr>
          <w:sz w:val="22"/>
          <w:szCs w:val="22"/>
        </w:rPr>
        <w:fldChar w:fldCharType="separate"/>
      </w:r>
      <w:r w:rsidR="008A6A2B">
        <w:rPr>
          <w:noProof/>
          <w:sz w:val="22"/>
          <w:szCs w:val="22"/>
        </w:rPr>
        <w:t>1</w:t>
      </w:r>
      <w:r w:rsidRPr="000C482F">
        <w:rPr>
          <w:sz w:val="22"/>
          <w:szCs w:val="22"/>
        </w:rPr>
        <w:fldChar w:fldCharType="end"/>
      </w:r>
      <w:bookmarkEnd w:id="288"/>
      <w:r w:rsidR="007D3889">
        <w:rPr>
          <w:sz w:val="22"/>
          <w:szCs w:val="22"/>
        </w:rPr>
        <w:t>:</w:t>
      </w:r>
      <w:r w:rsidRPr="000C482F">
        <w:rPr>
          <w:sz w:val="22"/>
          <w:szCs w:val="22"/>
        </w:rPr>
        <w:t xml:space="preserve"> Specification of </w:t>
      </w:r>
      <w:r>
        <w:rPr>
          <w:sz w:val="22"/>
          <w:szCs w:val="22"/>
        </w:rPr>
        <w:t>Triple Differences Regression</w:t>
      </w:r>
    </w:p>
    <w:p w:rsidR="00DD0D4B" w:rsidRPr="004E61AA" w:rsidRDefault="0024252A" w:rsidP="00DD0D4B">
      <w:pPr>
        <w:pStyle w:val="BodyParagraph"/>
        <w:rPr>
          <w:rFonts w:ascii="Times New Roman" w:hAnsi="Times New Roman"/>
          <w:sz w:val="22"/>
        </w:rPr>
      </w:pPr>
      <m:oMathPara>
        <m:oMath>
          <m:sSub>
            <m:sSubPr>
              <m:ctrlPr>
                <w:rPr>
                  <w:rFonts w:ascii="Cambria Math" w:hAnsi="Cambria Math"/>
                  <w:i/>
                  <w:sz w:val="22"/>
                </w:rPr>
              </m:ctrlPr>
            </m:sSubPr>
            <m:e>
              <m:r>
                <w:rPr>
                  <w:rFonts w:ascii="Cambria Math" w:hAnsi="Cambria Math"/>
                  <w:sz w:val="22"/>
                </w:rPr>
                <m:t>kW</m:t>
              </m:r>
            </m:e>
            <m:sub>
              <m:r>
                <w:rPr>
                  <w:rFonts w:ascii="Cambria Math" w:hAnsi="Cambria Math"/>
                  <w:sz w:val="22"/>
                </w:rPr>
                <m:t>i,t,h</m:t>
              </m:r>
            </m:sub>
          </m:sSub>
          <m:r>
            <w:rPr>
              <w:rFonts w:ascii="Cambria Math" w:hAnsi="Cambria Math"/>
              <w:sz w:val="22"/>
            </w:rPr>
            <m:t>=a*</m:t>
          </m:r>
          <m:sSub>
            <m:sSubPr>
              <m:ctrlPr>
                <w:rPr>
                  <w:rFonts w:ascii="Cambria Math" w:hAnsi="Cambria Math"/>
                  <w:i/>
                  <w:sz w:val="22"/>
                </w:rPr>
              </m:ctrlPr>
            </m:sSubPr>
            <m:e>
              <m:r>
                <w:rPr>
                  <w:rFonts w:ascii="Cambria Math" w:hAnsi="Cambria Math"/>
                  <w:sz w:val="22"/>
                </w:rPr>
                <m:t>treat</m:t>
              </m:r>
            </m:e>
            <m:sub>
              <m:r>
                <w:rPr>
                  <w:rFonts w:ascii="Cambria Math" w:hAnsi="Cambria Math"/>
                  <w:sz w:val="22"/>
                </w:rPr>
                <m:t>i</m:t>
              </m:r>
            </m:sub>
          </m:sSub>
          <m:r>
            <w:rPr>
              <w:rFonts w:ascii="Cambria Math" w:hAnsi="Cambria Math"/>
              <w:sz w:val="22"/>
            </w:rPr>
            <m:t>*</m:t>
          </m:r>
          <m:sSub>
            <m:sSubPr>
              <m:ctrlPr>
                <w:rPr>
                  <w:rFonts w:ascii="Cambria Math" w:hAnsi="Cambria Math"/>
                  <w:i/>
                  <w:sz w:val="22"/>
                </w:rPr>
              </m:ctrlPr>
            </m:sSubPr>
            <m:e>
              <m:r>
                <w:rPr>
                  <w:rFonts w:ascii="Cambria Math" w:hAnsi="Cambria Math"/>
                  <w:sz w:val="22"/>
                </w:rPr>
                <m:t>eday</m:t>
              </m:r>
            </m:e>
            <m:sub>
              <m:r>
                <w:rPr>
                  <w:rFonts w:ascii="Cambria Math" w:hAnsi="Cambria Math"/>
                  <w:sz w:val="22"/>
                </w:rPr>
                <m:t>t</m:t>
              </m:r>
            </m:sub>
          </m:sSub>
          <m:r>
            <w:rPr>
              <w:rFonts w:ascii="Cambria Math" w:hAnsi="Cambria Math"/>
              <w:sz w:val="22"/>
            </w:rPr>
            <m:t>*</m:t>
          </m:r>
          <m:sSub>
            <m:sSubPr>
              <m:ctrlPr>
                <w:rPr>
                  <w:rFonts w:ascii="Cambria Math" w:hAnsi="Cambria Math"/>
                  <w:i/>
                  <w:sz w:val="22"/>
                </w:rPr>
              </m:ctrlPr>
            </m:sSubPr>
            <m:e>
              <m:r>
                <w:rPr>
                  <w:rFonts w:ascii="Cambria Math" w:hAnsi="Cambria Math"/>
                  <w:sz w:val="22"/>
                </w:rPr>
                <m:t>eperiod</m:t>
              </m:r>
            </m:e>
            <m:sub>
              <m:r>
                <w:rPr>
                  <w:rFonts w:ascii="Cambria Math" w:hAnsi="Cambria Math"/>
                  <w:sz w:val="22"/>
                </w:rPr>
                <m:t>h</m:t>
              </m:r>
            </m:sub>
          </m:sSub>
          <m:r>
            <w:rPr>
              <w:rFonts w:ascii="Cambria Math" w:hAnsi="Cambria Math"/>
              <w:sz w:val="22"/>
            </w:rPr>
            <m:t>+</m:t>
          </m:r>
          <m:nary>
            <m:naryPr>
              <m:chr m:val="∑"/>
              <m:limLoc m:val="undOvr"/>
              <m:ctrlPr>
                <w:rPr>
                  <w:rFonts w:ascii="Cambria Math" w:hAnsi="Cambria Math"/>
                  <w:i/>
                  <w:sz w:val="22"/>
                </w:rPr>
              </m:ctrlPr>
            </m:naryPr>
            <m:sub>
              <m:r>
                <w:rPr>
                  <w:rFonts w:ascii="Cambria Math" w:hAnsi="Cambria Math"/>
                  <w:sz w:val="22"/>
                </w:rPr>
                <m:t>cust=1</m:t>
              </m:r>
            </m:sub>
            <m:sup>
              <m:r>
                <w:rPr>
                  <w:rFonts w:ascii="Cambria Math" w:hAnsi="Cambria Math"/>
                  <w:sz w:val="22"/>
                </w:rPr>
                <m:t>customers</m:t>
              </m:r>
            </m:sup>
            <m:e>
              <m:sSub>
                <m:sSubPr>
                  <m:ctrlPr>
                    <w:rPr>
                      <w:rFonts w:ascii="Cambria Math" w:hAnsi="Cambria Math"/>
                      <w:i/>
                      <w:sz w:val="22"/>
                    </w:rPr>
                  </m:ctrlPr>
                </m:sSubPr>
                <m:e>
                  <m:r>
                    <w:rPr>
                      <w:rFonts w:ascii="Cambria Math" w:hAnsi="Cambria Math"/>
                      <w:sz w:val="22"/>
                    </w:rPr>
                    <m:t>b</m:t>
                  </m:r>
                </m:e>
                <m:sub>
                  <m:r>
                    <w:rPr>
                      <w:rFonts w:ascii="Cambria Math" w:hAnsi="Cambria Math"/>
                      <w:sz w:val="22"/>
                    </w:rPr>
                    <m:t>cust</m:t>
                  </m:r>
                </m:sub>
              </m:sSub>
              <m:r>
                <w:rPr>
                  <w:rFonts w:ascii="Cambria Math" w:hAnsi="Cambria Math"/>
                  <w:sz w:val="22"/>
                </w:rPr>
                <m:t>*</m:t>
              </m:r>
              <m:sSub>
                <m:sSubPr>
                  <m:ctrlPr>
                    <w:rPr>
                      <w:rFonts w:ascii="Cambria Math" w:hAnsi="Cambria Math"/>
                      <w:i/>
                      <w:sz w:val="22"/>
                    </w:rPr>
                  </m:ctrlPr>
                </m:sSubPr>
                <m:e>
                  <m:r>
                    <w:rPr>
                      <w:rFonts w:ascii="Cambria Math" w:hAnsi="Cambria Math"/>
                      <w:sz w:val="22"/>
                    </w:rPr>
                    <m:t>customer</m:t>
                  </m:r>
                </m:e>
                <m:sub>
                  <m:r>
                    <w:rPr>
                      <w:rFonts w:ascii="Cambria Math" w:hAnsi="Cambria Math"/>
                      <w:sz w:val="22"/>
                    </w:rPr>
                    <m:t>cust i</m:t>
                  </m:r>
                </m:sub>
              </m:sSub>
            </m:e>
          </m:nary>
          <m:r>
            <w:rPr>
              <w:rFonts w:ascii="Cambria Math" w:hAnsi="Cambria Math"/>
              <w:sz w:val="22"/>
            </w:rPr>
            <m:t>+</m:t>
          </m:r>
          <m:nary>
            <m:naryPr>
              <m:chr m:val="∑"/>
              <m:limLoc m:val="undOvr"/>
              <m:ctrlPr>
                <w:rPr>
                  <w:rFonts w:ascii="Cambria Math" w:hAnsi="Cambria Math"/>
                  <w:i/>
                  <w:sz w:val="22"/>
                </w:rPr>
              </m:ctrlPr>
            </m:naryPr>
            <m:sub>
              <m:r>
                <w:rPr>
                  <w:rFonts w:ascii="Cambria Math" w:hAnsi="Cambria Math"/>
                  <w:sz w:val="22"/>
                </w:rPr>
                <m:t>hr=1</m:t>
              </m:r>
            </m:sub>
            <m:sup>
              <m:r>
                <w:rPr>
                  <w:rFonts w:ascii="Cambria Math" w:hAnsi="Cambria Math"/>
                  <w:sz w:val="22"/>
                </w:rPr>
                <m:t>hours</m:t>
              </m:r>
            </m:sup>
            <m:e>
              <m:sSub>
                <m:sSubPr>
                  <m:ctrlPr>
                    <w:rPr>
                      <w:rFonts w:ascii="Cambria Math" w:hAnsi="Cambria Math"/>
                      <w:i/>
                      <w:sz w:val="22"/>
                    </w:rPr>
                  </m:ctrlPr>
                </m:sSubPr>
                <m:e>
                  <m:r>
                    <w:rPr>
                      <w:rFonts w:ascii="Cambria Math" w:hAnsi="Cambria Math"/>
                      <w:sz w:val="22"/>
                    </w:rPr>
                    <m:t>c</m:t>
                  </m:r>
                </m:e>
                <m:sub>
                  <m:r>
                    <w:rPr>
                      <w:rFonts w:ascii="Cambria Math" w:hAnsi="Cambria Math"/>
                      <w:sz w:val="22"/>
                    </w:rPr>
                    <m:t>hr</m:t>
                  </m:r>
                </m:sub>
              </m:sSub>
              <m:r>
                <w:rPr>
                  <w:rFonts w:ascii="Cambria Math" w:hAnsi="Cambria Math"/>
                  <w:sz w:val="22"/>
                </w:rPr>
                <m:t>*</m:t>
              </m:r>
              <m:sSub>
                <m:sSubPr>
                  <m:ctrlPr>
                    <w:rPr>
                      <w:rFonts w:ascii="Cambria Math" w:hAnsi="Cambria Math"/>
                      <w:i/>
                      <w:sz w:val="22"/>
                    </w:rPr>
                  </m:ctrlPr>
                </m:sSubPr>
                <m:e>
                  <m:r>
                    <w:rPr>
                      <w:rFonts w:ascii="Cambria Math" w:hAnsi="Cambria Math"/>
                      <w:sz w:val="22"/>
                    </w:rPr>
                    <m:t>hour</m:t>
                  </m:r>
                </m:e>
                <m:sub>
                  <m:r>
                    <w:rPr>
                      <w:rFonts w:ascii="Cambria Math" w:hAnsi="Cambria Math"/>
                      <w:sz w:val="22"/>
                    </w:rPr>
                    <m:t>hr h</m:t>
                  </m:r>
                </m:sub>
              </m:sSub>
            </m:e>
          </m:nary>
          <m:r>
            <w:rPr>
              <w:rFonts w:ascii="Cambria Math" w:hAnsi="Cambria Math"/>
              <w:sz w:val="22"/>
            </w:rPr>
            <m:t>+</m:t>
          </m:r>
          <m:nary>
            <m:naryPr>
              <m:chr m:val="∑"/>
              <m:limLoc m:val="undOvr"/>
              <m:ctrlPr>
                <w:rPr>
                  <w:rFonts w:ascii="Cambria Math" w:hAnsi="Cambria Math"/>
                  <w:i/>
                  <w:sz w:val="22"/>
                </w:rPr>
              </m:ctrlPr>
            </m:naryPr>
            <m:sub>
              <m:r>
                <w:rPr>
                  <w:rFonts w:ascii="Cambria Math" w:hAnsi="Cambria Math"/>
                  <w:sz w:val="22"/>
                </w:rPr>
                <m:t>date=1</m:t>
              </m:r>
            </m:sub>
            <m:sup>
              <m:r>
                <w:rPr>
                  <w:rFonts w:ascii="Cambria Math" w:hAnsi="Cambria Math"/>
                  <w:sz w:val="22"/>
                </w:rPr>
                <m:t>days</m:t>
              </m:r>
            </m:sup>
            <m:e>
              <m:sSub>
                <m:sSubPr>
                  <m:ctrlPr>
                    <w:rPr>
                      <w:rFonts w:ascii="Cambria Math" w:hAnsi="Cambria Math"/>
                      <w:i/>
                      <w:sz w:val="22"/>
                    </w:rPr>
                  </m:ctrlPr>
                </m:sSubPr>
                <m:e>
                  <m:r>
                    <w:rPr>
                      <w:rFonts w:ascii="Cambria Math" w:hAnsi="Cambria Math"/>
                      <w:sz w:val="22"/>
                    </w:rPr>
                    <m:t>d</m:t>
                  </m:r>
                </m:e>
                <m:sub>
                  <m:r>
                    <w:rPr>
                      <w:rFonts w:ascii="Cambria Math" w:hAnsi="Cambria Math"/>
                      <w:sz w:val="22"/>
                    </w:rPr>
                    <m:t>date</m:t>
                  </m:r>
                </m:sub>
              </m:sSub>
              <m:r>
                <w:rPr>
                  <w:rFonts w:ascii="Cambria Math" w:hAnsi="Cambria Math"/>
                  <w:sz w:val="22"/>
                </w:rPr>
                <m:t>*</m:t>
              </m:r>
              <m:sSub>
                <m:sSubPr>
                  <m:ctrlPr>
                    <w:rPr>
                      <w:rFonts w:ascii="Cambria Math" w:hAnsi="Cambria Math"/>
                      <w:i/>
                      <w:sz w:val="22"/>
                    </w:rPr>
                  </m:ctrlPr>
                </m:sSubPr>
                <m:e>
                  <m:r>
                    <w:rPr>
                      <w:rFonts w:ascii="Cambria Math" w:hAnsi="Cambria Math"/>
                      <w:sz w:val="22"/>
                    </w:rPr>
                    <m:t>day</m:t>
                  </m:r>
                </m:e>
                <m:sub>
                  <m:r>
                    <w:rPr>
                      <w:rFonts w:ascii="Cambria Math" w:hAnsi="Cambria Math"/>
                      <w:sz w:val="22"/>
                    </w:rPr>
                    <m:t>date t</m:t>
                  </m:r>
                </m:sub>
              </m:sSub>
            </m:e>
          </m:nary>
          <m:r>
            <w:rPr>
              <w:rFonts w:ascii="Cambria Math" w:hAnsi="Cambria Math"/>
              <w:sz w:val="22"/>
            </w:rPr>
            <m:t>+e*</m:t>
          </m:r>
          <m:sSub>
            <m:sSubPr>
              <m:ctrlPr>
                <w:rPr>
                  <w:rFonts w:ascii="Cambria Math" w:hAnsi="Cambria Math"/>
                  <w:i/>
                  <w:sz w:val="22"/>
                </w:rPr>
              </m:ctrlPr>
            </m:sSubPr>
            <m:e>
              <m:r>
                <w:rPr>
                  <w:rFonts w:ascii="Cambria Math" w:hAnsi="Cambria Math"/>
                  <w:sz w:val="22"/>
                </w:rPr>
                <m:t>eday</m:t>
              </m:r>
            </m:e>
            <m:sub>
              <m:r>
                <w:rPr>
                  <w:rFonts w:ascii="Cambria Math" w:hAnsi="Cambria Math"/>
                  <w:sz w:val="22"/>
                </w:rPr>
                <m:t>t</m:t>
              </m:r>
            </m:sub>
          </m:sSub>
          <m:r>
            <w:rPr>
              <w:rFonts w:ascii="Cambria Math" w:hAnsi="Cambria Math"/>
              <w:sz w:val="22"/>
            </w:rPr>
            <m:t>*</m:t>
          </m:r>
          <m:sSub>
            <m:sSubPr>
              <m:ctrlPr>
                <w:rPr>
                  <w:rFonts w:ascii="Cambria Math" w:hAnsi="Cambria Math"/>
                  <w:i/>
                  <w:sz w:val="22"/>
                </w:rPr>
              </m:ctrlPr>
            </m:sSubPr>
            <m:e>
              <m:r>
                <w:rPr>
                  <w:rFonts w:ascii="Cambria Math" w:hAnsi="Cambria Math"/>
                  <w:sz w:val="22"/>
                </w:rPr>
                <m:t>eperiod</m:t>
              </m:r>
            </m:e>
            <m:sub>
              <m:r>
                <w:rPr>
                  <w:rFonts w:ascii="Cambria Math" w:hAnsi="Cambria Math"/>
                  <w:sz w:val="22"/>
                </w:rPr>
                <m:t>h</m:t>
              </m:r>
            </m:sub>
          </m:sSub>
          <m:r>
            <w:rPr>
              <w:rFonts w:ascii="Cambria Math" w:hAnsi="Cambria Math"/>
              <w:sz w:val="22"/>
            </w:rPr>
            <m:t>+f*</m:t>
          </m:r>
          <m:sSub>
            <m:sSubPr>
              <m:ctrlPr>
                <w:rPr>
                  <w:rFonts w:ascii="Cambria Math" w:hAnsi="Cambria Math"/>
                  <w:i/>
                  <w:sz w:val="22"/>
                </w:rPr>
              </m:ctrlPr>
            </m:sSubPr>
            <m:e>
              <m:r>
                <w:rPr>
                  <w:rFonts w:ascii="Cambria Math" w:hAnsi="Cambria Math"/>
                  <w:sz w:val="22"/>
                </w:rPr>
                <m:t>treat</m:t>
              </m:r>
            </m:e>
            <m:sub>
              <m:r>
                <w:rPr>
                  <w:rFonts w:ascii="Cambria Math" w:hAnsi="Cambria Math"/>
                  <w:sz w:val="22"/>
                </w:rPr>
                <m:t>i</m:t>
              </m:r>
            </m:sub>
          </m:sSub>
          <m:r>
            <w:rPr>
              <w:rFonts w:ascii="Cambria Math" w:hAnsi="Cambria Math"/>
              <w:sz w:val="22"/>
            </w:rPr>
            <m:t>*</m:t>
          </m:r>
          <m:sSub>
            <m:sSubPr>
              <m:ctrlPr>
                <w:rPr>
                  <w:rFonts w:ascii="Cambria Math" w:hAnsi="Cambria Math"/>
                  <w:i/>
                  <w:sz w:val="22"/>
                </w:rPr>
              </m:ctrlPr>
            </m:sSubPr>
            <m:e>
              <m:r>
                <w:rPr>
                  <w:rFonts w:ascii="Cambria Math" w:hAnsi="Cambria Math"/>
                  <w:sz w:val="22"/>
                </w:rPr>
                <m:t>eperiod</m:t>
              </m:r>
            </m:e>
            <m:sub>
              <m:r>
                <w:rPr>
                  <w:rFonts w:ascii="Cambria Math" w:hAnsi="Cambria Math"/>
                  <w:sz w:val="22"/>
                </w:rPr>
                <m:t>h</m:t>
              </m:r>
            </m:sub>
          </m:sSub>
        </m:oMath>
      </m:oMathPara>
    </w:p>
    <w:p w:rsidR="00DD0D4B" w:rsidRPr="004E61AA" w:rsidRDefault="00DD0D4B" w:rsidP="00DD0D4B">
      <w:pPr>
        <w:pStyle w:val="BodyParagraph"/>
        <w:rPr>
          <w:rFonts w:ascii="Times New Roman" w:hAnsi="Times New Roman"/>
          <w:sz w:val="22"/>
        </w:rPr>
      </w:pPr>
      <m:oMathPara>
        <m:oMath>
          <m:r>
            <w:rPr>
              <w:rFonts w:ascii="Cambria Math" w:hAnsi="Cambria Math"/>
              <w:sz w:val="22"/>
            </w:rPr>
            <m:t>+g*</m:t>
          </m:r>
          <m:sSub>
            <m:sSubPr>
              <m:ctrlPr>
                <w:rPr>
                  <w:rFonts w:ascii="Cambria Math" w:hAnsi="Cambria Math"/>
                  <w:i/>
                  <w:sz w:val="22"/>
                </w:rPr>
              </m:ctrlPr>
            </m:sSubPr>
            <m:e>
              <m:r>
                <w:rPr>
                  <w:rFonts w:ascii="Cambria Math" w:hAnsi="Cambria Math"/>
                  <w:sz w:val="22"/>
                </w:rPr>
                <m:t>treat</m:t>
              </m:r>
            </m:e>
            <m:sub>
              <m:r>
                <w:rPr>
                  <w:rFonts w:ascii="Cambria Math" w:hAnsi="Cambria Math"/>
                  <w:sz w:val="22"/>
                </w:rPr>
                <m:t>i</m:t>
              </m:r>
            </m:sub>
          </m:sSub>
          <m:sSub>
            <m:sSubPr>
              <m:ctrlPr>
                <w:rPr>
                  <w:rFonts w:ascii="Cambria Math" w:hAnsi="Cambria Math"/>
                  <w:i/>
                  <w:sz w:val="22"/>
                </w:rPr>
              </m:ctrlPr>
            </m:sSubPr>
            <m:e>
              <m:r>
                <w:rPr>
                  <w:rFonts w:ascii="Cambria Math" w:hAnsi="Cambria Math"/>
                  <w:sz w:val="22"/>
                </w:rPr>
                <m:t>*eday</m:t>
              </m:r>
            </m:e>
            <m:sub>
              <m:r>
                <w:rPr>
                  <w:rFonts w:ascii="Cambria Math" w:hAnsi="Cambria Math"/>
                  <w:sz w:val="22"/>
                </w:rPr>
                <m:t>t</m:t>
              </m:r>
            </m:sub>
          </m:sSub>
          <m:r>
            <w:rPr>
              <w:rFonts w:ascii="Cambria Math" w:hAnsi="Cambria Math"/>
              <w:sz w:val="22"/>
            </w:rPr>
            <m:t>+</m:t>
          </m:r>
          <m:sSub>
            <m:sSubPr>
              <m:ctrlPr>
                <w:rPr>
                  <w:rFonts w:ascii="Cambria Math" w:hAnsi="Cambria Math"/>
                  <w:i/>
                  <w:sz w:val="22"/>
                </w:rPr>
              </m:ctrlPr>
            </m:sSubPr>
            <m:e>
              <m:r>
                <w:rPr>
                  <w:rFonts w:ascii="Cambria Math" w:hAnsi="Cambria Math"/>
                  <w:sz w:val="22"/>
                </w:rPr>
                <m:t>u</m:t>
              </m:r>
            </m:e>
            <m:sub>
              <m:r>
                <w:rPr>
                  <w:rFonts w:ascii="Cambria Math" w:hAnsi="Cambria Math"/>
                  <w:sz w:val="22"/>
                </w:rPr>
                <m:t>ith</m:t>
              </m:r>
            </m:sub>
          </m:sSub>
        </m:oMath>
      </m:oMathPara>
    </w:p>
    <w:p w:rsidR="00DD0D4B" w:rsidRPr="000C482F" w:rsidRDefault="00DD0D4B" w:rsidP="00DD0D4B">
      <w:pPr>
        <w:pStyle w:val="BodyParagraph"/>
        <w:rPr>
          <w:rFonts w:ascii="Times New Roman" w:hAnsi="Times New Roman"/>
          <w:sz w:val="22"/>
        </w:rPr>
      </w:pPr>
    </w:p>
    <w:p w:rsidR="00490C98" w:rsidRDefault="00490C98">
      <w:pPr>
        <w:rPr>
          <w:b/>
          <w:bCs/>
          <w:sz w:val="22"/>
          <w:szCs w:val="22"/>
        </w:rPr>
      </w:pPr>
      <w:bookmarkStart w:id="289" w:name="_Ref445990580"/>
      <w:r>
        <w:rPr>
          <w:sz w:val="22"/>
          <w:szCs w:val="22"/>
        </w:rPr>
        <w:br w:type="page"/>
      </w:r>
    </w:p>
    <w:p w:rsidR="00DD0D4B" w:rsidRPr="000C482F" w:rsidRDefault="00DD0D4B" w:rsidP="00DD0D4B">
      <w:pPr>
        <w:pStyle w:val="Caption"/>
        <w:spacing w:after="120"/>
        <w:jc w:val="center"/>
        <w:rPr>
          <w:sz w:val="22"/>
          <w:szCs w:val="22"/>
        </w:rPr>
      </w:pPr>
      <w:r w:rsidRPr="000C482F">
        <w:rPr>
          <w:sz w:val="22"/>
          <w:szCs w:val="22"/>
        </w:rPr>
        <w:lastRenderedPageBreak/>
        <w:t xml:space="preserve">Table </w:t>
      </w:r>
      <w:r w:rsidRPr="000C482F">
        <w:rPr>
          <w:sz w:val="22"/>
          <w:szCs w:val="22"/>
        </w:rPr>
        <w:fldChar w:fldCharType="begin"/>
      </w:r>
      <w:r w:rsidRPr="000C482F">
        <w:rPr>
          <w:sz w:val="22"/>
          <w:szCs w:val="22"/>
        </w:rPr>
        <w:instrText xml:space="preserve"> STYLEREF 1 \s </w:instrText>
      </w:r>
      <w:r w:rsidRPr="000C482F">
        <w:rPr>
          <w:sz w:val="22"/>
          <w:szCs w:val="22"/>
        </w:rPr>
        <w:fldChar w:fldCharType="separate"/>
      </w:r>
      <w:r w:rsidR="008A6A2B">
        <w:rPr>
          <w:noProof/>
          <w:sz w:val="22"/>
          <w:szCs w:val="22"/>
        </w:rPr>
        <w:t>10</w:t>
      </w:r>
      <w:r w:rsidRPr="000C482F">
        <w:rPr>
          <w:noProof/>
          <w:sz w:val="22"/>
          <w:szCs w:val="22"/>
        </w:rPr>
        <w:fldChar w:fldCharType="end"/>
      </w:r>
      <w:r w:rsidRPr="000C482F">
        <w:rPr>
          <w:sz w:val="22"/>
          <w:szCs w:val="22"/>
        </w:rPr>
        <w:noBreakHyphen/>
      </w:r>
      <w:r w:rsidRPr="000C482F">
        <w:rPr>
          <w:sz w:val="22"/>
          <w:szCs w:val="22"/>
        </w:rPr>
        <w:fldChar w:fldCharType="begin"/>
      </w:r>
      <w:r w:rsidRPr="000C482F">
        <w:rPr>
          <w:sz w:val="22"/>
          <w:szCs w:val="22"/>
        </w:rPr>
        <w:instrText xml:space="preserve"> SEQ Table \* ARABIC \s 1 </w:instrText>
      </w:r>
      <w:r w:rsidRPr="000C482F">
        <w:rPr>
          <w:sz w:val="22"/>
          <w:szCs w:val="22"/>
        </w:rPr>
        <w:fldChar w:fldCharType="separate"/>
      </w:r>
      <w:r w:rsidR="008A6A2B">
        <w:rPr>
          <w:noProof/>
          <w:sz w:val="22"/>
          <w:szCs w:val="22"/>
        </w:rPr>
        <w:t>1</w:t>
      </w:r>
      <w:r w:rsidRPr="000C482F">
        <w:rPr>
          <w:noProof/>
          <w:sz w:val="22"/>
          <w:szCs w:val="22"/>
        </w:rPr>
        <w:fldChar w:fldCharType="end"/>
      </w:r>
      <w:bookmarkEnd w:id="289"/>
      <w:r w:rsidR="007D3889">
        <w:rPr>
          <w:noProof/>
          <w:sz w:val="22"/>
          <w:szCs w:val="22"/>
        </w:rPr>
        <w:t>:</w:t>
      </w:r>
      <w:r w:rsidRPr="000C482F">
        <w:rPr>
          <w:sz w:val="22"/>
          <w:szCs w:val="22"/>
        </w:rPr>
        <w:t xml:space="preserve"> Variables Used for </w:t>
      </w:r>
      <w:r>
        <w:rPr>
          <w:sz w:val="22"/>
          <w:szCs w:val="22"/>
        </w:rPr>
        <w:t>Triple Differences</w:t>
      </w:r>
      <w:r w:rsidRPr="000C482F">
        <w:rPr>
          <w:sz w:val="22"/>
          <w:szCs w:val="22"/>
        </w:rPr>
        <w:t xml:space="preserve"> Calculation</w:t>
      </w:r>
    </w:p>
    <w:tbl>
      <w:tblPr>
        <w:tblW w:w="3509" w:type="pct"/>
        <w:jc w:val="center"/>
        <w:tblLayout w:type="fixed"/>
        <w:tblLook w:val="00A0" w:firstRow="1" w:lastRow="0" w:firstColumn="1" w:lastColumn="0" w:noHBand="0" w:noVBand="0"/>
      </w:tblPr>
      <w:tblGrid>
        <w:gridCol w:w="1770"/>
        <w:gridCol w:w="4950"/>
      </w:tblGrid>
      <w:tr w:rsidR="00DD0D4B" w:rsidRPr="00034157" w:rsidTr="00796333">
        <w:trPr>
          <w:trHeight w:val="300"/>
          <w:tblHeader/>
          <w:jc w:val="center"/>
        </w:trPr>
        <w:tc>
          <w:tcPr>
            <w:tcW w:w="1317" w:type="pct"/>
            <w:tcBorders>
              <w:top w:val="single" w:sz="4" w:space="0" w:color="auto"/>
              <w:left w:val="single" w:sz="4" w:space="0" w:color="auto"/>
              <w:bottom w:val="single" w:sz="4" w:space="0" w:color="auto"/>
              <w:right w:val="single" w:sz="4" w:space="0" w:color="FFFFFF"/>
            </w:tcBorders>
            <w:shd w:val="clear" w:color="auto" w:fill="1F497D" w:themeFill="text2"/>
            <w:vAlign w:val="center"/>
          </w:tcPr>
          <w:p w:rsidR="00DD0D4B" w:rsidRPr="00DD0D4B" w:rsidRDefault="00DD0D4B" w:rsidP="00796333">
            <w:pPr>
              <w:pStyle w:val="TableHeader"/>
              <w:rPr>
                <w:rFonts w:ascii="Times New Roman" w:hAnsi="Times New Roman"/>
                <w:szCs w:val="20"/>
              </w:rPr>
            </w:pPr>
            <w:r w:rsidRPr="00DD0D4B">
              <w:rPr>
                <w:rFonts w:ascii="Times New Roman" w:hAnsi="Times New Roman"/>
                <w:szCs w:val="20"/>
              </w:rPr>
              <w:t>Variable</w:t>
            </w:r>
          </w:p>
        </w:tc>
        <w:tc>
          <w:tcPr>
            <w:tcW w:w="3683" w:type="pct"/>
            <w:tcBorders>
              <w:top w:val="single" w:sz="4" w:space="0" w:color="auto"/>
              <w:left w:val="nil"/>
              <w:bottom w:val="single" w:sz="4" w:space="0" w:color="auto"/>
              <w:right w:val="single" w:sz="4" w:space="0" w:color="auto"/>
            </w:tcBorders>
            <w:shd w:val="clear" w:color="auto" w:fill="1F497D" w:themeFill="text2"/>
            <w:vAlign w:val="center"/>
          </w:tcPr>
          <w:p w:rsidR="00DD0D4B" w:rsidRPr="00DD0D4B" w:rsidRDefault="00DD0D4B" w:rsidP="00796333">
            <w:pPr>
              <w:pStyle w:val="TableHeader"/>
              <w:rPr>
                <w:rFonts w:ascii="Times New Roman" w:hAnsi="Times New Roman"/>
                <w:szCs w:val="20"/>
              </w:rPr>
            </w:pPr>
            <w:r w:rsidRPr="00DD0D4B">
              <w:rPr>
                <w:rFonts w:ascii="Times New Roman" w:hAnsi="Times New Roman"/>
                <w:szCs w:val="20"/>
              </w:rPr>
              <w:t>Description</w:t>
            </w:r>
          </w:p>
        </w:tc>
      </w:tr>
      <w:tr w:rsidR="00DD0D4B" w:rsidRPr="00034157" w:rsidTr="00796333">
        <w:trPr>
          <w:trHeight w:val="285"/>
          <w:jc w:val="center"/>
        </w:trPr>
        <w:tc>
          <w:tcPr>
            <w:tcW w:w="1317"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DD0D4B" w:rsidRPr="00DD0D4B" w:rsidRDefault="00DD0D4B" w:rsidP="00796333">
            <w:pPr>
              <w:pStyle w:val="TableText"/>
              <w:keepNext/>
              <w:jc w:val="center"/>
              <w:rPr>
                <w:rFonts w:ascii="Times New Roman" w:hAnsi="Times New Roman"/>
                <w:i/>
                <w:iCs/>
                <w:color w:val="000000"/>
                <w:sz w:val="20"/>
                <w:szCs w:val="20"/>
              </w:rPr>
            </w:pPr>
            <w:r w:rsidRPr="00DD0D4B">
              <w:rPr>
                <w:rFonts w:ascii="Times New Roman" w:hAnsi="Times New Roman"/>
                <w:i/>
                <w:position w:val="-10"/>
                <w:sz w:val="20"/>
                <w:szCs w:val="20"/>
              </w:rPr>
              <w:t>kW</w:t>
            </w:r>
          </w:p>
        </w:tc>
        <w:tc>
          <w:tcPr>
            <w:tcW w:w="3683" w:type="pct"/>
            <w:tcBorders>
              <w:top w:val="single" w:sz="4" w:space="0" w:color="auto"/>
              <w:left w:val="nil"/>
              <w:bottom w:val="single" w:sz="4" w:space="0" w:color="auto"/>
              <w:right w:val="single" w:sz="4" w:space="0" w:color="auto"/>
            </w:tcBorders>
            <w:shd w:val="clear" w:color="auto" w:fill="FFFFFF"/>
            <w:noWrap/>
            <w:vAlign w:val="center"/>
          </w:tcPr>
          <w:p w:rsidR="00DD0D4B" w:rsidRPr="00DD0D4B" w:rsidRDefault="00DD0D4B" w:rsidP="00796333">
            <w:pPr>
              <w:pStyle w:val="TableText"/>
              <w:keepNext/>
              <w:rPr>
                <w:rFonts w:ascii="Times New Roman" w:hAnsi="Times New Roman"/>
                <w:color w:val="000000"/>
                <w:sz w:val="20"/>
                <w:szCs w:val="20"/>
              </w:rPr>
            </w:pPr>
            <w:r w:rsidRPr="00DD0D4B">
              <w:rPr>
                <w:rFonts w:ascii="Times New Roman" w:hAnsi="Times New Roman"/>
                <w:color w:val="000000"/>
                <w:sz w:val="20"/>
                <w:szCs w:val="20"/>
              </w:rPr>
              <w:t>Average demand</w:t>
            </w:r>
          </w:p>
        </w:tc>
      </w:tr>
      <w:tr w:rsidR="00DD0D4B" w:rsidRPr="00034157" w:rsidTr="00796333">
        <w:trPr>
          <w:trHeight w:val="285"/>
          <w:jc w:val="center"/>
        </w:trPr>
        <w:tc>
          <w:tcPr>
            <w:tcW w:w="1317" w:type="pct"/>
            <w:tcBorders>
              <w:top w:val="nil"/>
              <w:left w:val="single" w:sz="4" w:space="0" w:color="auto"/>
              <w:bottom w:val="single" w:sz="4" w:space="0" w:color="auto"/>
              <w:right w:val="single" w:sz="4" w:space="0" w:color="auto"/>
            </w:tcBorders>
            <w:shd w:val="clear" w:color="auto" w:fill="FFFFFF"/>
            <w:noWrap/>
            <w:vAlign w:val="center"/>
          </w:tcPr>
          <w:p w:rsidR="00DD0D4B" w:rsidRPr="00DD0D4B" w:rsidRDefault="00DD0D4B" w:rsidP="00796333">
            <w:pPr>
              <w:pStyle w:val="TableText"/>
              <w:keepNext/>
              <w:jc w:val="center"/>
              <w:rPr>
                <w:rFonts w:ascii="Times New Roman" w:hAnsi="Times New Roman"/>
                <w:i/>
                <w:iCs/>
                <w:color w:val="000000"/>
                <w:sz w:val="20"/>
                <w:szCs w:val="20"/>
              </w:rPr>
            </w:pPr>
            <w:r w:rsidRPr="00DD0D4B">
              <w:rPr>
                <w:rFonts w:ascii="Times New Roman" w:hAnsi="Times New Roman"/>
                <w:i/>
                <w:iCs/>
                <w:color w:val="000000"/>
                <w:sz w:val="20"/>
                <w:szCs w:val="20"/>
              </w:rPr>
              <w:t>treat</w:t>
            </w:r>
          </w:p>
        </w:tc>
        <w:tc>
          <w:tcPr>
            <w:tcW w:w="3683" w:type="pct"/>
            <w:tcBorders>
              <w:top w:val="nil"/>
              <w:left w:val="nil"/>
              <w:bottom w:val="single" w:sz="4" w:space="0" w:color="auto"/>
              <w:right w:val="single" w:sz="4" w:space="0" w:color="auto"/>
            </w:tcBorders>
            <w:shd w:val="clear" w:color="auto" w:fill="FFFFFF"/>
            <w:noWrap/>
            <w:vAlign w:val="center"/>
          </w:tcPr>
          <w:p w:rsidR="00DD0D4B" w:rsidRPr="00DD0D4B" w:rsidRDefault="00DD0D4B" w:rsidP="00796333">
            <w:pPr>
              <w:pStyle w:val="TableText"/>
              <w:keepNext/>
              <w:rPr>
                <w:rFonts w:ascii="Times New Roman" w:hAnsi="Times New Roman"/>
                <w:color w:val="000000"/>
                <w:sz w:val="20"/>
                <w:szCs w:val="20"/>
              </w:rPr>
            </w:pPr>
            <w:r w:rsidRPr="00DD0D4B">
              <w:rPr>
                <w:rFonts w:ascii="Times New Roman" w:hAnsi="Times New Roman"/>
                <w:color w:val="000000"/>
                <w:sz w:val="20"/>
                <w:szCs w:val="20"/>
              </w:rPr>
              <w:t>Indicates whether a customer is a participant (treat=1) or a control group member (treat =0)</w:t>
            </w:r>
          </w:p>
        </w:tc>
      </w:tr>
      <w:tr w:rsidR="00DD0D4B" w:rsidRPr="00034157" w:rsidTr="00796333">
        <w:trPr>
          <w:trHeight w:val="285"/>
          <w:jc w:val="center"/>
        </w:trPr>
        <w:tc>
          <w:tcPr>
            <w:tcW w:w="1317" w:type="pct"/>
            <w:tcBorders>
              <w:top w:val="nil"/>
              <w:left w:val="single" w:sz="4" w:space="0" w:color="auto"/>
              <w:bottom w:val="single" w:sz="4" w:space="0" w:color="auto"/>
              <w:right w:val="single" w:sz="4" w:space="0" w:color="auto"/>
            </w:tcBorders>
            <w:shd w:val="clear" w:color="auto" w:fill="auto"/>
            <w:noWrap/>
            <w:vAlign w:val="center"/>
          </w:tcPr>
          <w:p w:rsidR="00DD0D4B" w:rsidRPr="00DD0D4B" w:rsidRDefault="00DD0D4B" w:rsidP="00796333">
            <w:pPr>
              <w:pStyle w:val="TableText"/>
              <w:keepNext/>
              <w:jc w:val="center"/>
              <w:rPr>
                <w:rFonts w:ascii="Times New Roman" w:hAnsi="Times New Roman"/>
                <w:i/>
                <w:iCs/>
                <w:color w:val="000000"/>
                <w:sz w:val="20"/>
                <w:szCs w:val="20"/>
              </w:rPr>
            </w:pPr>
            <w:r w:rsidRPr="00DD0D4B">
              <w:rPr>
                <w:rFonts w:ascii="Times New Roman" w:hAnsi="Times New Roman"/>
                <w:i/>
                <w:sz w:val="20"/>
                <w:szCs w:val="20"/>
              </w:rPr>
              <w:t>eday</w:t>
            </w:r>
          </w:p>
        </w:tc>
        <w:tc>
          <w:tcPr>
            <w:tcW w:w="3683" w:type="pct"/>
            <w:tcBorders>
              <w:top w:val="nil"/>
              <w:left w:val="nil"/>
              <w:bottom w:val="single" w:sz="4" w:space="0" w:color="auto"/>
              <w:right w:val="single" w:sz="4" w:space="0" w:color="auto"/>
            </w:tcBorders>
            <w:shd w:val="clear" w:color="auto" w:fill="auto"/>
            <w:noWrap/>
            <w:vAlign w:val="center"/>
          </w:tcPr>
          <w:p w:rsidR="00DD0D4B" w:rsidRPr="00DD0D4B" w:rsidRDefault="00DD0D4B" w:rsidP="00796333">
            <w:pPr>
              <w:pStyle w:val="TableText"/>
              <w:keepNext/>
              <w:rPr>
                <w:rFonts w:ascii="Times New Roman" w:hAnsi="Times New Roman"/>
                <w:color w:val="000000"/>
                <w:sz w:val="20"/>
                <w:szCs w:val="20"/>
              </w:rPr>
            </w:pPr>
            <w:r w:rsidRPr="00DD0D4B">
              <w:rPr>
                <w:rFonts w:ascii="Times New Roman" w:hAnsi="Times New Roman"/>
                <w:color w:val="000000"/>
                <w:sz w:val="20"/>
                <w:szCs w:val="20"/>
              </w:rPr>
              <w:t>Indicates whether a given day was an event (eday=1) or not (eday=0)</w:t>
            </w:r>
          </w:p>
        </w:tc>
      </w:tr>
      <w:tr w:rsidR="00DD0D4B" w:rsidRPr="00034157" w:rsidTr="00796333">
        <w:trPr>
          <w:trHeight w:val="285"/>
          <w:jc w:val="center"/>
        </w:trPr>
        <w:tc>
          <w:tcPr>
            <w:tcW w:w="1317" w:type="pct"/>
            <w:tcBorders>
              <w:top w:val="nil"/>
              <w:left w:val="single" w:sz="4" w:space="0" w:color="auto"/>
              <w:bottom w:val="single" w:sz="4" w:space="0" w:color="auto"/>
              <w:right w:val="single" w:sz="4" w:space="0" w:color="auto"/>
            </w:tcBorders>
            <w:shd w:val="clear" w:color="auto" w:fill="auto"/>
            <w:noWrap/>
            <w:vAlign w:val="center"/>
          </w:tcPr>
          <w:p w:rsidR="00DD0D4B" w:rsidRPr="00DD0D4B" w:rsidRDefault="00DD0D4B" w:rsidP="00796333">
            <w:pPr>
              <w:pStyle w:val="TableText"/>
              <w:keepNext/>
              <w:jc w:val="center"/>
              <w:rPr>
                <w:rFonts w:ascii="Times New Roman" w:hAnsi="Times New Roman"/>
                <w:i/>
                <w:sz w:val="20"/>
                <w:szCs w:val="20"/>
              </w:rPr>
            </w:pPr>
            <w:r w:rsidRPr="00DD0D4B">
              <w:rPr>
                <w:rFonts w:ascii="Times New Roman" w:hAnsi="Times New Roman"/>
                <w:i/>
                <w:sz w:val="20"/>
                <w:szCs w:val="20"/>
              </w:rPr>
              <w:t>eperiod</w:t>
            </w:r>
          </w:p>
        </w:tc>
        <w:tc>
          <w:tcPr>
            <w:tcW w:w="3683" w:type="pct"/>
            <w:tcBorders>
              <w:top w:val="nil"/>
              <w:left w:val="nil"/>
              <w:bottom w:val="single" w:sz="4" w:space="0" w:color="auto"/>
              <w:right w:val="single" w:sz="4" w:space="0" w:color="auto"/>
            </w:tcBorders>
            <w:shd w:val="clear" w:color="auto" w:fill="auto"/>
            <w:noWrap/>
            <w:vAlign w:val="center"/>
          </w:tcPr>
          <w:p w:rsidR="00DD0D4B" w:rsidRPr="00DD0D4B" w:rsidRDefault="00DD0D4B" w:rsidP="00796333">
            <w:pPr>
              <w:pStyle w:val="TableText"/>
              <w:keepNext/>
              <w:rPr>
                <w:rFonts w:ascii="Times New Roman" w:hAnsi="Times New Roman"/>
                <w:color w:val="000000"/>
                <w:sz w:val="20"/>
                <w:szCs w:val="20"/>
              </w:rPr>
            </w:pPr>
            <w:r w:rsidRPr="00DD0D4B">
              <w:rPr>
                <w:rFonts w:ascii="Times New Roman" w:hAnsi="Times New Roman"/>
                <w:color w:val="000000"/>
                <w:sz w:val="20"/>
                <w:szCs w:val="20"/>
              </w:rPr>
              <w:t>Indicates whether a given hour was an event hour (eperiod=1) or not (eperiod=0)</w:t>
            </w:r>
          </w:p>
        </w:tc>
      </w:tr>
      <w:tr w:rsidR="00DD0D4B" w:rsidRPr="00034157" w:rsidTr="00796333">
        <w:trPr>
          <w:trHeight w:val="285"/>
          <w:jc w:val="center"/>
        </w:trPr>
        <w:tc>
          <w:tcPr>
            <w:tcW w:w="1317" w:type="pct"/>
            <w:tcBorders>
              <w:top w:val="nil"/>
              <w:left w:val="single" w:sz="4" w:space="0" w:color="auto"/>
              <w:bottom w:val="single" w:sz="4" w:space="0" w:color="auto"/>
              <w:right w:val="single" w:sz="4" w:space="0" w:color="auto"/>
            </w:tcBorders>
            <w:shd w:val="clear" w:color="auto" w:fill="FFFFFF"/>
            <w:noWrap/>
            <w:vAlign w:val="center"/>
          </w:tcPr>
          <w:p w:rsidR="00DD0D4B" w:rsidRPr="00DD0D4B" w:rsidRDefault="00DD0D4B" w:rsidP="00796333">
            <w:pPr>
              <w:pStyle w:val="TableText"/>
              <w:keepNext/>
              <w:jc w:val="center"/>
              <w:rPr>
                <w:rFonts w:ascii="Times New Roman" w:hAnsi="Times New Roman"/>
                <w:i/>
                <w:sz w:val="20"/>
                <w:szCs w:val="20"/>
              </w:rPr>
            </w:pPr>
            <w:r w:rsidRPr="00DD0D4B">
              <w:rPr>
                <w:rFonts w:ascii="Times New Roman" w:hAnsi="Times New Roman"/>
                <w:i/>
                <w:sz w:val="20"/>
                <w:szCs w:val="20"/>
              </w:rPr>
              <w:t>customer</w:t>
            </w:r>
          </w:p>
        </w:tc>
        <w:tc>
          <w:tcPr>
            <w:tcW w:w="3683" w:type="pct"/>
            <w:tcBorders>
              <w:top w:val="nil"/>
              <w:left w:val="nil"/>
              <w:bottom w:val="single" w:sz="4" w:space="0" w:color="auto"/>
              <w:right w:val="single" w:sz="4" w:space="0" w:color="auto"/>
            </w:tcBorders>
            <w:shd w:val="clear" w:color="auto" w:fill="FFFFFF"/>
            <w:noWrap/>
            <w:vAlign w:val="center"/>
          </w:tcPr>
          <w:p w:rsidR="00DD0D4B" w:rsidRPr="00DD0D4B" w:rsidRDefault="00DD0D4B" w:rsidP="00796333">
            <w:pPr>
              <w:pStyle w:val="TableText"/>
              <w:keepNext/>
              <w:rPr>
                <w:rFonts w:ascii="Times New Roman" w:hAnsi="Times New Roman"/>
                <w:color w:val="000000"/>
                <w:sz w:val="20"/>
                <w:szCs w:val="20"/>
              </w:rPr>
            </w:pPr>
            <w:r w:rsidRPr="00DD0D4B">
              <w:rPr>
                <w:rFonts w:ascii="Times New Roman" w:hAnsi="Times New Roman"/>
                <w:color w:val="000000"/>
                <w:sz w:val="20"/>
                <w:szCs w:val="20"/>
              </w:rPr>
              <w:t>A set of indicator variables that equal one if cust=i</w:t>
            </w:r>
          </w:p>
        </w:tc>
      </w:tr>
      <w:tr w:rsidR="00DD0D4B" w:rsidRPr="00034157" w:rsidTr="00796333">
        <w:trPr>
          <w:trHeight w:val="285"/>
          <w:jc w:val="center"/>
        </w:trPr>
        <w:tc>
          <w:tcPr>
            <w:tcW w:w="1317" w:type="pct"/>
            <w:tcBorders>
              <w:top w:val="nil"/>
              <w:left w:val="single" w:sz="4" w:space="0" w:color="auto"/>
              <w:bottom w:val="single" w:sz="4" w:space="0" w:color="auto"/>
              <w:right w:val="single" w:sz="4" w:space="0" w:color="auto"/>
            </w:tcBorders>
            <w:shd w:val="clear" w:color="auto" w:fill="FFFFFF"/>
            <w:noWrap/>
            <w:vAlign w:val="center"/>
          </w:tcPr>
          <w:p w:rsidR="00DD0D4B" w:rsidRPr="00DD0D4B" w:rsidRDefault="00DD0D4B" w:rsidP="00796333">
            <w:pPr>
              <w:pStyle w:val="TableText"/>
              <w:keepNext/>
              <w:jc w:val="center"/>
              <w:rPr>
                <w:rFonts w:ascii="Times New Roman" w:hAnsi="Times New Roman"/>
                <w:i/>
                <w:sz w:val="20"/>
                <w:szCs w:val="20"/>
              </w:rPr>
            </w:pPr>
            <w:r w:rsidRPr="00DD0D4B">
              <w:rPr>
                <w:rFonts w:ascii="Times New Roman" w:hAnsi="Times New Roman"/>
                <w:i/>
                <w:sz w:val="20"/>
                <w:szCs w:val="20"/>
              </w:rPr>
              <w:t>hour</w:t>
            </w:r>
          </w:p>
        </w:tc>
        <w:tc>
          <w:tcPr>
            <w:tcW w:w="3683" w:type="pct"/>
            <w:tcBorders>
              <w:top w:val="nil"/>
              <w:left w:val="nil"/>
              <w:bottom w:val="single" w:sz="4" w:space="0" w:color="auto"/>
              <w:right w:val="single" w:sz="4" w:space="0" w:color="auto"/>
            </w:tcBorders>
            <w:shd w:val="clear" w:color="auto" w:fill="FFFFFF"/>
            <w:noWrap/>
            <w:vAlign w:val="center"/>
          </w:tcPr>
          <w:p w:rsidR="00DD0D4B" w:rsidRPr="00DD0D4B" w:rsidRDefault="00DD0D4B" w:rsidP="00796333">
            <w:pPr>
              <w:pStyle w:val="TableText"/>
              <w:keepNext/>
              <w:rPr>
                <w:rFonts w:ascii="Times New Roman" w:hAnsi="Times New Roman"/>
                <w:color w:val="000000"/>
                <w:sz w:val="20"/>
                <w:szCs w:val="20"/>
              </w:rPr>
            </w:pPr>
            <w:r w:rsidRPr="00DD0D4B">
              <w:rPr>
                <w:rFonts w:ascii="Times New Roman" w:hAnsi="Times New Roman"/>
                <w:color w:val="000000"/>
                <w:sz w:val="20"/>
                <w:szCs w:val="20"/>
              </w:rPr>
              <w:t>A set of indicator variables that equal one if hr=h</w:t>
            </w:r>
          </w:p>
        </w:tc>
      </w:tr>
      <w:tr w:rsidR="00DD0D4B" w:rsidRPr="00034157" w:rsidTr="00796333">
        <w:trPr>
          <w:trHeight w:val="285"/>
          <w:jc w:val="center"/>
        </w:trPr>
        <w:tc>
          <w:tcPr>
            <w:tcW w:w="1317" w:type="pct"/>
            <w:tcBorders>
              <w:top w:val="nil"/>
              <w:left w:val="single" w:sz="4" w:space="0" w:color="auto"/>
              <w:bottom w:val="single" w:sz="4" w:space="0" w:color="auto"/>
              <w:right w:val="single" w:sz="4" w:space="0" w:color="auto"/>
            </w:tcBorders>
            <w:shd w:val="clear" w:color="auto" w:fill="FFFFFF"/>
            <w:noWrap/>
            <w:vAlign w:val="center"/>
          </w:tcPr>
          <w:p w:rsidR="00DD0D4B" w:rsidRPr="00DD0D4B" w:rsidRDefault="00DD0D4B" w:rsidP="00796333">
            <w:pPr>
              <w:pStyle w:val="TableText"/>
              <w:keepNext/>
              <w:jc w:val="center"/>
              <w:rPr>
                <w:rFonts w:ascii="Times New Roman" w:hAnsi="Times New Roman"/>
                <w:i/>
                <w:sz w:val="20"/>
                <w:szCs w:val="20"/>
              </w:rPr>
            </w:pPr>
            <w:r w:rsidRPr="00DD0D4B">
              <w:rPr>
                <w:rFonts w:ascii="Times New Roman" w:hAnsi="Times New Roman"/>
                <w:i/>
                <w:sz w:val="20"/>
                <w:szCs w:val="20"/>
              </w:rPr>
              <w:t>day</w:t>
            </w:r>
          </w:p>
        </w:tc>
        <w:tc>
          <w:tcPr>
            <w:tcW w:w="3683" w:type="pct"/>
            <w:tcBorders>
              <w:top w:val="nil"/>
              <w:left w:val="nil"/>
              <w:bottom w:val="single" w:sz="4" w:space="0" w:color="auto"/>
              <w:right w:val="single" w:sz="4" w:space="0" w:color="auto"/>
            </w:tcBorders>
            <w:shd w:val="clear" w:color="auto" w:fill="FFFFFF"/>
            <w:noWrap/>
            <w:vAlign w:val="center"/>
          </w:tcPr>
          <w:p w:rsidR="00DD0D4B" w:rsidRPr="00DD0D4B" w:rsidRDefault="00DD0D4B" w:rsidP="00796333">
            <w:pPr>
              <w:pStyle w:val="TableText"/>
              <w:keepNext/>
              <w:rPr>
                <w:rFonts w:ascii="Times New Roman" w:hAnsi="Times New Roman"/>
                <w:color w:val="000000"/>
                <w:sz w:val="20"/>
                <w:szCs w:val="20"/>
              </w:rPr>
            </w:pPr>
            <w:r w:rsidRPr="00DD0D4B">
              <w:rPr>
                <w:rFonts w:ascii="Times New Roman" w:hAnsi="Times New Roman"/>
                <w:color w:val="000000"/>
                <w:sz w:val="20"/>
                <w:szCs w:val="20"/>
              </w:rPr>
              <w:t>A set of indicator variables that equal one if date=t</w:t>
            </w:r>
          </w:p>
        </w:tc>
      </w:tr>
      <w:tr w:rsidR="00DD0D4B" w:rsidRPr="00034157" w:rsidTr="00796333">
        <w:trPr>
          <w:trHeight w:val="285"/>
          <w:jc w:val="center"/>
        </w:trPr>
        <w:tc>
          <w:tcPr>
            <w:tcW w:w="1317" w:type="pct"/>
            <w:tcBorders>
              <w:top w:val="nil"/>
              <w:left w:val="single" w:sz="4" w:space="0" w:color="auto"/>
              <w:bottom w:val="single" w:sz="4" w:space="0" w:color="auto"/>
              <w:right w:val="single" w:sz="4" w:space="0" w:color="auto"/>
            </w:tcBorders>
            <w:shd w:val="clear" w:color="auto" w:fill="FFFFFF"/>
            <w:noWrap/>
            <w:vAlign w:val="center"/>
          </w:tcPr>
          <w:p w:rsidR="00DD0D4B" w:rsidRPr="00DD0D4B" w:rsidRDefault="00DD0D4B" w:rsidP="00796333">
            <w:pPr>
              <w:pStyle w:val="TableText"/>
              <w:keepNext/>
              <w:jc w:val="center"/>
              <w:rPr>
                <w:rFonts w:ascii="Times New Roman" w:hAnsi="Times New Roman"/>
                <w:i/>
                <w:sz w:val="20"/>
                <w:szCs w:val="20"/>
              </w:rPr>
            </w:pPr>
            <w:r w:rsidRPr="00DD0D4B">
              <w:rPr>
                <w:rFonts w:ascii="Times New Roman" w:hAnsi="Times New Roman"/>
                <w:i/>
                <w:sz w:val="20"/>
                <w:szCs w:val="20"/>
              </w:rPr>
              <w:t>a</w:t>
            </w:r>
          </w:p>
        </w:tc>
        <w:tc>
          <w:tcPr>
            <w:tcW w:w="3683" w:type="pct"/>
            <w:tcBorders>
              <w:top w:val="nil"/>
              <w:left w:val="nil"/>
              <w:bottom w:val="single" w:sz="4" w:space="0" w:color="auto"/>
              <w:right w:val="single" w:sz="4" w:space="0" w:color="auto"/>
            </w:tcBorders>
            <w:shd w:val="clear" w:color="auto" w:fill="FFFFFF"/>
            <w:noWrap/>
            <w:vAlign w:val="center"/>
          </w:tcPr>
          <w:p w:rsidR="00DD0D4B" w:rsidRPr="00DD0D4B" w:rsidRDefault="00DD0D4B" w:rsidP="00796333">
            <w:pPr>
              <w:pStyle w:val="TableText"/>
              <w:keepNext/>
              <w:rPr>
                <w:rFonts w:ascii="Times New Roman" w:hAnsi="Times New Roman"/>
                <w:color w:val="000000"/>
                <w:sz w:val="20"/>
                <w:szCs w:val="20"/>
              </w:rPr>
            </w:pPr>
            <w:r w:rsidRPr="00DD0D4B">
              <w:rPr>
                <w:rFonts w:ascii="Times New Roman" w:hAnsi="Times New Roman"/>
                <w:color w:val="000000"/>
                <w:sz w:val="20"/>
                <w:szCs w:val="20"/>
              </w:rPr>
              <w:t>Estimated effect of the treatment</w:t>
            </w:r>
          </w:p>
        </w:tc>
      </w:tr>
      <w:tr w:rsidR="00DD0D4B" w:rsidRPr="00034157" w:rsidTr="00796333">
        <w:trPr>
          <w:trHeight w:val="285"/>
          <w:jc w:val="center"/>
        </w:trPr>
        <w:tc>
          <w:tcPr>
            <w:tcW w:w="1317" w:type="pct"/>
            <w:tcBorders>
              <w:top w:val="nil"/>
              <w:left w:val="single" w:sz="4" w:space="0" w:color="auto"/>
              <w:bottom w:val="single" w:sz="4" w:space="0" w:color="auto"/>
              <w:right w:val="single" w:sz="4" w:space="0" w:color="auto"/>
            </w:tcBorders>
            <w:shd w:val="clear" w:color="auto" w:fill="FFFFFF"/>
            <w:noWrap/>
            <w:vAlign w:val="center"/>
          </w:tcPr>
          <w:p w:rsidR="00DD0D4B" w:rsidRPr="00DD0D4B" w:rsidRDefault="00DD0D4B" w:rsidP="00796333">
            <w:pPr>
              <w:pStyle w:val="TableText"/>
              <w:keepNext/>
              <w:jc w:val="center"/>
              <w:rPr>
                <w:rFonts w:ascii="Times New Roman" w:hAnsi="Times New Roman"/>
                <w:i/>
                <w:sz w:val="20"/>
                <w:szCs w:val="20"/>
              </w:rPr>
            </w:pPr>
            <w:r w:rsidRPr="00DD0D4B">
              <w:rPr>
                <w:rFonts w:ascii="Times New Roman" w:hAnsi="Times New Roman"/>
                <w:i/>
                <w:sz w:val="20"/>
                <w:szCs w:val="20"/>
              </w:rPr>
              <w:t>b, c, d</w:t>
            </w:r>
          </w:p>
        </w:tc>
        <w:tc>
          <w:tcPr>
            <w:tcW w:w="3683" w:type="pct"/>
            <w:tcBorders>
              <w:top w:val="nil"/>
              <w:left w:val="nil"/>
              <w:bottom w:val="single" w:sz="4" w:space="0" w:color="auto"/>
              <w:right w:val="single" w:sz="4" w:space="0" w:color="auto"/>
            </w:tcBorders>
            <w:shd w:val="clear" w:color="auto" w:fill="FFFFFF"/>
            <w:noWrap/>
            <w:vAlign w:val="center"/>
          </w:tcPr>
          <w:p w:rsidR="00DD0D4B" w:rsidRPr="00DD0D4B" w:rsidRDefault="00DD0D4B" w:rsidP="00796333">
            <w:pPr>
              <w:pStyle w:val="TableText"/>
              <w:keepNext/>
              <w:rPr>
                <w:rFonts w:ascii="Times New Roman" w:hAnsi="Times New Roman"/>
                <w:color w:val="000000"/>
                <w:sz w:val="20"/>
                <w:szCs w:val="20"/>
              </w:rPr>
            </w:pPr>
            <w:r w:rsidRPr="00DD0D4B">
              <w:rPr>
                <w:rFonts w:ascii="Times New Roman" w:hAnsi="Times New Roman"/>
                <w:color w:val="000000"/>
                <w:sz w:val="20"/>
                <w:szCs w:val="20"/>
              </w:rPr>
              <w:t>Estimated fixed effects</w:t>
            </w:r>
          </w:p>
        </w:tc>
      </w:tr>
      <w:tr w:rsidR="00DD0D4B" w:rsidRPr="00034157" w:rsidTr="00796333">
        <w:trPr>
          <w:trHeight w:val="285"/>
          <w:jc w:val="center"/>
        </w:trPr>
        <w:tc>
          <w:tcPr>
            <w:tcW w:w="1317" w:type="pct"/>
            <w:tcBorders>
              <w:top w:val="nil"/>
              <w:left w:val="single" w:sz="4" w:space="0" w:color="auto"/>
              <w:bottom w:val="single" w:sz="4" w:space="0" w:color="auto"/>
              <w:right w:val="single" w:sz="4" w:space="0" w:color="auto"/>
            </w:tcBorders>
            <w:shd w:val="clear" w:color="auto" w:fill="FFFFFF"/>
            <w:noWrap/>
            <w:vAlign w:val="center"/>
          </w:tcPr>
          <w:p w:rsidR="00DD0D4B" w:rsidRPr="00DD0D4B" w:rsidRDefault="00DD0D4B" w:rsidP="00796333">
            <w:pPr>
              <w:pStyle w:val="TableText"/>
              <w:keepNext/>
              <w:jc w:val="center"/>
              <w:rPr>
                <w:rFonts w:ascii="Times New Roman" w:hAnsi="Times New Roman"/>
                <w:i/>
                <w:sz w:val="20"/>
                <w:szCs w:val="20"/>
              </w:rPr>
            </w:pPr>
            <w:r w:rsidRPr="00DD0D4B">
              <w:rPr>
                <w:rFonts w:ascii="Times New Roman" w:hAnsi="Times New Roman"/>
                <w:i/>
                <w:sz w:val="20"/>
                <w:szCs w:val="20"/>
              </w:rPr>
              <w:t>e, f, g</w:t>
            </w:r>
          </w:p>
        </w:tc>
        <w:tc>
          <w:tcPr>
            <w:tcW w:w="3683" w:type="pct"/>
            <w:tcBorders>
              <w:top w:val="nil"/>
              <w:left w:val="nil"/>
              <w:bottom w:val="single" w:sz="4" w:space="0" w:color="auto"/>
              <w:right w:val="single" w:sz="4" w:space="0" w:color="auto"/>
            </w:tcBorders>
            <w:shd w:val="clear" w:color="auto" w:fill="FFFFFF"/>
            <w:noWrap/>
            <w:vAlign w:val="center"/>
          </w:tcPr>
          <w:p w:rsidR="00DD0D4B" w:rsidRPr="00DD0D4B" w:rsidRDefault="00DD0D4B" w:rsidP="00796333">
            <w:pPr>
              <w:pStyle w:val="TableText"/>
              <w:keepNext/>
              <w:rPr>
                <w:rFonts w:ascii="Times New Roman" w:hAnsi="Times New Roman"/>
                <w:color w:val="000000"/>
                <w:sz w:val="20"/>
                <w:szCs w:val="20"/>
              </w:rPr>
            </w:pPr>
            <w:r w:rsidRPr="00DD0D4B">
              <w:rPr>
                <w:rFonts w:ascii="Times New Roman" w:hAnsi="Times New Roman"/>
                <w:color w:val="000000"/>
                <w:sz w:val="20"/>
                <w:szCs w:val="20"/>
              </w:rPr>
              <w:t>Estimated parameters</w:t>
            </w:r>
          </w:p>
        </w:tc>
      </w:tr>
      <w:tr w:rsidR="00DD0D4B" w:rsidRPr="00034157" w:rsidTr="00796333">
        <w:trPr>
          <w:trHeight w:val="285"/>
          <w:jc w:val="center"/>
        </w:trPr>
        <w:tc>
          <w:tcPr>
            <w:tcW w:w="1317" w:type="pct"/>
            <w:tcBorders>
              <w:top w:val="nil"/>
              <w:left w:val="single" w:sz="4" w:space="0" w:color="auto"/>
              <w:bottom w:val="single" w:sz="4" w:space="0" w:color="auto"/>
              <w:right w:val="single" w:sz="4" w:space="0" w:color="auto"/>
            </w:tcBorders>
            <w:shd w:val="clear" w:color="auto" w:fill="FFFFFF"/>
            <w:noWrap/>
            <w:vAlign w:val="center"/>
          </w:tcPr>
          <w:p w:rsidR="00DD0D4B" w:rsidRPr="00DD0D4B" w:rsidRDefault="00DD0D4B" w:rsidP="00796333">
            <w:pPr>
              <w:pStyle w:val="TableText"/>
              <w:keepNext/>
              <w:jc w:val="center"/>
              <w:rPr>
                <w:rFonts w:ascii="Times New Roman" w:hAnsi="Times New Roman"/>
                <w:i/>
                <w:sz w:val="20"/>
                <w:szCs w:val="20"/>
              </w:rPr>
            </w:pPr>
            <w:r w:rsidRPr="00DD0D4B">
              <w:rPr>
                <w:rFonts w:ascii="Times New Roman" w:hAnsi="Times New Roman"/>
                <w:i/>
                <w:sz w:val="20"/>
                <w:szCs w:val="20"/>
              </w:rPr>
              <w:t>i</w:t>
            </w:r>
          </w:p>
        </w:tc>
        <w:tc>
          <w:tcPr>
            <w:tcW w:w="3683" w:type="pct"/>
            <w:tcBorders>
              <w:top w:val="nil"/>
              <w:left w:val="nil"/>
              <w:bottom w:val="single" w:sz="4" w:space="0" w:color="auto"/>
              <w:right w:val="single" w:sz="4" w:space="0" w:color="auto"/>
            </w:tcBorders>
            <w:shd w:val="clear" w:color="auto" w:fill="FFFFFF"/>
            <w:noWrap/>
            <w:vAlign w:val="center"/>
          </w:tcPr>
          <w:p w:rsidR="00DD0D4B" w:rsidRPr="00DD0D4B" w:rsidRDefault="00DD0D4B" w:rsidP="00796333">
            <w:pPr>
              <w:pStyle w:val="TableText"/>
              <w:keepNext/>
              <w:rPr>
                <w:rFonts w:ascii="Times New Roman" w:hAnsi="Times New Roman"/>
                <w:b/>
                <w:color w:val="000000"/>
                <w:sz w:val="20"/>
                <w:szCs w:val="20"/>
              </w:rPr>
            </w:pPr>
            <w:r w:rsidRPr="00DD0D4B">
              <w:rPr>
                <w:rFonts w:ascii="Times New Roman" w:hAnsi="Times New Roman"/>
                <w:color w:val="000000"/>
                <w:sz w:val="20"/>
                <w:szCs w:val="20"/>
              </w:rPr>
              <w:t>Indexes customers</w:t>
            </w:r>
          </w:p>
        </w:tc>
      </w:tr>
      <w:tr w:rsidR="00DD0D4B" w:rsidRPr="00034157" w:rsidTr="00796333">
        <w:trPr>
          <w:trHeight w:val="285"/>
          <w:jc w:val="center"/>
        </w:trPr>
        <w:tc>
          <w:tcPr>
            <w:tcW w:w="1317" w:type="pct"/>
            <w:tcBorders>
              <w:top w:val="nil"/>
              <w:left w:val="single" w:sz="4" w:space="0" w:color="auto"/>
              <w:bottom w:val="single" w:sz="4" w:space="0" w:color="auto"/>
              <w:right w:val="single" w:sz="4" w:space="0" w:color="auto"/>
            </w:tcBorders>
            <w:shd w:val="clear" w:color="auto" w:fill="FFFFFF"/>
            <w:noWrap/>
            <w:vAlign w:val="center"/>
          </w:tcPr>
          <w:p w:rsidR="00DD0D4B" w:rsidRPr="00DD0D4B" w:rsidRDefault="00DD0D4B" w:rsidP="00796333">
            <w:pPr>
              <w:pStyle w:val="TableText"/>
              <w:keepNext/>
              <w:jc w:val="center"/>
              <w:rPr>
                <w:rFonts w:ascii="Times New Roman" w:hAnsi="Times New Roman"/>
                <w:i/>
                <w:sz w:val="20"/>
                <w:szCs w:val="20"/>
              </w:rPr>
            </w:pPr>
            <w:r w:rsidRPr="00DD0D4B">
              <w:rPr>
                <w:rFonts w:ascii="Times New Roman" w:hAnsi="Times New Roman"/>
                <w:i/>
                <w:sz w:val="20"/>
                <w:szCs w:val="20"/>
              </w:rPr>
              <w:t>t</w:t>
            </w:r>
          </w:p>
        </w:tc>
        <w:tc>
          <w:tcPr>
            <w:tcW w:w="3683" w:type="pct"/>
            <w:tcBorders>
              <w:top w:val="nil"/>
              <w:left w:val="nil"/>
              <w:bottom w:val="single" w:sz="4" w:space="0" w:color="auto"/>
              <w:right w:val="single" w:sz="4" w:space="0" w:color="auto"/>
            </w:tcBorders>
            <w:shd w:val="clear" w:color="auto" w:fill="FFFFFF"/>
            <w:noWrap/>
            <w:vAlign w:val="center"/>
          </w:tcPr>
          <w:p w:rsidR="00DD0D4B" w:rsidRPr="00DD0D4B" w:rsidRDefault="00DD0D4B" w:rsidP="00796333">
            <w:pPr>
              <w:pStyle w:val="TableText"/>
              <w:keepNext/>
              <w:rPr>
                <w:rFonts w:ascii="Times New Roman" w:hAnsi="Times New Roman"/>
                <w:color w:val="000000"/>
                <w:sz w:val="20"/>
                <w:szCs w:val="20"/>
              </w:rPr>
            </w:pPr>
            <w:r w:rsidRPr="00DD0D4B">
              <w:rPr>
                <w:rFonts w:ascii="Times New Roman" w:hAnsi="Times New Roman"/>
                <w:color w:val="000000"/>
                <w:sz w:val="20"/>
                <w:szCs w:val="20"/>
              </w:rPr>
              <w:t>Indexes the days</w:t>
            </w:r>
          </w:p>
        </w:tc>
      </w:tr>
      <w:tr w:rsidR="00DD0D4B" w:rsidRPr="00034157" w:rsidTr="00796333">
        <w:trPr>
          <w:trHeight w:val="285"/>
          <w:jc w:val="center"/>
        </w:trPr>
        <w:tc>
          <w:tcPr>
            <w:tcW w:w="1317" w:type="pct"/>
            <w:tcBorders>
              <w:top w:val="nil"/>
              <w:left w:val="single" w:sz="4" w:space="0" w:color="auto"/>
              <w:bottom w:val="single" w:sz="4" w:space="0" w:color="auto"/>
              <w:right w:val="single" w:sz="4" w:space="0" w:color="auto"/>
            </w:tcBorders>
            <w:shd w:val="clear" w:color="auto" w:fill="FFFFFF"/>
            <w:noWrap/>
            <w:vAlign w:val="center"/>
          </w:tcPr>
          <w:p w:rsidR="00DD0D4B" w:rsidRPr="00DD0D4B" w:rsidRDefault="00DD0D4B" w:rsidP="00796333">
            <w:pPr>
              <w:pStyle w:val="TableText"/>
              <w:keepNext/>
              <w:jc w:val="center"/>
              <w:rPr>
                <w:rFonts w:ascii="Times New Roman" w:hAnsi="Times New Roman"/>
                <w:i/>
                <w:sz w:val="20"/>
                <w:szCs w:val="20"/>
              </w:rPr>
            </w:pPr>
            <w:r w:rsidRPr="00DD0D4B">
              <w:rPr>
                <w:rFonts w:ascii="Times New Roman" w:hAnsi="Times New Roman"/>
                <w:i/>
                <w:sz w:val="20"/>
                <w:szCs w:val="20"/>
              </w:rPr>
              <w:t>h</w:t>
            </w:r>
          </w:p>
        </w:tc>
        <w:tc>
          <w:tcPr>
            <w:tcW w:w="3683" w:type="pct"/>
            <w:tcBorders>
              <w:top w:val="nil"/>
              <w:left w:val="nil"/>
              <w:bottom w:val="single" w:sz="4" w:space="0" w:color="auto"/>
              <w:right w:val="single" w:sz="4" w:space="0" w:color="auto"/>
            </w:tcBorders>
            <w:shd w:val="clear" w:color="auto" w:fill="FFFFFF"/>
            <w:noWrap/>
            <w:vAlign w:val="center"/>
          </w:tcPr>
          <w:p w:rsidR="00DD0D4B" w:rsidRPr="00DD0D4B" w:rsidRDefault="00DD0D4B" w:rsidP="00796333">
            <w:pPr>
              <w:pStyle w:val="TableText"/>
              <w:keepNext/>
              <w:rPr>
                <w:rFonts w:ascii="Times New Roman" w:hAnsi="Times New Roman"/>
                <w:color w:val="000000"/>
                <w:sz w:val="20"/>
                <w:szCs w:val="20"/>
              </w:rPr>
            </w:pPr>
            <w:r w:rsidRPr="00DD0D4B">
              <w:rPr>
                <w:rFonts w:ascii="Times New Roman" w:hAnsi="Times New Roman"/>
                <w:color w:val="000000"/>
                <w:sz w:val="20"/>
                <w:szCs w:val="20"/>
              </w:rPr>
              <w:t>Indexes hours</w:t>
            </w:r>
          </w:p>
        </w:tc>
      </w:tr>
    </w:tbl>
    <w:p w:rsidR="00DD0D4B" w:rsidRPr="00673585" w:rsidRDefault="00DD0D4B" w:rsidP="00DD0D4B">
      <w:pPr>
        <w:pStyle w:val="BodyParagraph"/>
        <w:rPr>
          <w:rFonts w:ascii="Times New Roman" w:hAnsi="Times New Roman"/>
        </w:rPr>
      </w:pPr>
    </w:p>
    <w:p w:rsidR="00DD0D4B" w:rsidRPr="00673585" w:rsidRDefault="00DD0D4B" w:rsidP="00DD0D4B">
      <w:pPr>
        <w:pStyle w:val="Heading3"/>
        <w:ind w:left="720"/>
        <w:rPr>
          <w:rFonts w:ascii="Times New Roman" w:hAnsi="Times New Roman" w:cs="Times New Roman"/>
        </w:rPr>
      </w:pPr>
      <w:bookmarkStart w:id="290" w:name="_Toc415749044"/>
      <w:bookmarkStart w:id="291" w:name="_Toc447179858"/>
      <w:r w:rsidRPr="00673585">
        <w:rPr>
          <w:rFonts w:ascii="Times New Roman" w:hAnsi="Times New Roman" w:cs="Times New Roman"/>
        </w:rPr>
        <w:t>Individual Customer Regression Methodology – Residential</w:t>
      </w:r>
      <w:bookmarkEnd w:id="290"/>
      <w:bookmarkEnd w:id="291"/>
    </w:p>
    <w:p w:rsidR="00DD0D4B" w:rsidRDefault="00DD0D4B" w:rsidP="00DD0D4B"/>
    <w:p w:rsidR="00DD0D4B" w:rsidRDefault="00DD0D4B" w:rsidP="00DD0D4B">
      <w:pPr>
        <w:pStyle w:val="BodyParagraph"/>
        <w:spacing w:line="276" w:lineRule="auto"/>
        <w:ind w:firstLine="360"/>
        <w:rPr>
          <w:sz w:val="24"/>
          <w:szCs w:val="24"/>
        </w:rPr>
      </w:pPr>
      <w:r w:rsidRPr="002D38CC">
        <w:rPr>
          <w:rFonts w:ascii="Times New Roman" w:hAnsi="Times New Roman"/>
          <w:sz w:val="24"/>
          <w:szCs w:val="24"/>
        </w:rPr>
        <w:t xml:space="preserve">For the small group of customers that are considered residential premises in SDG&amp;E’s records, even though they are located on commercially-managed properties, individual customer regressions were used to estimate load impacts. It would have been time-consuming and very difficult (if not impossible) to find an appropriate control group for this small, unique group that accounts for less than </w:t>
      </w:r>
      <w:r>
        <w:rPr>
          <w:rFonts w:ascii="Times New Roman" w:hAnsi="Times New Roman"/>
          <w:sz w:val="24"/>
          <w:szCs w:val="24"/>
        </w:rPr>
        <w:t>10</w:t>
      </w:r>
      <w:r w:rsidRPr="002D38CC">
        <w:rPr>
          <w:rFonts w:ascii="Times New Roman" w:hAnsi="Times New Roman"/>
          <w:sz w:val="24"/>
          <w:szCs w:val="24"/>
        </w:rPr>
        <w:t xml:space="preserve">% of the thermostats in </w:t>
      </w:r>
      <w:r w:rsidRPr="00171A0B">
        <w:rPr>
          <w:rFonts w:ascii="Times New Roman" w:hAnsi="Times New Roman"/>
          <w:sz w:val="24"/>
          <w:szCs w:val="24"/>
        </w:rPr>
        <w:t>the program, so this within-subjects approach was used instead. The regression model used is specified in</w:t>
      </w:r>
      <w:r w:rsidR="001E57C9">
        <w:rPr>
          <w:rFonts w:ascii="Times New Roman" w:hAnsi="Times New Roman"/>
          <w:sz w:val="24"/>
          <w:szCs w:val="24"/>
        </w:rPr>
        <w:t xml:space="preserve"> </w:t>
      </w:r>
      <w:r w:rsidR="001E57C9" w:rsidRPr="001E57C9">
        <w:rPr>
          <w:rFonts w:ascii="Times New Roman" w:hAnsi="Times New Roman"/>
          <w:sz w:val="22"/>
        </w:rPr>
        <w:t>Equation 10-2</w:t>
      </w:r>
      <w:r w:rsidRPr="00171A0B">
        <w:rPr>
          <w:rFonts w:ascii="Times New Roman" w:hAnsi="Times New Roman"/>
          <w:sz w:val="24"/>
          <w:szCs w:val="24"/>
        </w:rPr>
        <w:t>, and the variable definitions are provided in</w:t>
      </w:r>
      <w:r w:rsidR="001E57C9">
        <w:rPr>
          <w:rFonts w:ascii="Times New Roman" w:hAnsi="Times New Roman"/>
          <w:sz w:val="24"/>
          <w:szCs w:val="24"/>
        </w:rPr>
        <w:t xml:space="preserve"> </w:t>
      </w:r>
      <w:r w:rsidR="001E57C9" w:rsidRPr="001E57C9">
        <w:rPr>
          <w:rFonts w:ascii="Times New Roman" w:hAnsi="Times New Roman"/>
          <w:sz w:val="22"/>
        </w:rPr>
        <w:t>Table 10-2</w:t>
      </w:r>
      <w:r w:rsidRPr="00171A0B">
        <w:rPr>
          <w:rFonts w:ascii="Times New Roman" w:hAnsi="Times New Roman"/>
          <w:sz w:val="24"/>
          <w:szCs w:val="24"/>
        </w:rPr>
        <w:t>. The customers for whom we used the individual customer regression methodology are very difficult to accurately model because</w:t>
      </w:r>
      <w:r w:rsidRPr="002D38CC">
        <w:rPr>
          <w:rFonts w:ascii="Times New Roman" w:hAnsi="Times New Roman"/>
          <w:sz w:val="24"/>
          <w:szCs w:val="24"/>
        </w:rPr>
        <w:t xml:space="preserve"> data on when the units are and are not occupied is not available. We validated many models using the same hot non-event days we used to construct the matched control groups, and chose this as the best performing model.</w:t>
      </w:r>
      <w:bookmarkStart w:id="292" w:name="_Ref445991341"/>
    </w:p>
    <w:p w:rsidR="00DD0D4B" w:rsidRPr="0001064C" w:rsidRDefault="00DD0D4B" w:rsidP="00DD0D4B">
      <w:pPr>
        <w:pStyle w:val="Caption"/>
        <w:spacing w:after="240"/>
        <w:jc w:val="center"/>
        <w:rPr>
          <w:sz w:val="22"/>
          <w:szCs w:val="22"/>
        </w:rPr>
      </w:pPr>
      <w:r w:rsidRPr="0001064C">
        <w:rPr>
          <w:sz w:val="22"/>
          <w:szCs w:val="22"/>
        </w:rPr>
        <w:t xml:space="preserve">Equation </w:t>
      </w:r>
      <w:r w:rsidRPr="0001064C">
        <w:rPr>
          <w:sz w:val="22"/>
          <w:szCs w:val="22"/>
        </w:rPr>
        <w:fldChar w:fldCharType="begin"/>
      </w:r>
      <w:r w:rsidRPr="0001064C">
        <w:rPr>
          <w:sz w:val="22"/>
          <w:szCs w:val="22"/>
        </w:rPr>
        <w:instrText xml:space="preserve"> STYLEREF 1 \s </w:instrText>
      </w:r>
      <w:r w:rsidRPr="0001064C">
        <w:rPr>
          <w:sz w:val="22"/>
          <w:szCs w:val="22"/>
        </w:rPr>
        <w:fldChar w:fldCharType="separate"/>
      </w:r>
      <w:r w:rsidR="008A6A2B">
        <w:rPr>
          <w:noProof/>
          <w:sz w:val="22"/>
          <w:szCs w:val="22"/>
        </w:rPr>
        <w:t>10</w:t>
      </w:r>
      <w:r w:rsidRPr="0001064C">
        <w:rPr>
          <w:noProof/>
          <w:sz w:val="22"/>
          <w:szCs w:val="22"/>
        </w:rPr>
        <w:fldChar w:fldCharType="end"/>
      </w:r>
      <w:r w:rsidRPr="0001064C">
        <w:rPr>
          <w:sz w:val="22"/>
          <w:szCs w:val="22"/>
        </w:rPr>
        <w:noBreakHyphen/>
      </w:r>
      <w:r w:rsidRPr="0001064C">
        <w:rPr>
          <w:sz w:val="22"/>
          <w:szCs w:val="22"/>
        </w:rPr>
        <w:fldChar w:fldCharType="begin"/>
      </w:r>
      <w:r w:rsidRPr="0001064C">
        <w:rPr>
          <w:sz w:val="22"/>
          <w:szCs w:val="22"/>
        </w:rPr>
        <w:instrText xml:space="preserve"> SEQ Equation \* ARABIC \s 1 </w:instrText>
      </w:r>
      <w:r w:rsidRPr="0001064C">
        <w:rPr>
          <w:sz w:val="22"/>
          <w:szCs w:val="22"/>
        </w:rPr>
        <w:fldChar w:fldCharType="separate"/>
      </w:r>
      <w:r w:rsidR="008A6A2B">
        <w:rPr>
          <w:noProof/>
          <w:sz w:val="22"/>
          <w:szCs w:val="22"/>
        </w:rPr>
        <w:t>2</w:t>
      </w:r>
      <w:r w:rsidRPr="0001064C">
        <w:rPr>
          <w:noProof/>
          <w:sz w:val="22"/>
          <w:szCs w:val="22"/>
        </w:rPr>
        <w:fldChar w:fldCharType="end"/>
      </w:r>
      <w:bookmarkEnd w:id="292"/>
      <w:r w:rsidR="007D3889">
        <w:rPr>
          <w:noProof/>
          <w:sz w:val="22"/>
          <w:szCs w:val="22"/>
        </w:rPr>
        <w:t>:</w:t>
      </w:r>
      <w:r w:rsidRPr="0001064C">
        <w:rPr>
          <w:sz w:val="22"/>
          <w:szCs w:val="22"/>
        </w:rPr>
        <w:t xml:space="preserve"> Model Specification for Individual Customer Regressions</w:t>
      </w:r>
    </w:p>
    <w:p w:rsidR="00DD0D4B" w:rsidRPr="0001064C" w:rsidRDefault="0024252A" w:rsidP="00DD0D4B">
      <w:pPr>
        <w:pStyle w:val="BodyParagraph"/>
        <w:jc w:val="center"/>
        <w:rPr>
          <w:rFonts w:ascii="Times New Roman" w:hAnsi="Times New Roman"/>
          <w:sz w:val="22"/>
        </w:rPr>
      </w:pPr>
      <m:oMathPara>
        <m:oMath>
          <m:sSub>
            <m:sSubPr>
              <m:ctrlPr>
                <w:rPr>
                  <w:rFonts w:ascii="Cambria Math" w:hAnsi="Cambria Math"/>
                  <w:i/>
                  <w:sz w:val="22"/>
                </w:rPr>
              </m:ctrlPr>
            </m:sSubPr>
            <m:e>
              <m:r>
                <w:rPr>
                  <w:rFonts w:ascii="Cambria Math" w:hAnsi="Cambria Math"/>
                  <w:sz w:val="22"/>
                </w:rPr>
                <m:t>kwh</m:t>
              </m:r>
            </m:e>
            <m:sub>
              <m:r>
                <w:rPr>
                  <w:rFonts w:ascii="Cambria Math" w:hAnsi="Cambria Math"/>
                  <w:sz w:val="22"/>
                </w:rPr>
                <m:t>it</m:t>
              </m:r>
            </m:sub>
          </m:sSub>
          <m:r>
            <w:rPr>
              <w:rFonts w:ascii="Cambria Math" w:hAnsi="Cambria Math"/>
              <w:sz w:val="22"/>
            </w:rPr>
            <m:t>=a+b*</m:t>
          </m:r>
          <m:sSub>
            <m:sSubPr>
              <m:ctrlPr>
                <w:rPr>
                  <w:rFonts w:ascii="Cambria Math" w:hAnsi="Cambria Math"/>
                  <w:i/>
                  <w:sz w:val="22"/>
                </w:rPr>
              </m:ctrlPr>
            </m:sSubPr>
            <m:e>
              <m:r>
                <w:rPr>
                  <w:rFonts w:ascii="Cambria Math" w:hAnsi="Cambria Math"/>
                  <w:sz w:val="22"/>
                </w:rPr>
                <m:t>mean17</m:t>
              </m:r>
            </m:e>
            <m:sub>
              <m:r>
                <w:rPr>
                  <w:rFonts w:ascii="Cambria Math" w:hAnsi="Cambria Math"/>
                  <w:sz w:val="22"/>
                </w:rPr>
                <m:t>i,t</m:t>
              </m:r>
            </m:sub>
          </m:sSub>
          <m:r>
            <w:rPr>
              <w:rFonts w:ascii="Cambria Math" w:hAnsi="Cambria Math"/>
              <w:sz w:val="22"/>
            </w:rPr>
            <m:t>+c*</m:t>
          </m:r>
          <m:sSubSup>
            <m:sSubSupPr>
              <m:ctrlPr>
                <w:rPr>
                  <w:rFonts w:ascii="Cambria Math" w:hAnsi="Cambria Math"/>
                  <w:i/>
                  <w:sz w:val="22"/>
                </w:rPr>
              </m:ctrlPr>
            </m:sSubSupPr>
            <m:e>
              <m:r>
                <w:rPr>
                  <w:rFonts w:ascii="Cambria Math" w:hAnsi="Cambria Math"/>
                  <w:sz w:val="22"/>
                </w:rPr>
                <m:t>mea</m:t>
              </m:r>
              <m:r>
                <w:rPr>
                  <w:rFonts w:ascii="Cambria Math" w:hAnsi="Cambria Math"/>
                  <w:sz w:val="22"/>
                </w:rPr>
                <m:t>n17</m:t>
              </m:r>
            </m:e>
            <m:sub>
              <m:r>
                <w:rPr>
                  <w:rFonts w:ascii="Cambria Math" w:hAnsi="Cambria Math"/>
                  <w:sz w:val="22"/>
                </w:rPr>
                <m:t>i,t</m:t>
              </m:r>
            </m:sub>
            <m:sup>
              <m:r>
                <w:rPr>
                  <w:rFonts w:ascii="Cambria Math" w:hAnsi="Cambria Math"/>
                  <w:sz w:val="22"/>
                </w:rPr>
                <m:t>2</m:t>
              </m:r>
            </m:sup>
          </m:sSubSup>
          <m:r>
            <w:rPr>
              <w:rFonts w:ascii="Cambria Math" w:hAnsi="Cambria Math"/>
              <w:sz w:val="22"/>
            </w:rPr>
            <m:t>+</m:t>
          </m:r>
          <m:sSub>
            <m:sSubPr>
              <m:ctrlPr>
                <w:rPr>
                  <w:rFonts w:ascii="Cambria Math" w:hAnsi="Cambria Math"/>
                  <w:i/>
                  <w:sz w:val="22"/>
                </w:rPr>
              </m:ctrlPr>
            </m:sSubPr>
            <m:e>
              <m:r>
                <w:rPr>
                  <w:rFonts w:ascii="Cambria Math" w:hAnsi="Cambria Math"/>
                  <w:sz w:val="22"/>
                </w:rPr>
                <m:t>e</m:t>
              </m:r>
            </m:e>
            <m:sub>
              <m:r>
                <w:rPr>
                  <w:rFonts w:ascii="Cambria Math" w:hAnsi="Cambria Math"/>
                  <w:sz w:val="22"/>
                </w:rPr>
                <m:t>i,t</m:t>
              </m:r>
            </m:sub>
          </m:sSub>
        </m:oMath>
      </m:oMathPara>
    </w:p>
    <w:p w:rsidR="00DD0D4B" w:rsidRDefault="00DD0D4B" w:rsidP="00DD0D4B">
      <w:pPr>
        <w:pStyle w:val="Caption"/>
        <w:spacing w:after="240"/>
        <w:jc w:val="center"/>
        <w:rPr>
          <w:sz w:val="22"/>
          <w:szCs w:val="22"/>
        </w:rPr>
      </w:pPr>
      <w:bookmarkStart w:id="293" w:name="_Ref445991415"/>
    </w:p>
    <w:p w:rsidR="00DD0D4B" w:rsidRPr="0001064C" w:rsidRDefault="00DD0D4B" w:rsidP="00796333">
      <w:pPr>
        <w:pStyle w:val="Caption"/>
        <w:spacing w:after="120"/>
        <w:jc w:val="center"/>
        <w:rPr>
          <w:sz w:val="22"/>
          <w:szCs w:val="22"/>
        </w:rPr>
      </w:pPr>
      <w:r w:rsidRPr="0001064C">
        <w:rPr>
          <w:sz w:val="22"/>
          <w:szCs w:val="22"/>
        </w:rPr>
        <w:lastRenderedPageBreak/>
        <w:t xml:space="preserve">Table </w:t>
      </w:r>
      <w:r w:rsidRPr="0001064C">
        <w:rPr>
          <w:sz w:val="22"/>
          <w:szCs w:val="22"/>
        </w:rPr>
        <w:fldChar w:fldCharType="begin"/>
      </w:r>
      <w:r w:rsidRPr="0001064C">
        <w:rPr>
          <w:sz w:val="22"/>
          <w:szCs w:val="22"/>
        </w:rPr>
        <w:instrText xml:space="preserve"> STYLEREF 1 \s </w:instrText>
      </w:r>
      <w:r w:rsidRPr="0001064C">
        <w:rPr>
          <w:sz w:val="22"/>
          <w:szCs w:val="22"/>
        </w:rPr>
        <w:fldChar w:fldCharType="separate"/>
      </w:r>
      <w:r w:rsidR="008A6A2B">
        <w:rPr>
          <w:noProof/>
          <w:sz w:val="22"/>
          <w:szCs w:val="22"/>
        </w:rPr>
        <w:t>10</w:t>
      </w:r>
      <w:r w:rsidRPr="0001064C">
        <w:rPr>
          <w:sz w:val="22"/>
          <w:szCs w:val="22"/>
        </w:rPr>
        <w:fldChar w:fldCharType="end"/>
      </w:r>
      <w:r w:rsidRPr="0001064C">
        <w:rPr>
          <w:sz w:val="22"/>
          <w:szCs w:val="22"/>
        </w:rPr>
        <w:noBreakHyphen/>
      </w:r>
      <w:r w:rsidRPr="0001064C">
        <w:rPr>
          <w:sz w:val="22"/>
          <w:szCs w:val="22"/>
        </w:rPr>
        <w:fldChar w:fldCharType="begin"/>
      </w:r>
      <w:r w:rsidRPr="0001064C">
        <w:rPr>
          <w:sz w:val="22"/>
          <w:szCs w:val="22"/>
        </w:rPr>
        <w:instrText xml:space="preserve"> SEQ Table \* ARABIC \s 1 </w:instrText>
      </w:r>
      <w:r w:rsidRPr="0001064C">
        <w:rPr>
          <w:sz w:val="22"/>
          <w:szCs w:val="22"/>
        </w:rPr>
        <w:fldChar w:fldCharType="separate"/>
      </w:r>
      <w:r w:rsidR="008A6A2B">
        <w:rPr>
          <w:noProof/>
          <w:sz w:val="22"/>
          <w:szCs w:val="22"/>
        </w:rPr>
        <w:t>2</w:t>
      </w:r>
      <w:r w:rsidRPr="0001064C">
        <w:rPr>
          <w:sz w:val="22"/>
          <w:szCs w:val="22"/>
        </w:rPr>
        <w:fldChar w:fldCharType="end"/>
      </w:r>
      <w:bookmarkEnd w:id="293"/>
      <w:r w:rsidR="007D3889">
        <w:rPr>
          <w:sz w:val="22"/>
          <w:szCs w:val="22"/>
        </w:rPr>
        <w:t>:</w:t>
      </w:r>
      <w:r w:rsidRPr="0001064C">
        <w:rPr>
          <w:sz w:val="22"/>
          <w:szCs w:val="22"/>
        </w:rPr>
        <w:t xml:space="preserve"> Variables Used for Individual Customer Regressions</w:t>
      </w:r>
    </w:p>
    <w:tbl>
      <w:tblPr>
        <w:tblW w:w="3764" w:type="pct"/>
        <w:jc w:val="center"/>
        <w:tblLayout w:type="fixed"/>
        <w:tblLook w:val="00A0" w:firstRow="1" w:lastRow="0" w:firstColumn="1" w:lastColumn="0" w:noHBand="0" w:noVBand="0"/>
      </w:tblPr>
      <w:tblGrid>
        <w:gridCol w:w="2357"/>
        <w:gridCol w:w="4852"/>
      </w:tblGrid>
      <w:tr w:rsidR="00DD0D4B" w:rsidRPr="00EF748B" w:rsidTr="00796333">
        <w:trPr>
          <w:trHeight w:val="300"/>
          <w:tblHeader/>
          <w:jc w:val="center"/>
        </w:trPr>
        <w:tc>
          <w:tcPr>
            <w:tcW w:w="1635" w:type="pct"/>
            <w:tcBorders>
              <w:top w:val="single" w:sz="4" w:space="0" w:color="auto"/>
              <w:left w:val="single" w:sz="4" w:space="0" w:color="auto"/>
              <w:bottom w:val="single" w:sz="4" w:space="0" w:color="auto"/>
              <w:right w:val="single" w:sz="4" w:space="0" w:color="FFFFFF"/>
            </w:tcBorders>
            <w:shd w:val="clear" w:color="auto" w:fill="1F497D" w:themeFill="text2"/>
            <w:vAlign w:val="center"/>
          </w:tcPr>
          <w:p w:rsidR="00DD0D4B" w:rsidRPr="00796333" w:rsidRDefault="00DD0D4B" w:rsidP="00796333">
            <w:pPr>
              <w:pStyle w:val="TableHeader"/>
              <w:keepNext/>
              <w:rPr>
                <w:rFonts w:ascii="Times New Roman" w:hAnsi="Times New Roman"/>
                <w:szCs w:val="20"/>
              </w:rPr>
            </w:pPr>
            <w:r w:rsidRPr="00796333">
              <w:rPr>
                <w:rFonts w:ascii="Times New Roman" w:hAnsi="Times New Roman"/>
                <w:szCs w:val="20"/>
              </w:rPr>
              <w:t>Variable</w:t>
            </w:r>
          </w:p>
        </w:tc>
        <w:tc>
          <w:tcPr>
            <w:tcW w:w="3365" w:type="pct"/>
            <w:tcBorders>
              <w:top w:val="single" w:sz="4" w:space="0" w:color="auto"/>
              <w:left w:val="nil"/>
              <w:bottom w:val="single" w:sz="4" w:space="0" w:color="auto"/>
              <w:right w:val="single" w:sz="4" w:space="0" w:color="auto"/>
            </w:tcBorders>
            <w:shd w:val="clear" w:color="auto" w:fill="1F497D" w:themeFill="text2"/>
            <w:vAlign w:val="center"/>
          </w:tcPr>
          <w:p w:rsidR="00DD0D4B" w:rsidRPr="00796333" w:rsidRDefault="00DD0D4B" w:rsidP="00796333">
            <w:pPr>
              <w:pStyle w:val="TableHeader"/>
              <w:keepNext/>
              <w:rPr>
                <w:rFonts w:ascii="Times New Roman" w:hAnsi="Times New Roman"/>
                <w:szCs w:val="20"/>
              </w:rPr>
            </w:pPr>
            <w:r w:rsidRPr="00796333">
              <w:rPr>
                <w:rFonts w:ascii="Times New Roman" w:hAnsi="Times New Roman"/>
                <w:szCs w:val="20"/>
              </w:rPr>
              <w:t>Description</w:t>
            </w:r>
          </w:p>
        </w:tc>
      </w:tr>
      <w:tr w:rsidR="00DD0D4B" w:rsidRPr="00EF748B" w:rsidTr="00796333">
        <w:trPr>
          <w:trHeight w:val="285"/>
          <w:jc w:val="center"/>
        </w:trPr>
        <w:tc>
          <w:tcPr>
            <w:tcW w:w="163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DD0D4B" w:rsidRPr="00796333" w:rsidRDefault="00DD0D4B" w:rsidP="00796333">
            <w:pPr>
              <w:pStyle w:val="TableText"/>
              <w:keepNext/>
              <w:jc w:val="center"/>
              <w:rPr>
                <w:rFonts w:ascii="Times New Roman" w:hAnsi="Times New Roman"/>
                <w:i/>
                <w:iCs/>
                <w:color w:val="000000"/>
                <w:sz w:val="20"/>
                <w:szCs w:val="20"/>
              </w:rPr>
            </w:pPr>
            <w:r w:rsidRPr="00796333">
              <w:rPr>
                <w:rFonts w:ascii="Times New Roman" w:hAnsi="Times New Roman"/>
                <w:i/>
                <w:sz w:val="20"/>
                <w:szCs w:val="20"/>
              </w:rPr>
              <w:t>A</w:t>
            </w:r>
          </w:p>
        </w:tc>
        <w:tc>
          <w:tcPr>
            <w:tcW w:w="3365" w:type="pct"/>
            <w:tcBorders>
              <w:top w:val="single" w:sz="4" w:space="0" w:color="auto"/>
              <w:left w:val="nil"/>
              <w:bottom w:val="single" w:sz="4" w:space="0" w:color="auto"/>
              <w:right w:val="single" w:sz="4" w:space="0" w:color="auto"/>
            </w:tcBorders>
            <w:shd w:val="clear" w:color="auto" w:fill="FFFFFF"/>
            <w:noWrap/>
            <w:vAlign w:val="center"/>
          </w:tcPr>
          <w:p w:rsidR="00DD0D4B" w:rsidRPr="00796333" w:rsidRDefault="00DD0D4B" w:rsidP="00796333">
            <w:pPr>
              <w:pStyle w:val="TableText"/>
              <w:keepNext/>
              <w:rPr>
                <w:rFonts w:ascii="Times New Roman" w:hAnsi="Times New Roman"/>
                <w:color w:val="000000"/>
                <w:sz w:val="20"/>
                <w:szCs w:val="20"/>
              </w:rPr>
            </w:pPr>
            <w:r w:rsidRPr="00796333">
              <w:rPr>
                <w:rFonts w:ascii="Times New Roman" w:hAnsi="Times New Roman"/>
                <w:color w:val="000000"/>
                <w:sz w:val="20"/>
                <w:szCs w:val="20"/>
              </w:rPr>
              <w:t>a is an estimated constant</w:t>
            </w:r>
          </w:p>
        </w:tc>
      </w:tr>
      <w:tr w:rsidR="00DD0D4B" w:rsidRPr="00EF748B" w:rsidTr="00796333">
        <w:trPr>
          <w:trHeight w:val="285"/>
          <w:jc w:val="center"/>
        </w:trPr>
        <w:tc>
          <w:tcPr>
            <w:tcW w:w="1635" w:type="pct"/>
            <w:tcBorders>
              <w:top w:val="nil"/>
              <w:left w:val="single" w:sz="4" w:space="0" w:color="auto"/>
              <w:bottom w:val="single" w:sz="4" w:space="0" w:color="auto"/>
              <w:right w:val="single" w:sz="4" w:space="0" w:color="auto"/>
            </w:tcBorders>
            <w:shd w:val="clear" w:color="auto" w:fill="FFFFFF"/>
            <w:noWrap/>
            <w:vAlign w:val="center"/>
          </w:tcPr>
          <w:p w:rsidR="00DD0D4B" w:rsidRPr="00796333" w:rsidRDefault="00DD0D4B" w:rsidP="00796333">
            <w:pPr>
              <w:pStyle w:val="TableText"/>
              <w:keepNext/>
              <w:jc w:val="center"/>
              <w:rPr>
                <w:rFonts w:ascii="Times New Roman" w:hAnsi="Times New Roman"/>
                <w:i/>
                <w:iCs/>
                <w:color w:val="000000"/>
                <w:sz w:val="20"/>
                <w:szCs w:val="20"/>
              </w:rPr>
            </w:pPr>
            <w:r w:rsidRPr="00796333">
              <w:rPr>
                <w:rFonts w:ascii="Times New Roman" w:hAnsi="Times New Roman"/>
                <w:i/>
                <w:position w:val="-10"/>
                <w:sz w:val="20"/>
                <w:szCs w:val="20"/>
              </w:rPr>
              <w:t>b, c, and d</w:t>
            </w:r>
          </w:p>
        </w:tc>
        <w:tc>
          <w:tcPr>
            <w:tcW w:w="3365" w:type="pct"/>
            <w:tcBorders>
              <w:top w:val="nil"/>
              <w:left w:val="nil"/>
              <w:bottom w:val="single" w:sz="4" w:space="0" w:color="auto"/>
              <w:right w:val="single" w:sz="4" w:space="0" w:color="auto"/>
            </w:tcBorders>
            <w:shd w:val="clear" w:color="auto" w:fill="FFFFFF"/>
            <w:noWrap/>
            <w:vAlign w:val="center"/>
          </w:tcPr>
          <w:p w:rsidR="00DD0D4B" w:rsidRPr="00796333" w:rsidRDefault="00DD0D4B" w:rsidP="00796333">
            <w:pPr>
              <w:pStyle w:val="TableText"/>
              <w:keepNext/>
              <w:rPr>
                <w:rFonts w:ascii="Times New Roman" w:hAnsi="Times New Roman"/>
                <w:color w:val="000000"/>
                <w:sz w:val="20"/>
                <w:szCs w:val="20"/>
              </w:rPr>
            </w:pPr>
            <w:r w:rsidRPr="00796333">
              <w:rPr>
                <w:rFonts w:ascii="Times New Roman" w:hAnsi="Times New Roman"/>
                <w:color w:val="000000"/>
                <w:sz w:val="20"/>
                <w:szCs w:val="20"/>
              </w:rPr>
              <w:t>b, c, and d are estimated parameters</w:t>
            </w:r>
          </w:p>
        </w:tc>
      </w:tr>
      <w:tr w:rsidR="00DD0D4B" w:rsidRPr="00EF748B" w:rsidTr="00796333">
        <w:trPr>
          <w:trHeight w:val="285"/>
          <w:jc w:val="center"/>
        </w:trPr>
        <w:tc>
          <w:tcPr>
            <w:tcW w:w="1635" w:type="pct"/>
            <w:tcBorders>
              <w:top w:val="nil"/>
              <w:left w:val="single" w:sz="4" w:space="0" w:color="auto"/>
              <w:bottom w:val="single" w:sz="4" w:space="0" w:color="auto"/>
              <w:right w:val="single" w:sz="4" w:space="0" w:color="auto"/>
            </w:tcBorders>
            <w:shd w:val="clear" w:color="auto" w:fill="auto"/>
            <w:noWrap/>
            <w:vAlign w:val="center"/>
          </w:tcPr>
          <w:p w:rsidR="00DD0D4B" w:rsidRPr="00796333" w:rsidRDefault="00DD0D4B" w:rsidP="00796333">
            <w:pPr>
              <w:pStyle w:val="TableText"/>
              <w:keepNext/>
              <w:jc w:val="center"/>
              <w:rPr>
                <w:rFonts w:ascii="Times New Roman" w:hAnsi="Times New Roman"/>
                <w:i/>
                <w:iCs/>
                <w:color w:val="000000"/>
                <w:sz w:val="20"/>
                <w:szCs w:val="20"/>
              </w:rPr>
            </w:pPr>
            <w:r w:rsidRPr="00796333">
              <w:rPr>
                <w:rFonts w:ascii="Times New Roman" w:hAnsi="Times New Roman"/>
                <w:i/>
                <w:sz w:val="20"/>
                <w:szCs w:val="20"/>
              </w:rPr>
              <w:t>mean17</w:t>
            </w:r>
          </w:p>
        </w:tc>
        <w:tc>
          <w:tcPr>
            <w:tcW w:w="3365" w:type="pct"/>
            <w:tcBorders>
              <w:top w:val="nil"/>
              <w:left w:val="nil"/>
              <w:bottom w:val="single" w:sz="4" w:space="0" w:color="auto"/>
              <w:right w:val="single" w:sz="4" w:space="0" w:color="auto"/>
            </w:tcBorders>
            <w:shd w:val="clear" w:color="auto" w:fill="auto"/>
            <w:noWrap/>
            <w:vAlign w:val="center"/>
          </w:tcPr>
          <w:p w:rsidR="00DD0D4B" w:rsidRPr="00796333" w:rsidRDefault="00DD0D4B" w:rsidP="00796333">
            <w:pPr>
              <w:pStyle w:val="TableText"/>
              <w:keepNext/>
              <w:rPr>
                <w:rFonts w:ascii="Times New Roman" w:hAnsi="Times New Roman"/>
                <w:color w:val="000000"/>
                <w:sz w:val="20"/>
                <w:szCs w:val="20"/>
              </w:rPr>
            </w:pPr>
            <w:r w:rsidRPr="00796333">
              <w:rPr>
                <w:rFonts w:ascii="Times New Roman" w:hAnsi="Times New Roman"/>
                <w:color w:val="000000"/>
                <w:sz w:val="20"/>
                <w:szCs w:val="20"/>
              </w:rPr>
              <w:t>The mean temperature from midnight until 5 PM</w:t>
            </w:r>
          </w:p>
        </w:tc>
      </w:tr>
      <w:tr w:rsidR="00DD0D4B" w:rsidRPr="00EF748B" w:rsidTr="00796333">
        <w:trPr>
          <w:trHeight w:val="285"/>
          <w:jc w:val="center"/>
        </w:trPr>
        <w:tc>
          <w:tcPr>
            <w:tcW w:w="1635" w:type="pct"/>
            <w:tcBorders>
              <w:top w:val="nil"/>
              <w:left w:val="single" w:sz="4" w:space="0" w:color="auto"/>
              <w:bottom w:val="single" w:sz="4" w:space="0" w:color="auto"/>
              <w:right w:val="single" w:sz="4" w:space="0" w:color="auto"/>
            </w:tcBorders>
            <w:shd w:val="clear" w:color="auto" w:fill="FFFFFF"/>
            <w:noWrap/>
            <w:vAlign w:val="center"/>
          </w:tcPr>
          <w:p w:rsidR="00DD0D4B" w:rsidRPr="00796333" w:rsidRDefault="00DD0D4B" w:rsidP="00796333">
            <w:pPr>
              <w:pStyle w:val="TableText"/>
              <w:keepNext/>
              <w:jc w:val="center"/>
              <w:rPr>
                <w:rFonts w:ascii="Times New Roman" w:hAnsi="Times New Roman"/>
                <w:i/>
                <w:sz w:val="20"/>
                <w:szCs w:val="20"/>
              </w:rPr>
            </w:pPr>
            <w:r w:rsidRPr="00796333">
              <w:rPr>
                <w:rFonts w:ascii="Times New Roman" w:hAnsi="Times New Roman"/>
                <w:i/>
                <w:sz w:val="20"/>
                <w:szCs w:val="20"/>
              </w:rPr>
              <w:object w:dxaOrig="200" w:dyaOrig="220">
                <v:shape id="_x0000_i1029" type="#_x0000_t75" style="width:11.25pt;height:11.25pt" o:ole="">
                  <v:imagedata r:id="rId22" o:title=""/>
                </v:shape>
                <o:OLEObject Type="Embed" ProgID="Equation.3" ShapeID="_x0000_i1029" DrawAspect="Content" ObjectID="_1520921709" r:id="rId23"/>
              </w:object>
            </w:r>
          </w:p>
        </w:tc>
        <w:tc>
          <w:tcPr>
            <w:tcW w:w="3365" w:type="pct"/>
            <w:tcBorders>
              <w:top w:val="nil"/>
              <w:left w:val="nil"/>
              <w:bottom w:val="single" w:sz="4" w:space="0" w:color="auto"/>
              <w:right w:val="single" w:sz="4" w:space="0" w:color="auto"/>
            </w:tcBorders>
            <w:shd w:val="clear" w:color="auto" w:fill="FFFFFF"/>
            <w:noWrap/>
            <w:vAlign w:val="center"/>
          </w:tcPr>
          <w:p w:rsidR="00DD0D4B" w:rsidRPr="00796333" w:rsidRDefault="00DD0D4B" w:rsidP="00796333">
            <w:pPr>
              <w:pStyle w:val="TableText"/>
              <w:keepNext/>
              <w:rPr>
                <w:rFonts w:ascii="Times New Roman" w:hAnsi="Times New Roman"/>
                <w:b/>
                <w:color w:val="000000"/>
                <w:sz w:val="20"/>
                <w:szCs w:val="20"/>
              </w:rPr>
            </w:pPr>
            <w:r w:rsidRPr="00796333">
              <w:rPr>
                <w:rFonts w:ascii="Times New Roman" w:hAnsi="Times New Roman"/>
                <w:color w:val="000000"/>
                <w:sz w:val="20"/>
                <w:szCs w:val="20"/>
              </w:rPr>
              <w:t>The error term</w:t>
            </w:r>
          </w:p>
        </w:tc>
      </w:tr>
    </w:tbl>
    <w:p w:rsidR="00DD0D4B" w:rsidRDefault="00DD0D4B" w:rsidP="00DD0D4B">
      <w:pPr>
        <w:pStyle w:val="BodyParagraph"/>
      </w:pPr>
    </w:p>
    <w:p w:rsidR="00DD0D4B" w:rsidRPr="00796333" w:rsidRDefault="007D3889" w:rsidP="007D3889">
      <w:pPr>
        <w:pStyle w:val="Heading2"/>
        <w:rPr>
          <w:rFonts w:ascii="Times New Roman" w:hAnsi="Times New Roman" w:cs="Times New Roman"/>
          <w:color w:val="000000" w:themeColor="text1"/>
        </w:rPr>
      </w:pPr>
      <w:bookmarkStart w:id="294" w:name="_Ref446338023"/>
      <w:bookmarkStart w:id="295" w:name="_Toc447179859"/>
      <w:r w:rsidRPr="007D3889">
        <w:rPr>
          <w:rFonts w:ascii="Times New Roman" w:hAnsi="Times New Roman" w:cs="Times New Roman"/>
          <w:color w:val="000000" w:themeColor="text1"/>
        </w:rPr>
        <w:t xml:space="preserve">Commercial Thermostat </w:t>
      </w:r>
      <w:r w:rsidR="00DD0D4B" w:rsidRPr="001744F5">
        <w:rPr>
          <w:rFonts w:ascii="Times New Roman" w:hAnsi="Times New Roman" w:cs="Times New Roman"/>
          <w:color w:val="000000" w:themeColor="text1"/>
        </w:rPr>
        <w:t>Ex</w:t>
      </w:r>
      <w:r>
        <w:rPr>
          <w:rFonts w:ascii="Times New Roman" w:hAnsi="Times New Roman" w:cs="Times New Roman"/>
          <w:color w:val="000000" w:themeColor="text1"/>
        </w:rPr>
        <w:t>-</w:t>
      </w:r>
      <w:r w:rsidR="00DD0D4B" w:rsidRPr="001744F5">
        <w:rPr>
          <w:rFonts w:ascii="Times New Roman" w:hAnsi="Times New Roman" w:cs="Times New Roman"/>
          <w:color w:val="000000" w:themeColor="text1"/>
        </w:rPr>
        <w:t>Post Load Impact</w:t>
      </w:r>
      <w:bookmarkEnd w:id="294"/>
      <w:r>
        <w:rPr>
          <w:rFonts w:ascii="Times New Roman" w:hAnsi="Times New Roman" w:cs="Times New Roman"/>
          <w:color w:val="000000" w:themeColor="text1"/>
        </w:rPr>
        <w:t xml:space="preserve"> Estimates</w:t>
      </w:r>
      <w:bookmarkEnd w:id="295"/>
    </w:p>
    <w:p w:rsidR="00DD0D4B" w:rsidRDefault="00DD0D4B" w:rsidP="00DD0D4B">
      <w:pPr>
        <w:pStyle w:val="BodyParagraph"/>
        <w:spacing w:after="0" w:line="276" w:lineRule="auto"/>
        <w:ind w:firstLine="360"/>
        <w:rPr>
          <w:rFonts w:ascii="Times New Roman" w:hAnsi="Times New Roman"/>
          <w:sz w:val="24"/>
          <w:szCs w:val="24"/>
        </w:rPr>
      </w:pPr>
    </w:p>
    <w:p w:rsidR="00DD0D4B" w:rsidRPr="00712CA2" w:rsidRDefault="00DD0D4B" w:rsidP="00DD0D4B">
      <w:pPr>
        <w:pStyle w:val="BodyParagraph"/>
        <w:spacing w:after="0" w:line="276" w:lineRule="auto"/>
        <w:ind w:firstLine="360"/>
        <w:rPr>
          <w:rFonts w:ascii="Times New Roman" w:hAnsi="Times New Roman"/>
          <w:sz w:val="24"/>
          <w:szCs w:val="24"/>
        </w:rPr>
      </w:pPr>
      <w:r w:rsidRPr="002A0033">
        <w:rPr>
          <w:rFonts w:ascii="Times New Roman" w:hAnsi="Times New Roman"/>
          <w:sz w:val="24"/>
          <w:szCs w:val="24"/>
        </w:rPr>
        <w:t>SDG&amp;E calle</w:t>
      </w:r>
      <w:r>
        <w:rPr>
          <w:rFonts w:ascii="Times New Roman" w:hAnsi="Times New Roman"/>
          <w:sz w:val="24"/>
          <w:szCs w:val="24"/>
        </w:rPr>
        <w:t xml:space="preserve">d four events during summer 2015 </w:t>
      </w:r>
      <w:r w:rsidRPr="006930DB">
        <w:rPr>
          <w:rFonts w:ascii="Times New Roman" w:hAnsi="Times New Roman"/>
          <w:sz w:val="24"/>
          <w:szCs w:val="24"/>
        </w:rPr>
        <w:t>during which 1,243 commercial customers and 1,079 commercially managed residential units were enrolled.</w:t>
      </w:r>
    </w:p>
    <w:p w:rsidR="00DD0D4B" w:rsidRPr="00A96A4F" w:rsidRDefault="007D3889" w:rsidP="007D3889">
      <w:pPr>
        <w:pStyle w:val="Heading3"/>
        <w:ind w:left="720"/>
        <w:rPr>
          <w:rFonts w:ascii="Times New Roman" w:hAnsi="Times New Roman" w:cs="Times New Roman"/>
        </w:rPr>
      </w:pPr>
      <w:bookmarkStart w:id="296" w:name="_Toc447179860"/>
      <w:r w:rsidRPr="007D3889">
        <w:rPr>
          <w:rFonts w:ascii="Times New Roman" w:hAnsi="Times New Roman" w:cs="Times New Roman"/>
        </w:rPr>
        <w:t xml:space="preserve">Ex-Post Load Impact Estimates </w:t>
      </w:r>
      <w:r w:rsidR="00DD0D4B" w:rsidRPr="00A96A4F">
        <w:rPr>
          <w:rFonts w:ascii="Times New Roman" w:hAnsi="Times New Roman" w:cs="Times New Roman"/>
        </w:rPr>
        <w:t>– Commercial</w:t>
      </w:r>
      <w:bookmarkEnd w:id="296"/>
    </w:p>
    <w:p w:rsidR="00DD0D4B" w:rsidRDefault="00DD0D4B" w:rsidP="00DD0D4B">
      <w:pPr>
        <w:pStyle w:val="BodyParaAfterTableFigure"/>
        <w:spacing w:before="0" w:after="0" w:line="276" w:lineRule="auto"/>
        <w:ind w:firstLine="360"/>
        <w:rPr>
          <w:rFonts w:ascii="Times New Roman" w:hAnsi="Times New Roman"/>
          <w:sz w:val="24"/>
          <w:szCs w:val="24"/>
        </w:rPr>
      </w:pPr>
    </w:p>
    <w:p w:rsidR="00DD0D4B" w:rsidRDefault="001E57C9" w:rsidP="00DD0D4B">
      <w:pPr>
        <w:pStyle w:val="BodyParaAfterTableFigure"/>
        <w:spacing w:before="0" w:after="0" w:line="276" w:lineRule="auto"/>
        <w:ind w:firstLine="360"/>
        <w:rPr>
          <w:rFonts w:ascii="Times New Roman" w:hAnsi="Times New Roman"/>
          <w:sz w:val="24"/>
          <w:szCs w:val="24"/>
        </w:rPr>
      </w:pPr>
      <w:r w:rsidRPr="001E57C9">
        <w:rPr>
          <w:rFonts w:ascii="Times New Roman" w:hAnsi="Times New Roman"/>
          <w:sz w:val="22"/>
        </w:rPr>
        <w:t>Table 10-3</w:t>
      </w:r>
      <w:r>
        <w:rPr>
          <w:rFonts w:ascii="Times New Roman" w:hAnsi="Times New Roman"/>
          <w:sz w:val="24"/>
          <w:szCs w:val="24"/>
        </w:rPr>
        <w:t xml:space="preserve"> </w:t>
      </w:r>
      <w:r w:rsidR="00DD0D4B" w:rsidRPr="002A0033">
        <w:rPr>
          <w:rFonts w:ascii="Times New Roman" w:hAnsi="Times New Roman"/>
          <w:sz w:val="24"/>
          <w:szCs w:val="24"/>
        </w:rPr>
        <w:t>summarizes the average load reduction</w:t>
      </w:r>
      <w:r w:rsidR="00DD0D4B">
        <w:rPr>
          <w:rFonts w:ascii="Times New Roman" w:hAnsi="Times New Roman"/>
          <w:sz w:val="24"/>
          <w:szCs w:val="24"/>
        </w:rPr>
        <w:t xml:space="preserve"> for each event day</w:t>
      </w:r>
      <w:r w:rsidR="00DD0D4B" w:rsidRPr="002A0033">
        <w:rPr>
          <w:rFonts w:ascii="Times New Roman" w:hAnsi="Times New Roman"/>
          <w:sz w:val="24"/>
          <w:szCs w:val="24"/>
        </w:rPr>
        <w:t xml:space="preserve"> provided by commercial customers across the four-hour event window from 2 to 6 PM. As shown, the average percent reduction ranged from a low of 4% on </w:t>
      </w:r>
      <w:r w:rsidR="00DD0D4B">
        <w:rPr>
          <w:rFonts w:ascii="Times New Roman" w:hAnsi="Times New Roman"/>
          <w:sz w:val="24"/>
          <w:szCs w:val="24"/>
        </w:rPr>
        <w:t xml:space="preserve">August 28 </w:t>
      </w:r>
      <w:r w:rsidR="00DD0D4B" w:rsidRPr="002A0033">
        <w:rPr>
          <w:rFonts w:ascii="Times New Roman" w:hAnsi="Times New Roman"/>
          <w:sz w:val="24"/>
          <w:szCs w:val="24"/>
        </w:rPr>
        <w:t xml:space="preserve">to a high of 8% on </w:t>
      </w:r>
      <w:r w:rsidR="00DD0D4B">
        <w:rPr>
          <w:rFonts w:ascii="Times New Roman" w:hAnsi="Times New Roman"/>
          <w:sz w:val="24"/>
          <w:szCs w:val="24"/>
        </w:rPr>
        <w:t>September 11. An average reduction of 6</w:t>
      </w:r>
      <w:r w:rsidR="00DD0D4B" w:rsidRPr="002A0033">
        <w:rPr>
          <w:rFonts w:ascii="Times New Roman" w:hAnsi="Times New Roman"/>
          <w:sz w:val="24"/>
          <w:szCs w:val="24"/>
        </w:rPr>
        <w:t>% was obtained across the four event days. The average load reduction per ther</w:t>
      </w:r>
      <w:r w:rsidR="00DD0D4B">
        <w:rPr>
          <w:rFonts w:ascii="Times New Roman" w:hAnsi="Times New Roman"/>
          <w:sz w:val="24"/>
          <w:szCs w:val="24"/>
        </w:rPr>
        <w:t>mostat ranged from a low of 0.16 kW to a high of 0.33</w:t>
      </w:r>
      <w:r w:rsidR="00DD0D4B" w:rsidRPr="002A0033">
        <w:rPr>
          <w:rFonts w:ascii="Times New Roman" w:hAnsi="Times New Roman"/>
          <w:sz w:val="24"/>
          <w:szCs w:val="24"/>
        </w:rPr>
        <w:t xml:space="preserve"> kW. Aggregate load reductions ranged from </w:t>
      </w:r>
      <w:r w:rsidR="00DD0D4B">
        <w:rPr>
          <w:rFonts w:ascii="Times New Roman" w:hAnsi="Times New Roman"/>
          <w:sz w:val="24"/>
          <w:szCs w:val="24"/>
        </w:rPr>
        <w:t>1.8</w:t>
      </w:r>
      <w:r w:rsidR="00DD0D4B" w:rsidRPr="002A0033">
        <w:rPr>
          <w:rFonts w:ascii="Times New Roman" w:hAnsi="Times New Roman"/>
          <w:sz w:val="24"/>
          <w:szCs w:val="24"/>
        </w:rPr>
        <w:t xml:space="preserve"> MW to </w:t>
      </w:r>
      <w:r w:rsidR="00DD0D4B">
        <w:rPr>
          <w:rFonts w:ascii="Times New Roman" w:hAnsi="Times New Roman"/>
          <w:sz w:val="24"/>
          <w:szCs w:val="24"/>
        </w:rPr>
        <w:t>3.7</w:t>
      </w:r>
      <w:r w:rsidR="00DD0D4B" w:rsidRPr="002A0033">
        <w:rPr>
          <w:rFonts w:ascii="Times New Roman" w:hAnsi="Times New Roman"/>
          <w:sz w:val="24"/>
          <w:szCs w:val="24"/>
        </w:rPr>
        <w:t xml:space="preserve"> MW. Aggregate load reductions for the four events averaged </w:t>
      </w:r>
      <w:r w:rsidR="00DD0D4B">
        <w:rPr>
          <w:rFonts w:ascii="Times New Roman" w:hAnsi="Times New Roman"/>
          <w:sz w:val="24"/>
          <w:szCs w:val="24"/>
        </w:rPr>
        <w:t>3.1</w:t>
      </w:r>
      <w:r w:rsidR="00DD0D4B" w:rsidRPr="002A0033">
        <w:rPr>
          <w:rFonts w:ascii="Times New Roman" w:hAnsi="Times New Roman"/>
          <w:sz w:val="24"/>
          <w:szCs w:val="24"/>
        </w:rPr>
        <w:t xml:space="preserve"> MW per event.</w:t>
      </w:r>
      <w:r w:rsidR="00DD0D4B">
        <w:rPr>
          <w:rFonts w:ascii="Times New Roman" w:hAnsi="Times New Roman"/>
          <w:sz w:val="24"/>
          <w:szCs w:val="24"/>
        </w:rPr>
        <w:t xml:space="preserve"> </w:t>
      </w:r>
      <w:r w:rsidR="00DD0D4B" w:rsidRPr="00F30E4D">
        <w:rPr>
          <w:rFonts w:ascii="Times New Roman" w:hAnsi="Times New Roman"/>
          <w:sz w:val="24"/>
          <w:szCs w:val="24"/>
        </w:rPr>
        <w:t>Aggregate load reductions for the four events averaged 3.1 MW per event. The average per-thermostat and per-customer load reductions are slightly higher than the estimates calculated for the 2014 program year, which were 0.22 kW and 2.0 kW, respectively. The aggregate impacts also increased, largely as a function of the much greater number of participants.</w:t>
      </w:r>
    </w:p>
    <w:p w:rsidR="00DD0D4B" w:rsidRPr="00A96A4F" w:rsidRDefault="00DD0D4B" w:rsidP="00DD0D4B">
      <w:pPr>
        <w:pStyle w:val="BodyParagraph"/>
        <w:spacing w:after="0" w:line="276" w:lineRule="auto"/>
      </w:pPr>
    </w:p>
    <w:p w:rsidR="004E705E" w:rsidRDefault="00DD0D4B" w:rsidP="00796333">
      <w:pPr>
        <w:pStyle w:val="Caption"/>
        <w:spacing w:after="120"/>
        <w:jc w:val="center"/>
        <w:rPr>
          <w:sz w:val="22"/>
          <w:szCs w:val="22"/>
        </w:rPr>
      </w:pPr>
      <w:bookmarkStart w:id="297" w:name="_Ref445991537"/>
      <w:r w:rsidRPr="000245E4">
        <w:rPr>
          <w:sz w:val="22"/>
          <w:szCs w:val="22"/>
        </w:rPr>
        <w:t xml:space="preserve">Table </w:t>
      </w:r>
      <w:r w:rsidRPr="000245E4">
        <w:rPr>
          <w:sz w:val="22"/>
          <w:szCs w:val="22"/>
        </w:rPr>
        <w:fldChar w:fldCharType="begin"/>
      </w:r>
      <w:r w:rsidRPr="000245E4">
        <w:rPr>
          <w:sz w:val="22"/>
          <w:szCs w:val="22"/>
        </w:rPr>
        <w:instrText xml:space="preserve"> STYLEREF 1 \s </w:instrText>
      </w:r>
      <w:r w:rsidRPr="000245E4">
        <w:rPr>
          <w:sz w:val="22"/>
          <w:szCs w:val="22"/>
        </w:rPr>
        <w:fldChar w:fldCharType="separate"/>
      </w:r>
      <w:r w:rsidR="008A6A2B">
        <w:rPr>
          <w:noProof/>
          <w:sz w:val="22"/>
          <w:szCs w:val="22"/>
        </w:rPr>
        <w:t>10</w:t>
      </w:r>
      <w:r w:rsidRPr="000245E4">
        <w:rPr>
          <w:noProof/>
          <w:sz w:val="22"/>
          <w:szCs w:val="22"/>
        </w:rPr>
        <w:fldChar w:fldCharType="end"/>
      </w:r>
      <w:r w:rsidRPr="000245E4">
        <w:rPr>
          <w:sz w:val="22"/>
          <w:szCs w:val="22"/>
        </w:rPr>
        <w:noBreakHyphen/>
      </w:r>
      <w:r w:rsidRPr="000245E4">
        <w:rPr>
          <w:sz w:val="22"/>
          <w:szCs w:val="22"/>
        </w:rPr>
        <w:fldChar w:fldCharType="begin"/>
      </w:r>
      <w:r w:rsidRPr="000245E4">
        <w:rPr>
          <w:sz w:val="22"/>
          <w:szCs w:val="22"/>
        </w:rPr>
        <w:instrText xml:space="preserve"> SEQ Table \* ARABIC \s 1 </w:instrText>
      </w:r>
      <w:r w:rsidRPr="000245E4">
        <w:rPr>
          <w:sz w:val="22"/>
          <w:szCs w:val="22"/>
        </w:rPr>
        <w:fldChar w:fldCharType="separate"/>
      </w:r>
      <w:r w:rsidR="008A6A2B">
        <w:rPr>
          <w:noProof/>
          <w:sz w:val="22"/>
          <w:szCs w:val="22"/>
        </w:rPr>
        <w:t>3</w:t>
      </w:r>
      <w:r w:rsidRPr="000245E4">
        <w:rPr>
          <w:noProof/>
          <w:sz w:val="22"/>
          <w:szCs w:val="22"/>
        </w:rPr>
        <w:fldChar w:fldCharType="end"/>
      </w:r>
      <w:bookmarkEnd w:id="297"/>
      <w:r w:rsidR="007D3889">
        <w:rPr>
          <w:noProof/>
          <w:sz w:val="22"/>
          <w:szCs w:val="22"/>
        </w:rPr>
        <w:t>:</w:t>
      </w:r>
      <w:r w:rsidRPr="000245E4">
        <w:rPr>
          <w:sz w:val="22"/>
          <w:szCs w:val="22"/>
        </w:rPr>
        <w:t xml:space="preserve"> 2015 Commercial Thermostat </w:t>
      </w:r>
      <w:r w:rsidR="008C46A8">
        <w:rPr>
          <w:sz w:val="22"/>
          <w:szCs w:val="22"/>
        </w:rPr>
        <w:t>Ex-Post</w:t>
      </w:r>
      <w:r w:rsidRPr="000245E4">
        <w:rPr>
          <w:sz w:val="22"/>
          <w:szCs w:val="22"/>
        </w:rPr>
        <w:t xml:space="preserve"> Load Impact Estimates (2 to 6 PM)</w:t>
      </w:r>
      <w:r>
        <w:rPr>
          <w:sz w:val="22"/>
          <w:szCs w:val="22"/>
        </w:rPr>
        <w:t xml:space="preserve"> </w:t>
      </w:r>
    </w:p>
    <w:p w:rsidR="00DD0D4B" w:rsidRPr="000245E4" w:rsidRDefault="00DD0D4B" w:rsidP="004E705E">
      <w:pPr>
        <w:pStyle w:val="Caption"/>
        <w:spacing w:after="120"/>
        <w:jc w:val="center"/>
      </w:pPr>
      <w:r w:rsidRPr="006D0747">
        <w:rPr>
          <w:sz w:val="22"/>
          <w:szCs w:val="22"/>
        </w:rPr>
        <w:t>by Event Day</w:t>
      </w:r>
      <w:r w:rsidR="004E705E">
        <w:rPr>
          <w:sz w:val="22"/>
          <w:szCs w:val="22"/>
        </w:rPr>
        <w:t xml:space="preserve"> </w:t>
      </w:r>
      <w:r w:rsidRPr="000245E4">
        <w:t>(kW per Customer, Aggregate MW, and kW per Thermostat)</w:t>
      </w:r>
    </w:p>
    <w:tbl>
      <w:tblPr>
        <w:tblpPr w:leftFromText="180" w:rightFromText="180" w:vertAnchor="text" w:horzAnchor="margin" w:tblpXSpec="center" w:tblpY="50"/>
        <w:tblW w:w="9738" w:type="dxa"/>
        <w:tblLayout w:type="fixed"/>
        <w:tblLook w:val="04A0" w:firstRow="1" w:lastRow="0" w:firstColumn="1" w:lastColumn="0" w:noHBand="0" w:noVBand="1"/>
      </w:tblPr>
      <w:tblGrid>
        <w:gridCol w:w="1188"/>
        <w:gridCol w:w="1170"/>
        <w:gridCol w:w="1260"/>
        <w:gridCol w:w="1080"/>
        <w:gridCol w:w="1080"/>
        <w:gridCol w:w="1080"/>
        <w:gridCol w:w="1080"/>
        <w:gridCol w:w="1080"/>
        <w:gridCol w:w="720"/>
      </w:tblGrid>
      <w:tr w:rsidR="00DD0D4B" w:rsidRPr="00B4533D" w:rsidTr="004E705E">
        <w:trPr>
          <w:trHeight w:val="975"/>
        </w:trPr>
        <w:tc>
          <w:tcPr>
            <w:tcW w:w="1188" w:type="dxa"/>
            <w:tcBorders>
              <w:top w:val="single" w:sz="8" w:space="0" w:color="auto"/>
              <w:left w:val="single" w:sz="8" w:space="0" w:color="auto"/>
              <w:bottom w:val="single" w:sz="8" w:space="0" w:color="auto"/>
              <w:right w:val="single" w:sz="8" w:space="0" w:color="FFFFFF"/>
            </w:tcBorders>
            <w:shd w:val="clear" w:color="auto" w:fill="1F497D" w:themeFill="text2"/>
            <w:vAlign w:val="center"/>
            <w:hideMark/>
          </w:tcPr>
          <w:p w:rsidR="00DD0D4B" w:rsidRPr="001F1158" w:rsidRDefault="00DD0D4B" w:rsidP="00796333">
            <w:pPr>
              <w:spacing w:before="60" w:after="60"/>
              <w:jc w:val="center"/>
              <w:rPr>
                <w:b/>
                <w:bCs/>
                <w:color w:val="FFFFFF"/>
                <w:sz w:val="18"/>
                <w:szCs w:val="18"/>
              </w:rPr>
            </w:pPr>
            <w:r w:rsidRPr="001F1158">
              <w:rPr>
                <w:sz w:val="18"/>
                <w:szCs w:val="18"/>
              </w:rPr>
              <w:br w:type="page"/>
            </w:r>
            <w:r w:rsidRPr="001F1158">
              <w:rPr>
                <w:b/>
                <w:bCs/>
                <w:color w:val="FFFFFF"/>
                <w:sz w:val="18"/>
                <w:szCs w:val="18"/>
              </w:rPr>
              <w:t>Date</w:t>
            </w:r>
          </w:p>
        </w:tc>
        <w:tc>
          <w:tcPr>
            <w:tcW w:w="1170" w:type="dxa"/>
            <w:tcBorders>
              <w:top w:val="single" w:sz="8" w:space="0" w:color="auto"/>
              <w:left w:val="nil"/>
              <w:bottom w:val="single" w:sz="8" w:space="0" w:color="auto"/>
              <w:right w:val="single" w:sz="8" w:space="0" w:color="FFFFFF"/>
            </w:tcBorders>
            <w:shd w:val="clear" w:color="auto" w:fill="1F497D" w:themeFill="text2"/>
            <w:vAlign w:val="center"/>
            <w:hideMark/>
          </w:tcPr>
          <w:p w:rsidR="00DD0D4B" w:rsidRPr="001F1158" w:rsidRDefault="00DD0D4B" w:rsidP="00796333">
            <w:pPr>
              <w:spacing w:before="60" w:after="60"/>
              <w:jc w:val="center"/>
              <w:rPr>
                <w:b/>
                <w:bCs/>
                <w:color w:val="FFFFFF"/>
                <w:sz w:val="18"/>
                <w:szCs w:val="18"/>
              </w:rPr>
            </w:pPr>
            <w:r w:rsidRPr="001F1158">
              <w:rPr>
                <w:b/>
                <w:bCs/>
                <w:color w:val="FFFFFF"/>
                <w:sz w:val="18"/>
                <w:szCs w:val="18"/>
              </w:rPr>
              <w:t>Enrolled Participants</w:t>
            </w:r>
          </w:p>
        </w:tc>
        <w:tc>
          <w:tcPr>
            <w:tcW w:w="1260" w:type="dxa"/>
            <w:tcBorders>
              <w:top w:val="single" w:sz="8" w:space="0" w:color="auto"/>
              <w:left w:val="nil"/>
              <w:bottom w:val="single" w:sz="8" w:space="0" w:color="auto"/>
              <w:right w:val="single" w:sz="8" w:space="0" w:color="FFFFFF"/>
            </w:tcBorders>
            <w:shd w:val="clear" w:color="auto" w:fill="1F497D" w:themeFill="text2"/>
            <w:vAlign w:val="center"/>
            <w:hideMark/>
          </w:tcPr>
          <w:p w:rsidR="00DD0D4B" w:rsidRPr="001F1158" w:rsidRDefault="00DD0D4B" w:rsidP="00796333">
            <w:pPr>
              <w:spacing w:before="60" w:after="60"/>
              <w:jc w:val="center"/>
              <w:rPr>
                <w:b/>
                <w:bCs/>
                <w:color w:val="FFFFFF"/>
                <w:sz w:val="18"/>
                <w:szCs w:val="18"/>
              </w:rPr>
            </w:pPr>
            <w:r w:rsidRPr="001F1158">
              <w:rPr>
                <w:b/>
                <w:bCs/>
                <w:color w:val="FFFFFF"/>
                <w:sz w:val="18"/>
                <w:szCs w:val="18"/>
              </w:rPr>
              <w:t>Total Number of Thermostats</w:t>
            </w:r>
          </w:p>
        </w:tc>
        <w:tc>
          <w:tcPr>
            <w:tcW w:w="1080" w:type="dxa"/>
            <w:tcBorders>
              <w:top w:val="single" w:sz="8" w:space="0" w:color="auto"/>
              <w:left w:val="nil"/>
              <w:bottom w:val="single" w:sz="8" w:space="0" w:color="auto"/>
              <w:right w:val="single" w:sz="8" w:space="0" w:color="FFFFFF"/>
            </w:tcBorders>
            <w:shd w:val="clear" w:color="auto" w:fill="1F497D" w:themeFill="text2"/>
            <w:vAlign w:val="center"/>
            <w:hideMark/>
          </w:tcPr>
          <w:p w:rsidR="00DD0D4B" w:rsidRPr="001F1158" w:rsidRDefault="00DD0D4B" w:rsidP="00796333">
            <w:pPr>
              <w:spacing w:before="60" w:after="60"/>
              <w:jc w:val="center"/>
              <w:rPr>
                <w:b/>
                <w:bCs/>
                <w:color w:val="FFFFFF"/>
                <w:sz w:val="18"/>
                <w:szCs w:val="18"/>
              </w:rPr>
            </w:pPr>
            <w:r w:rsidRPr="001F1158">
              <w:rPr>
                <w:b/>
                <w:bCs/>
                <w:color w:val="FFFFFF"/>
                <w:sz w:val="18"/>
                <w:szCs w:val="18"/>
              </w:rPr>
              <w:t>Avg. Reference Load (kW)</w:t>
            </w:r>
          </w:p>
        </w:tc>
        <w:tc>
          <w:tcPr>
            <w:tcW w:w="1080" w:type="dxa"/>
            <w:tcBorders>
              <w:top w:val="single" w:sz="8" w:space="0" w:color="auto"/>
              <w:left w:val="nil"/>
              <w:bottom w:val="single" w:sz="8" w:space="0" w:color="auto"/>
              <w:right w:val="single" w:sz="8" w:space="0" w:color="FFFFFF"/>
            </w:tcBorders>
            <w:shd w:val="clear" w:color="auto" w:fill="1F497D" w:themeFill="text2"/>
            <w:vAlign w:val="center"/>
            <w:hideMark/>
          </w:tcPr>
          <w:p w:rsidR="00DD0D4B" w:rsidRPr="001F1158" w:rsidRDefault="00DD0D4B" w:rsidP="00796333">
            <w:pPr>
              <w:spacing w:before="60" w:after="60"/>
              <w:jc w:val="center"/>
              <w:rPr>
                <w:b/>
                <w:bCs/>
                <w:color w:val="FFFFFF"/>
                <w:sz w:val="18"/>
                <w:szCs w:val="18"/>
              </w:rPr>
            </w:pPr>
            <w:r w:rsidRPr="001F1158">
              <w:rPr>
                <w:b/>
                <w:bCs/>
                <w:color w:val="FFFFFF"/>
                <w:sz w:val="18"/>
                <w:szCs w:val="18"/>
              </w:rPr>
              <w:t>Avg. Load Reduction (kW)</w:t>
            </w:r>
          </w:p>
        </w:tc>
        <w:tc>
          <w:tcPr>
            <w:tcW w:w="1080" w:type="dxa"/>
            <w:tcBorders>
              <w:top w:val="single" w:sz="8" w:space="0" w:color="auto"/>
              <w:left w:val="nil"/>
              <w:bottom w:val="single" w:sz="8" w:space="0" w:color="auto"/>
              <w:right w:val="single" w:sz="8" w:space="0" w:color="FFFFFF"/>
            </w:tcBorders>
            <w:shd w:val="clear" w:color="auto" w:fill="1F497D" w:themeFill="text2"/>
            <w:vAlign w:val="center"/>
            <w:hideMark/>
          </w:tcPr>
          <w:p w:rsidR="00DD0D4B" w:rsidRPr="001F1158" w:rsidRDefault="00DD0D4B" w:rsidP="00796333">
            <w:pPr>
              <w:spacing w:before="60" w:after="60"/>
              <w:jc w:val="center"/>
              <w:rPr>
                <w:b/>
                <w:bCs/>
                <w:color w:val="FFFFFF"/>
                <w:sz w:val="18"/>
                <w:szCs w:val="18"/>
              </w:rPr>
            </w:pPr>
            <w:r w:rsidRPr="001F1158">
              <w:rPr>
                <w:b/>
                <w:bCs/>
                <w:color w:val="FFFFFF"/>
                <w:sz w:val="18"/>
                <w:szCs w:val="18"/>
              </w:rPr>
              <w:t>Percent Load Reduction (%)</w:t>
            </w:r>
          </w:p>
        </w:tc>
        <w:tc>
          <w:tcPr>
            <w:tcW w:w="1080" w:type="dxa"/>
            <w:tcBorders>
              <w:top w:val="single" w:sz="8" w:space="0" w:color="auto"/>
              <w:left w:val="nil"/>
              <w:bottom w:val="single" w:sz="8" w:space="0" w:color="auto"/>
              <w:right w:val="single" w:sz="8" w:space="0" w:color="FFFFFF"/>
            </w:tcBorders>
            <w:shd w:val="clear" w:color="auto" w:fill="1F497D" w:themeFill="text2"/>
            <w:vAlign w:val="center"/>
            <w:hideMark/>
          </w:tcPr>
          <w:p w:rsidR="00DD0D4B" w:rsidRPr="001F1158" w:rsidRDefault="00DD0D4B" w:rsidP="00796333">
            <w:pPr>
              <w:spacing w:before="60" w:after="60"/>
              <w:jc w:val="center"/>
              <w:rPr>
                <w:b/>
                <w:bCs/>
                <w:color w:val="FFFFFF"/>
                <w:sz w:val="18"/>
                <w:szCs w:val="18"/>
              </w:rPr>
            </w:pPr>
            <w:r w:rsidRPr="001F1158">
              <w:rPr>
                <w:b/>
                <w:bCs/>
                <w:color w:val="FFFFFF"/>
                <w:sz w:val="18"/>
                <w:szCs w:val="18"/>
              </w:rPr>
              <w:t>Aggregate Load Reduction (MW)</w:t>
            </w:r>
          </w:p>
        </w:tc>
        <w:tc>
          <w:tcPr>
            <w:tcW w:w="1080" w:type="dxa"/>
            <w:tcBorders>
              <w:top w:val="single" w:sz="8" w:space="0" w:color="auto"/>
              <w:left w:val="nil"/>
              <w:bottom w:val="single" w:sz="8" w:space="0" w:color="auto"/>
              <w:right w:val="single" w:sz="8" w:space="0" w:color="FFFFFF"/>
            </w:tcBorders>
            <w:shd w:val="clear" w:color="auto" w:fill="1F497D" w:themeFill="text2"/>
            <w:vAlign w:val="center"/>
            <w:hideMark/>
          </w:tcPr>
          <w:p w:rsidR="00DD0D4B" w:rsidRPr="001F1158" w:rsidRDefault="00DD0D4B" w:rsidP="00796333">
            <w:pPr>
              <w:spacing w:before="60" w:after="60"/>
              <w:jc w:val="center"/>
              <w:rPr>
                <w:b/>
                <w:bCs/>
                <w:color w:val="FFFFFF"/>
                <w:sz w:val="18"/>
                <w:szCs w:val="18"/>
              </w:rPr>
            </w:pPr>
            <w:r w:rsidRPr="001F1158">
              <w:rPr>
                <w:b/>
                <w:bCs/>
                <w:color w:val="FFFFFF"/>
                <w:sz w:val="18"/>
                <w:szCs w:val="18"/>
              </w:rPr>
              <w:t>Avg. Thermostat Impact (kW)</w:t>
            </w:r>
          </w:p>
        </w:tc>
        <w:tc>
          <w:tcPr>
            <w:tcW w:w="720" w:type="dxa"/>
            <w:tcBorders>
              <w:top w:val="single" w:sz="8" w:space="0" w:color="auto"/>
              <w:left w:val="nil"/>
              <w:bottom w:val="single" w:sz="8" w:space="0" w:color="auto"/>
              <w:right w:val="single" w:sz="8" w:space="0" w:color="auto"/>
            </w:tcBorders>
            <w:shd w:val="clear" w:color="auto" w:fill="1F497D" w:themeFill="text2"/>
            <w:vAlign w:val="center"/>
            <w:hideMark/>
          </w:tcPr>
          <w:p w:rsidR="00DD0D4B" w:rsidRPr="001F1158" w:rsidRDefault="00DD0D4B" w:rsidP="00796333">
            <w:pPr>
              <w:spacing w:before="60" w:after="60"/>
              <w:jc w:val="center"/>
              <w:rPr>
                <w:b/>
                <w:bCs/>
                <w:color w:val="FFFFFF"/>
                <w:sz w:val="18"/>
                <w:szCs w:val="18"/>
              </w:rPr>
            </w:pPr>
            <w:r w:rsidRPr="001F1158">
              <w:rPr>
                <w:b/>
                <w:bCs/>
                <w:color w:val="FFFFFF"/>
                <w:sz w:val="18"/>
                <w:szCs w:val="18"/>
              </w:rPr>
              <w:t>Mean17 (°F)</w:t>
            </w:r>
          </w:p>
        </w:tc>
      </w:tr>
      <w:tr w:rsidR="00DD0D4B" w:rsidRPr="00B4533D" w:rsidTr="004E705E">
        <w:trPr>
          <w:trHeight w:val="315"/>
        </w:trPr>
        <w:tc>
          <w:tcPr>
            <w:tcW w:w="1188" w:type="dxa"/>
            <w:tcBorders>
              <w:top w:val="nil"/>
              <w:left w:val="single" w:sz="8" w:space="0" w:color="auto"/>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Aug 28, 2015</w:t>
            </w:r>
          </w:p>
        </w:tc>
        <w:tc>
          <w:tcPr>
            <w:tcW w:w="117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1,243</w:t>
            </w:r>
          </w:p>
        </w:tc>
        <w:tc>
          <w:tcPr>
            <w:tcW w:w="126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11,292</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37.1</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1.4</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3.8%</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1.8</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0.16</w:t>
            </w:r>
          </w:p>
        </w:tc>
        <w:tc>
          <w:tcPr>
            <w:tcW w:w="72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82.2</w:t>
            </w:r>
          </w:p>
        </w:tc>
      </w:tr>
      <w:tr w:rsidR="00DD0D4B" w:rsidRPr="00B4533D" w:rsidTr="004E705E">
        <w:trPr>
          <w:trHeight w:val="315"/>
        </w:trPr>
        <w:tc>
          <w:tcPr>
            <w:tcW w:w="1188" w:type="dxa"/>
            <w:tcBorders>
              <w:top w:val="nil"/>
              <w:left w:val="single" w:sz="8" w:space="0" w:color="auto"/>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Sep 9, 2015</w:t>
            </w:r>
          </w:p>
        </w:tc>
        <w:tc>
          <w:tcPr>
            <w:tcW w:w="117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1,243</w:t>
            </w:r>
          </w:p>
        </w:tc>
        <w:tc>
          <w:tcPr>
            <w:tcW w:w="126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11,292</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40.9</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2.5</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6.2%</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3.1</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0.28</w:t>
            </w:r>
          </w:p>
        </w:tc>
        <w:tc>
          <w:tcPr>
            <w:tcW w:w="72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86.5</w:t>
            </w:r>
          </w:p>
        </w:tc>
      </w:tr>
      <w:tr w:rsidR="00DD0D4B" w:rsidRPr="00B4533D" w:rsidTr="004E705E">
        <w:trPr>
          <w:trHeight w:val="315"/>
        </w:trPr>
        <w:tc>
          <w:tcPr>
            <w:tcW w:w="1188" w:type="dxa"/>
            <w:tcBorders>
              <w:top w:val="nil"/>
              <w:left w:val="single" w:sz="8" w:space="0" w:color="auto"/>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Sep 10, 2015</w:t>
            </w:r>
          </w:p>
        </w:tc>
        <w:tc>
          <w:tcPr>
            <w:tcW w:w="117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1,243</w:t>
            </w:r>
          </w:p>
        </w:tc>
        <w:tc>
          <w:tcPr>
            <w:tcW w:w="126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11,292</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41.4</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3.0</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7.2%</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3.7</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0.33</w:t>
            </w:r>
          </w:p>
        </w:tc>
        <w:tc>
          <w:tcPr>
            <w:tcW w:w="72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85.2</w:t>
            </w:r>
          </w:p>
        </w:tc>
      </w:tr>
      <w:tr w:rsidR="00DD0D4B" w:rsidRPr="00B4533D" w:rsidTr="004E705E">
        <w:trPr>
          <w:trHeight w:val="315"/>
        </w:trPr>
        <w:tc>
          <w:tcPr>
            <w:tcW w:w="1188" w:type="dxa"/>
            <w:tcBorders>
              <w:top w:val="nil"/>
              <w:left w:val="single" w:sz="8" w:space="0" w:color="auto"/>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Sep 11, 2015</w:t>
            </w:r>
          </w:p>
        </w:tc>
        <w:tc>
          <w:tcPr>
            <w:tcW w:w="117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1,243</w:t>
            </w:r>
          </w:p>
        </w:tc>
        <w:tc>
          <w:tcPr>
            <w:tcW w:w="126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11,292</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39.2</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3.0</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7.7%</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3.7</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0.33</w:t>
            </w:r>
          </w:p>
        </w:tc>
        <w:tc>
          <w:tcPr>
            <w:tcW w:w="72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color w:val="000000"/>
                <w:sz w:val="18"/>
                <w:szCs w:val="18"/>
              </w:rPr>
            </w:pPr>
            <w:r w:rsidRPr="001F1158">
              <w:rPr>
                <w:color w:val="000000"/>
                <w:sz w:val="18"/>
                <w:szCs w:val="18"/>
              </w:rPr>
              <w:t>82.6</w:t>
            </w:r>
          </w:p>
        </w:tc>
      </w:tr>
      <w:tr w:rsidR="00DD0D4B" w:rsidRPr="00B4533D" w:rsidTr="004E705E">
        <w:trPr>
          <w:trHeight w:val="315"/>
        </w:trPr>
        <w:tc>
          <w:tcPr>
            <w:tcW w:w="1188" w:type="dxa"/>
            <w:tcBorders>
              <w:top w:val="nil"/>
              <w:left w:val="single" w:sz="8" w:space="0" w:color="auto"/>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b/>
                <w:color w:val="000000"/>
                <w:sz w:val="18"/>
                <w:szCs w:val="18"/>
              </w:rPr>
            </w:pPr>
            <w:r w:rsidRPr="001F1158">
              <w:rPr>
                <w:b/>
                <w:color w:val="000000"/>
                <w:sz w:val="18"/>
                <w:szCs w:val="18"/>
              </w:rPr>
              <w:t>Average Event</w:t>
            </w:r>
          </w:p>
        </w:tc>
        <w:tc>
          <w:tcPr>
            <w:tcW w:w="117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b/>
                <w:color w:val="000000"/>
                <w:sz w:val="18"/>
                <w:szCs w:val="18"/>
              </w:rPr>
            </w:pPr>
            <w:r w:rsidRPr="001F1158">
              <w:rPr>
                <w:b/>
                <w:color w:val="000000"/>
                <w:sz w:val="18"/>
                <w:szCs w:val="18"/>
              </w:rPr>
              <w:t>1,243</w:t>
            </w:r>
          </w:p>
        </w:tc>
        <w:tc>
          <w:tcPr>
            <w:tcW w:w="126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b/>
                <w:color w:val="000000"/>
                <w:sz w:val="18"/>
                <w:szCs w:val="18"/>
              </w:rPr>
            </w:pPr>
            <w:r w:rsidRPr="001F1158">
              <w:rPr>
                <w:b/>
                <w:color w:val="000000"/>
                <w:sz w:val="18"/>
                <w:szCs w:val="18"/>
              </w:rPr>
              <w:t>11,292</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b/>
                <w:color w:val="000000"/>
                <w:sz w:val="18"/>
                <w:szCs w:val="18"/>
              </w:rPr>
            </w:pPr>
            <w:r w:rsidRPr="001F1158">
              <w:rPr>
                <w:b/>
                <w:color w:val="000000"/>
                <w:sz w:val="18"/>
                <w:szCs w:val="18"/>
              </w:rPr>
              <w:t>39.7</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b/>
                <w:color w:val="000000"/>
                <w:sz w:val="18"/>
                <w:szCs w:val="18"/>
              </w:rPr>
            </w:pPr>
            <w:r w:rsidRPr="001F1158">
              <w:rPr>
                <w:b/>
                <w:color w:val="000000"/>
                <w:sz w:val="18"/>
                <w:szCs w:val="18"/>
              </w:rPr>
              <w:t>2.5</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b/>
                <w:color w:val="000000"/>
                <w:sz w:val="18"/>
                <w:szCs w:val="18"/>
              </w:rPr>
            </w:pPr>
            <w:r w:rsidRPr="001F1158">
              <w:rPr>
                <w:b/>
                <w:color w:val="000000"/>
                <w:sz w:val="18"/>
                <w:szCs w:val="18"/>
              </w:rPr>
              <w:t>6.3%</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b/>
                <w:color w:val="000000"/>
                <w:sz w:val="18"/>
                <w:szCs w:val="18"/>
              </w:rPr>
            </w:pPr>
            <w:r w:rsidRPr="001F1158">
              <w:rPr>
                <w:b/>
                <w:color w:val="000000"/>
                <w:sz w:val="18"/>
                <w:szCs w:val="18"/>
              </w:rPr>
              <w:t>3.1</w:t>
            </w:r>
          </w:p>
        </w:tc>
        <w:tc>
          <w:tcPr>
            <w:tcW w:w="108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b/>
                <w:color w:val="000000"/>
                <w:sz w:val="18"/>
                <w:szCs w:val="18"/>
              </w:rPr>
            </w:pPr>
            <w:r w:rsidRPr="001F1158">
              <w:rPr>
                <w:b/>
                <w:color w:val="000000"/>
                <w:sz w:val="18"/>
                <w:szCs w:val="18"/>
              </w:rPr>
              <w:t>0.27</w:t>
            </w:r>
          </w:p>
        </w:tc>
        <w:tc>
          <w:tcPr>
            <w:tcW w:w="720" w:type="dxa"/>
            <w:tcBorders>
              <w:top w:val="nil"/>
              <w:left w:val="nil"/>
              <w:bottom w:val="single" w:sz="8" w:space="0" w:color="auto"/>
              <w:right w:val="single" w:sz="8" w:space="0" w:color="auto"/>
            </w:tcBorders>
            <w:shd w:val="clear" w:color="000000" w:fill="FFFFFF"/>
            <w:noWrap/>
            <w:vAlign w:val="center"/>
            <w:hideMark/>
          </w:tcPr>
          <w:p w:rsidR="00DD0D4B" w:rsidRPr="001F1158" w:rsidRDefault="00DD0D4B" w:rsidP="00796333">
            <w:pPr>
              <w:spacing w:before="60" w:after="60"/>
              <w:jc w:val="center"/>
              <w:rPr>
                <w:b/>
                <w:color w:val="000000"/>
                <w:sz w:val="18"/>
                <w:szCs w:val="18"/>
              </w:rPr>
            </w:pPr>
            <w:r w:rsidRPr="001F1158">
              <w:rPr>
                <w:b/>
                <w:color w:val="000000"/>
                <w:sz w:val="18"/>
                <w:szCs w:val="18"/>
              </w:rPr>
              <w:t>84.1</w:t>
            </w:r>
          </w:p>
        </w:tc>
      </w:tr>
    </w:tbl>
    <w:p w:rsidR="00DD0D4B" w:rsidRPr="00712CA2" w:rsidRDefault="00DD0D4B" w:rsidP="00DD0D4B"/>
    <w:p w:rsidR="00DD0D4B" w:rsidRPr="00A96A4F" w:rsidRDefault="007D3889" w:rsidP="007D3889">
      <w:pPr>
        <w:pStyle w:val="Heading3"/>
        <w:ind w:left="810" w:hanging="810"/>
        <w:rPr>
          <w:rFonts w:ascii="Times New Roman" w:hAnsi="Times New Roman" w:cs="Times New Roman"/>
        </w:rPr>
      </w:pPr>
      <w:bookmarkStart w:id="298" w:name="_Toc415749051"/>
      <w:bookmarkStart w:id="299" w:name="_Toc447179861"/>
      <w:r w:rsidRPr="007D3889">
        <w:rPr>
          <w:rFonts w:ascii="Times New Roman" w:hAnsi="Times New Roman" w:cs="Times New Roman"/>
        </w:rPr>
        <w:t xml:space="preserve">Ex-Post Load Impact Estimates </w:t>
      </w:r>
      <w:r w:rsidR="00DD0D4B" w:rsidRPr="00A96A4F">
        <w:rPr>
          <w:rFonts w:ascii="Times New Roman" w:hAnsi="Times New Roman" w:cs="Times New Roman"/>
        </w:rPr>
        <w:t>– Residential</w:t>
      </w:r>
      <w:bookmarkEnd w:id="299"/>
    </w:p>
    <w:p w:rsidR="00DD0D4B" w:rsidRPr="00381353" w:rsidRDefault="00DD0D4B" w:rsidP="00DD0D4B">
      <w:pPr>
        <w:pStyle w:val="BodyParagraph"/>
        <w:spacing w:after="0" w:line="276" w:lineRule="auto"/>
        <w:ind w:firstLine="360"/>
        <w:rPr>
          <w:rFonts w:ascii="Times New Roman" w:hAnsi="Times New Roman"/>
          <w:sz w:val="24"/>
          <w:szCs w:val="24"/>
        </w:rPr>
      </w:pPr>
    </w:p>
    <w:p w:rsidR="00DD0D4B" w:rsidRPr="00B777EF" w:rsidRDefault="00DD0D4B" w:rsidP="00DD0D4B">
      <w:pPr>
        <w:pStyle w:val="BodyParagraph"/>
        <w:spacing w:after="0" w:line="276" w:lineRule="auto"/>
        <w:ind w:firstLine="360"/>
        <w:rPr>
          <w:rFonts w:ascii="Times New Roman" w:hAnsi="Times New Roman"/>
          <w:color w:val="000000" w:themeColor="text1"/>
          <w:sz w:val="24"/>
          <w:szCs w:val="24"/>
        </w:rPr>
      </w:pPr>
      <w:r w:rsidRPr="00381353">
        <w:rPr>
          <w:rFonts w:ascii="Times New Roman" w:hAnsi="Times New Roman"/>
          <w:sz w:val="24"/>
          <w:szCs w:val="24"/>
        </w:rPr>
        <w:t xml:space="preserve"> </w:t>
      </w:r>
      <w:r w:rsidR="001E57C9" w:rsidRPr="001E57C9">
        <w:rPr>
          <w:rFonts w:ascii="Times New Roman" w:hAnsi="Times New Roman"/>
          <w:sz w:val="22"/>
        </w:rPr>
        <w:t>Figure 10-1</w:t>
      </w:r>
      <w:r w:rsidR="001E57C9">
        <w:rPr>
          <w:rFonts w:ascii="Times New Roman" w:hAnsi="Times New Roman"/>
          <w:sz w:val="24"/>
          <w:szCs w:val="24"/>
        </w:rPr>
        <w:t xml:space="preserve"> </w:t>
      </w:r>
      <w:r w:rsidRPr="00B777EF">
        <w:rPr>
          <w:rFonts w:ascii="Times New Roman" w:hAnsi="Times New Roman"/>
          <w:color w:val="000000" w:themeColor="text1"/>
          <w:sz w:val="24"/>
          <w:szCs w:val="24"/>
        </w:rPr>
        <w:t>shows the hourly load impacts for the average residential customer across the four event days. The number of enrolled customers, 1,079, is the average number of enrolled commercial customers across the four event days. The average impact per customer for all events across the four hour event window was 0.11 kW, or 7.9% of the reference load.</w:t>
      </w:r>
    </w:p>
    <w:p w:rsidR="00DD0D4B" w:rsidRDefault="00DD0D4B" w:rsidP="00DD0D4B">
      <w:pPr>
        <w:spacing w:line="276" w:lineRule="auto"/>
        <w:ind w:firstLine="360"/>
      </w:pPr>
    </w:p>
    <w:p w:rsidR="00DD0D4B" w:rsidRPr="000B0298" w:rsidRDefault="00DD0D4B" w:rsidP="00DD0D4B">
      <w:pPr>
        <w:pStyle w:val="TableFigureCaption"/>
        <w:rPr>
          <w:rFonts w:ascii="Times New Roman" w:hAnsi="Times New Roman"/>
        </w:rPr>
      </w:pPr>
      <w:bookmarkStart w:id="300" w:name="_Ref446072624"/>
      <w:r w:rsidRPr="000B0298">
        <w:rPr>
          <w:rFonts w:ascii="Times New Roman" w:hAnsi="Times New Roman"/>
        </w:rPr>
        <w:t xml:space="preserve"> </w:t>
      </w:r>
      <w:bookmarkStart w:id="301" w:name="_Ref446075825"/>
      <w:r w:rsidRPr="000B0298">
        <w:rPr>
          <w:rFonts w:ascii="Times New Roman" w:hAnsi="Times New Roman"/>
        </w:rPr>
        <w:t xml:space="preserve">Figure </w:t>
      </w:r>
      <w:r w:rsidRPr="000B0298">
        <w:rPr>
          <w:rFonts w:ascii="Times New Roman" w:hAnsi="Times New Roman"/>
        </w:rPr>
        <w:fldChar w:fldCharType="begin"/>
      </w:r>
      <w:r w:rsidRPr="000B0298">
        <w:rPr>
          <w:rFonts w:ascii="Times New Roman" w:hAnsi="Times New Roman"/>
        </w:rPr>
        <w:instrText xml:space="preserve"> STYLEREF 1 \s </w:instrText>
      </w:r>
      <w:r w:rsidRPr="000B0298">
        <w:rPr>
          <w:rFonts w:ascii="Times New Roman" w:hAnsi="Times New Roman"/>
        </w:rPr>
        <w:fldChar w:fldCharType="separate"/>
      </w:r>
      <w:r w:rsidR="008A6A2B">
        <w:rPr>
          <w:rFonts w:ascii="Times New Roman" w:hAnsi="Times New Roman"/>
          <w:noProof/>
        </w:rPr>
        <w:t>10</w:t>
      </w:r>
      <w:r w:rsidRPr="000B0298">
        <w:rPr>
          <w:rFonts w:ascii="Times New Roman" w:hAnsi="Times New Roman"/>
        </w:rPr>
        <w:fldChar w:fldCharType="end"/>
      </w:r>
      <w:r w:rsidRPr="000B0298">
        <w:rPr>
          <w:rFonts w:ascii="Times New Roman" w:hAnsi="Times New Roman"/>
        </w:rPr>
        <w:noBreakHyphen/>
      </w:r>
      <w:r w:rsidRPr="000B0298">
        <w:rPr>
          <w:rFonts w:ascii="Times New Roman" w:hAnsi="Times New Roman"/>
        </w:rPr>
        <w:fldChar w:fldCharType="begin"/>
      </w:r>
      <w:r w:rsidRPr="000B0298">
        <w:rPr>
          <w:rFonts w:ascii="Times New Roman" w:hAnsi="Times New Roman"/>
        </w:rPr>
        <w:instrText xml:space="preserve"> SEQ Figure \* ARABIC \s 1 </w:instrText>
      </w:r>
      <w:r w:rsidRPr="000B0298">
        <w:rPr>
          <w:rFonts w:ascii="Times New Roman" w:hAnsi="Times New Roman"/>
        </w:rPr>
        <w:fldChar w:fldCharType="separate"/>
      </w:r>
      <w:r w:rsidR="008A6A2B">
        <w:rPr>
          <w:rFonts w:ascii="Times New Roman" w:hAnsi="Times New Roman"/>
          <w:noProof/>
        </w:rPr>
        <w:t>1</w:t>
      </w:r>
      <w:r w:rsidRPr="000B0298">
        <w:rPr>
          <w:rFonts w:ascii="Times New Roman" w:hAnsi="Times New Roman"/>
        </w:rPr>
        <w:fldChar w:fldCharType="end"/>
      </w:r>
      <w:bookmarkEnd w:id="300"/>
      <w:bookmarkEnd w:id="301"/>
      <w:r w:rsidR="007D3889">
        <w:rPr>
          <w:rFonts w:ascii="Times New Roman" w:hAnsi="Times New Roman"/>
        </w:rPr>
        <w:t>:</w:t>
      </w:r>
      <w:r w:rsidRPr="000B0298">
        <w:rPr>
          <w:rFonts w:ascii="Times New Roman" w:hAnsi="Times New Roman"/>
        </w:rPr>
        <w:t xml:space="preserve"> Load Impact (kW) per Hour for the Average 2014 Event Day </w:t>
      </w:r>
      <w:r w:rsidRPr="000B0298">
        <w:rPr>
          <w:rFonts w:ascii="Times New Roman" w:hAnsi="Times New Roman"/>
        </w:rPr>
        <w:br/>
        <w:t>(Average Residential Participant)</w:t>
      </w:r>
      <w:r w:rsidRPr="000B0298">
        <w:rPr>
          <w:rFonts w:ascii="Times New Roman" w:hAnsi="Times New Roman"/>
          <w:b w:val="0"/>
        </w:rPr>
        <w:t xml:space="preserve"> </w:t>
      </w:r>
    </w:p>
    <w:p w:rsidR="00DD0D4B" w:rsidRDefault="00DD0D4B" w:rsidP="00DD0D4B">
      <w:r w:rsidRPr="00414E8C">
        <w:rPr>
          <w:noProof/>
        </w:rPr>
        <w:drawing>
          <wp:inline distT="0" distB="0" distL="0" distR="0" wp14:anchorId="3CEFBF04" wp14:editId="547FC2CF">
            <wp:extent cx="5943600" cy="293832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2938321"/>
                    </a:xfrm>
                    <a:prstGeom prst="rect">
                      <a:avLst/>
                    </a:prstGeom>
                    <a:noFill/>
                    <a:ln>
                      <a:noFill/>
                    </a:ln>
                  </pic:spPr>
                </pic:pic>
              </a:graphicData>
            </a:graphic>
          </wp:inline>
        </w:drawing>
      </w:r>
    </w:p>
    <w:p w:rsidR="00DD0D4B" w:rsidRPr="001D04AF" w:rsidRDefault="00DD0D4B" w:rsidP="00DD0D4B"/>
    <w:p w:rsidR="00DD0D4B" w:rsidRPr="00382BDA" w:rsidRDefault="007D3889" w:rsidP="00DD0D4B">
      <w:pPr>
        <w:pStyle w:val="Heading2"/>
        <w:rPr>
          <w:rFonts w:ascii="Times New Roman" w:hAnsi="Times New Roman" w:cs="Times New Roman"/>
        </w:rPr>
      </w:pPr>
      <w:bookmarkStart w:id="302" w:name="_Toc447179862"/>
      <w:r>
        <w:rPr>
          <w:rFonts w:ascii="Times New Roman" w:hAnsi="Times New Roman" w:cs="Times New Roman"/>
        </w:rPr>
        <w:t xml:space="preserve">Commercial Thermostat </w:t>
      </w:r>
      <w:r w:rsidR="00DD0D4B" w:rsidRPr="00382BDA">
        <w:rPr>
          <w:rFonts w:ascii="Times New Roman" w:hAnsi="Times New Roman" w:cs="Times New Roman"/>
        </w:rPr>
        <w:t>Ex</w:t>
      </w:r>
      <w:r>
        <w:rPr>
          <w:rFonts w:ascii="Times New Roman" w:hAnsi="Times New Roman" w:cs="Times New Roman"/>
        </w:rPr>
        <w:t>-</w:t>
      </w:r>
      <w:r w:rsidR="00DD0D4B" w:rsidRPr="00382BDA">
        <w:rPr>
          <w:rFonts w:ascii="Times New Roman" w:hAnsi="Times New Roman" w:cs="Times New Roman"/>
        </w:rPr>
        <w:t xml:space="preserve">Ante </w:t>
      </w:r>
      <w:r w:rsidR="001F1158">
        <w:rPr>
          <w:rFonts w:ascii="Times New Roman" w:hAnsi="Times New Roman" w:cs="Times New Roman"/>
        </w:rPr>
        <w:t xml:space="preserve">Evaluation </w:t>
      </w:r>
      <w:r w:rsidR="00DD0D4B" w:rsidRPr="00382BDA">
        <w:rPr>
          <w:rFonts w:ascii="Times New Roman" w:hAnsi="Times New Roman" w:cs="Times New Roman"/>
        </w:rPr>
        <w:t>Methodology</w:t>
      </w:r>
      <w:bookmarkEnd w:id="302"/>
      <w:r w:rsidR="00DD0D4B" w:rsidRPr="00382BDA">
        <w:rPr>
          <w:rFonts w:ascii="Times New Roman" w:hAnsi="Times New Roman" w:cs="Times New Roman"/>
        </w:rPr>
        <w:t xml:space="preserve"> </w:t>
      </w:r>
      <w:bookmarkEnd w:id="298"/>
    </w:p>
    <w:p w:rsidR="00DD0D4B" w:rsidRDefault="00DD0D4B" w:rsidP="00DD0D4B">
      <w:pPr>
        <w:pStyle w:val="BodyParagraph"/>
        <w:spacing w:after="0" w:line="276" w:lineRule="auto"/>
        <w:ind w:firstLine="547"/>
        <w:rPr>
          <w:rFonts w:ascii="Times New Roman" w:hAnsi="Times New Roman"/>
          <w:sz w:val="24"/>
          <w:szCs w:val="24"/>
        </w:rPr>
      </w:pPr>
    </w:p>
    <w:p w:rsidR="00DD0D4B" w:rsidRPr="00B777EF" w:rsidRDefault="00DD0D4B" w:rsidP="00DD0D4B">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Ex ante impacts are intended to represent what the commercial thermostat program can deliver under a standardized set of weather and event conditions given changes in enrollment over the forecast horizon. The weather used for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load impact estimation is meant to reflect conditions on high demand days when there is a high likelihood that events will be called under normal (1-in-2 year) and extreme (1-in-10 year) weather.</w:t>
      </w:r>
    </w:p>
    <w:p w:rsidR="00DD0D4B" w:rsidRPr="00B777EF" w:rsidRDefault="00DD0D4B" w:rsidP="00DD0D4B">
      <w:pPr>
        <w:rPr>
          <w:color w:val="000000" w:themeColor="text1"/>
        </w:rPr>
      </w:pPr>
    </w:p>
    <w:p w:rsidR="00DD0D4B" w:rsidRPr="00B777EF" w:rsidRDefault="00DD0D4B" w:rsidP="00DD0D4B">
      <w:pPr>
        <w:spacing w:line="276" w:lineRule="auto"/>
        <w:ind w:firstLine="360"/>
        <w:rPr>
          <w:color w:val="000000" w:themeColor="text1"/>
        </w:rPr>
      </w:pPr>
      <w:r w:rsidRPr="00B777EF">
        <w:rPr>
          <w:color w:val="000000" w:themeColor="text1"/>
        </w:rPr>
        <w:t xml:space="preserve">At a high level, </w:t>
      </w:r>
      <w:r w:rsidR="008C46A8" w:rsidRPr="00B777EF">
        <w:rPr>
          <w:color w:val="000000" w:themeColor="text1"/>
        </w:rPr>
        <w:t>ex-ante</w:t>
      </w:r>
      <w:r w:rsidRPr="00B777EF">
        <w:rPr>
          <w:color w:val="000000" w:themeColor="text1"/>
        </w:rPr>
        <w:t xml:space="preserve"> impact estimates were developed using the following process:</w:t>
      </w:r>
    </w:p>
    <w:p w:rsidR="00DD0D4B" w:rsidRPr="00B777EF" w:rsidRDefault="00DD0D4B" w:rsidP="00DD0D4B">
      <w:pPr>
        <w:spacing w:line="276" w:lineRule="auto"/>
        <w:ind w:firstLine="360"/>
        <w:rPr>
          <w:color w:val="000000" w:themeColor="text1"/>
        </w:rPr>
      </w:pPr>
    </w:p>
    <w:p w:rsidR="00DD0D4B" w:rsidRPr="00B777EF" w:rsidRDefault="00DD0D4B" w:rsidP="00DD0D4B">
      <w:pPr>
        <w:pStyle w:val="Bullets"/>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 xml:space="preserve">Ex post estimates were developed using the matching methodology described in Section </w:t>
      </w:r>
      <w:r w:rsidRPr="00B777EF">
        <w:rPr>
          <w:rFonts w:ascii="Times New Roman" w:hAnsi="Times New Roman" w:cs="Times New Roman"/>
          <w:color w:val="000000" w:themeColor="text1"/>
          <w:sz w:val="24"/>
          <w:szCs w:val="24"/>
        </w:rPr>
        <w:fldChar w:fldCharType="begin"/>
      </w:r>
      <w:r w:rsidRPr="00B777EF">
        <w:rPr>
          <w:rFonts w:ascii="Times New Roman" w:hAnsi="Times New Roman" w:cs="Times New Roman"/>
          <w:color w:val="000000" w:themeColor="text1"/>
          <w:sz w:val="24"/>
          <w:szCs w:val="24"/>
        </w:rPr>
        <w:instrText xml:space="preserve"> REF _Ref446073195 \n \h  \* MERGEFORMAT </w:instrText>
      </w:r>
      <w:r w:rsidRPr="00B777EF">
        <w:rPr>
          <w:rFonts w:ascii="Times New Roman" w:hAnsi="Times New Roman" w:cs="Times New Roman"/>
          <w:color w:val="000000" w:themeColor="text1"/>
          <w:sz w:val="24"/>
          <w:szCs w:val="24"/>
        </w:rPr>
      </w:r>
      <w:r w:rsidRPr="00B777EF">
        <w:rPr>
          <w:rFonts w:ascii="Times New Roman" w:hAnsi="Times New Roman" w:cs="Times New Roman"/>
          <w:color w:val="000000" w:themeColor="text1"/>
          <w:sz w:val="24"/>
          <w:szCs w:val="24"/>
        </w:rPr>
        <w:fldChar w:fldCharType="separate"/>
      </w:r>
      <w:r w:rsidR="008A6A2B">
        <w:rPr>
          <w:rFonts w:ascii="Times New Roman" w:hAnsi="Times New Roman" w:cs="Times New Roman"/>
          <w:color w:val="000000" w:themeColor="text1"/>
          <w:sz w:val="24"/>
          <w:szCs w:val="24"/>
        </w:rPr>
        <w:t>10.2</w:t>
      </w:r>
      <w:r w:rsidRPr="00B777EF">
        <w:rPr>
          <w:rFonts w:ascii="Times New Roman" w:hAnsi="Times New Roman" w:cs="Times New Roman"/>
          <w:color w:val="000000" w:themeColor="text1"/>
          <w:sz w:val="24"/>
          <w:szCs w:val="24"/>
        </w:rPr>
        <w:fldChar w:fldCharType="end"/>
      </w:r>
      <w:r w:rsidRPr="00B777EF">
        <w:rPr>
          <w:rFonts w:ascii="Times New Roman" w:hAnsi="Times New Roman" w:cs="Times New Roman"/>
          <w:color w:val="000000" w:themeColor="text1"/>
          <w:sz w:val="24"/>
          <w:szCs w:val="24"/>
        </w:rPr>
        <w:t>, with the key output being the 2015 average event day per-thermostat impact (0.27 kW);</w:t>
      </w:r>
    </w:p>
    <w:p w:rsidR="00DD0D4B" w:rsidRPr="00B777EF" w:rsidRDefault="00DD0D4B" w:rsidP="00DD0D4B">
      <w:pPr>
        <w:pStyle w:val="Bullets"/>
        <w:spacing w:line="276" w:lineRule="auto"/>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lastRenderedPageBreak/>
        <w:t>Second, regression models were estimated that relate hourly usage to weather for customers that are currently enrolled in the commercial thermostat program. This model was fit using one data point for each customer segment, hour and day;</w:t>
      </w:r>
    </w:p>
    <w:p w:rsidR="00DD0D4B" w:rsidRPr="00B777EF" w:rsidRDefault="00DD0D4B" w:rsidP="00DD0D4B">
      <w:pPr>
        <w:pStyle w:val="Bullets"/>
        <w:spacing w:line="276" w:lineRule="auto"/>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 xml:space="preserve">A regression model was estimated that related the </w:t>
      </w:r>
      <w:r w:rsidR="008C46A8" w:rsidRPr="00B777EF">
        <w:rPr>
          <w:rFonts w:ascii="Times New Roman" w:hAnsi="Times New Roman" w:cs="Times New Roman"/>
          <w:color w:val="000000" w:themeColor="text1"/>
          <w:sz w:val="24"/>
          <w:szCs w:val="24"/>
        </w:rPr>
        <w:t>ex-post</w:t>
      </w:r>
      <w:r w:rsidRPr="00B777EF">
        <w:rPr>
          <w:rFonts w:ascii="Times New Roman" w:hAnsi="Times New Roman" w:cs="Times New Roman"/>
          <w:color w:val="000000" w:themeColor="text1"/>
          <w:sz w:val="24"/>
          <w:szCs w:val="24"/>
        </w:rPr>
        <w:t xml:space="preserve"> impacts for 50% cycling customers in the Summer Saver program to average temperatures from midnight to 5 PM (referred to as </w:t>
      </w:r>
      <w:r w:rsidRPr="00B777EF">
        <w:rPr>
          <w:rFonts w:ascii="Times New Roman" w:hAnsi="Times New Roman" w:cs="Times New Roman"/>
          <w:i/>
          <w:color w:val="000000" w:themeColor="text1"/>
          <w:sz w:val="24"/>
          <w:szCs w:val="24"/>
        </w:rPr>
        <w:t>mean17</w:t>
      </w:r>
      <w:r w:rsidRPr="00B777EF">
        <w:rPr>
          <w:rFonts w:ascii="Times New Roman" w:hAnsi="Times New Roman" w:cs="Times New Roman"/>
          <w:color w:val="000000" w:themeColor="text1"/>
          <w:sz w:val="24"/>
          <w:szCs w:val="24"/>
        </w:rPr>
        <w:t>) on the event day. Ex ante weather conditions were used as input to the regression model to predict Summer Saver impacts for each hour for monthly system peak days and for the typical event day; and</w:t>
      </w:r>
    </w:p>
    <w:p w:rsidR="00DD0D4B" w:rsidRPr="00B777EF" w:rsidRDefault="00DD0D4B" w:rsidP="00DD0D4B">
      <w:pPr>
        <w:pStyle w:val="Bullets"/>
        <w:rPr>
          <w:rFonts w:ascii="Times New Roman" w:hAnsi="Times New Roman" w:cs="Times New Roman"/>
          <w:color w:val="000000" w:themeColor="text1"/>
          <w:sz w:val="24"/>
          <w:szCs w:val="24"/>
        </w:rPr>
      </w:pPr>
      <w:r w:rsidRPr="00B777EF">
        <w:rPr>
          <w:rFonts w:ascii="Times New Roman" w:hAnsi="Times New Roman" w:cs="Times New Roman"/>
          <w:color w:val="000000" w:themeColor="text1"/>
          <w:sz w:val="24"/>
          <w:szCs w:val="24"/>
        </w:rPr>
        <w:t>The ratio of impact to weather observed in the Summer Saver program was applied to the 2015 average event day per-thermostat impact for the commercial thermostat program (from Step 1).</w:t>
      </w:r>
    </w:p>
    <w:p w:rsidR="00DD0D4B" w:rsidRPr="00B777EF" w:rsidRDefault="00DD0D4B" w:rsidP="00DD0D4B">
      <w:pPr>
        <w:spacing w:line="276" w:lineRule="auto"/>
        <w:ind w:firstLine="360"/>
        <w:rPr>
          <w:color w:val="000000" w:themeColor="text1"/>
        </w:rPr>
      </w:pPr>
      <w:r w:rsidRPr="00B777EF">
        <w:rPr>
          <w:color w:val="000000" w:themeColor="text1"/>
        </w:rPr>
        <w:t>The final model specifications used for the reference loads and Summer Saver impact-temperature relationship are shown below. The impact model matches the model used in the Summer Saver evaluation to maintain consistency.</w:t>
      </w:r>
    </w:p>
    <w:p w:rsidR="00DD0D4B" w:rsidRPr="00052850" w:rsidRDefault="00DD0D4B" w:rsidP="00DD0D4B">
      <w:pPr>
        <w:spacing w:line="276" w:lineRule="auto"/>
        <w:ind w:firstLine="360"/>
      </w:pPr>
    </w:p>
    <w:p w:rsidR="00DD0D4B" w:rsidRPr="00884AB1" w:rsidRDefault="00DD0D4B" w:rsidP="00DD0D4B">
      <w:pPr>
        <w:pStyle w:val="Caption"/>
        <w:spacing w:after="240"/>
        <w:jc w:val="center"/>
        <w:rPr>
          <w:sz w:val="22"/>
          <w:szCs w:val="22"/>
        </w:rPr>
      </w:pPr>
      <w:r w:rsidRPr="00884AB1">
        <w:rPr>
          <w:sz w:val="22"/>
          <w:szCs w:val="22"/>
        </w:rPr>
        <w:t xml:space="preserve">Equation </w:t>
      </w:r>
      <w:r w:rsidRPr="00884AB1">
        <w:rPr>
          <w:sz w:val="22"/>
          <w:szCs w:val="22"/>
        </w:rPr>
        <w:fldChar w:fldCharType="begin"/>
      </w:r>
      <w:r w:rsidRPr="00884AB1">
        <w:rPr>
          <w:sz w:val="22"/>
          <w:szCs w:val="22"/>
        </w:rPr>
        <w:instrText xml:space="preserve"> STYLEREF 1 \s </w:instrText>
      </w:r>
      <w:r w:rsidRPr="00884AB1">
        <w:rPr>
          <w:sz w:val="22"/>
          <w:szCs w:val="22"/>
        </w:rPr>
        <w:fldChar w:fldCharType="separate"/>
      </w:r>
      <w:r w:rsidR="008A6A2B">
        <w:rPr>
          <w:noProof/>
          <w:sz w:val="22"/>
          <w:szCs w:val="22"/>
        </w:rPr>
        <w:t>10</w:t>
      </w:r>
      <w:r w:rsidRPr="00884AB1">
        <w:rPr>
          <w:noProof/>
          <w:sz w:val="22"/>
          <w:szCs w:val="22"/>
        </w:rPr>
        <w:fldChar w:fldCharType="end"/>
      </w:r>
      <w:r w:rsidRPr="00884AB1">
        <w:rPr>
          <w:sz w:val="22"/>
          <w:szCs w:val="22"/>
        </w:rPr>
        <w:noBreakHyphen/>
      </w:r>
      <w:r w:rsidRPr="00884AB1">
        <w:rPr>
          <w:sz w:val="22"/>
          <w:szCs w:val="22"/>
        </w:rPr>
        <w:fldChar w:fldCharType="begin"/>
      </w:r>
      <w:r w:rsidRPr="00884AB1">
        <w:rPr>
          <w:sz w:val="22"/>
          <w:szCs w:val="22"/>
        </w:rPr>
        <w:instrText xml:space="preserve"> SEQ Equation \* ARABIC \s 1 </w:instrText>
      </w:r>
      <w:r w:rsidRPr="00884AB1">
        <w:rPr>
          <w:sz w:val="22"/>
          <w:szCs w:val="22"/>
        </w:rPr>
        <w:fldChar w:fldCharType="separate"/>
      </w:r>
      <w:r w:rsidR="008A6A2B">
        <w:rPr>
          <w:noProof/>
          <w:sz w:val="22"/>
          <w:szCs w:val="22"/>
        </w:rPr>
        <w:t>3</w:t>
      </w:r>
      <w:r w:rsidRPr="00884AB1">
        <w:rPr>
          <w:noProof/>
          <w:sz w:val="22"/>
          <w:szCs w:val="22"/>
        </w:rPr>
        <w:fldChar w:fldCharType="end"/>
      </w:r>
      <w:r w:rsidR="007D3889">
        <w:rPr>
          <w:noProof/>
          <w:sz w:val="22"/>
          <w:szCs w:val="22"/>
        </w:rPr>
        <w:t>:</w:t>
      </w:r>
      <w:r w:rsidRPr="00884AB1">
        <w:rPr>
          <w:sz w:val="22"/>
          <w:szCs w:val="22"/>
        </w:rPr>
        <w:t xml:space="preserve"> Reference Load </w:t>
      </w:r>
      <w:r w:rsidR="008C46A8">
        <w:rPr>
          <w:sz w:val="22"/>
          <w:szCs w:val="22"/>
        </w:rPr>
        <w:t>Ex-Ante</w:t>
      </w:r>
      <w:r w:rsidRPr="00884AB1">
        <w:rPr>
          <w:sz w:val="22"/>
          <w:szCs w:val="22"/>
        </w:rPr>
        <w:t xml:space="preserve"> Regression Model Specification</w:t>
      </w:r>
    </w:p>
    <w:p w:rsidR="00DD0D4B" w:rsidRPr="007F6A5A" w:rsidRDefault="0024252A" w:rsidP="00DD0D4B">
      <w:pPr>
        <w:pStyle w:val="BodyParagraph"/>
        <w:jc w:val="center"/>
        <w:rPr>
          <w:rFonts w:ascii="Times New Roman" w:hAnsi="Times New Roman"/>
          <w:sz w:val="24"/>
          <w:szCs w:val="24"/>
        </w:rPr>
      </w:pPr>
      <m:oMathPara>
        <m:oMath>
          <m:sSub>
            <m:sSubPr>
              <m:ctrlPr>
                <w:rPr>
                  <w:rFonts w:ascii="Cambria Math" w:hAnsi="Cambria Math"/>
                  <w:i/>
                </w:rPr>
              </m:ctrlPr>
            </m:sSubPr>
            <m:e>
              <m:r>
                <w:rPr>
                  <w:rFonts w:ascii="Cambria Math" w:hAnsi="Cambria Math"/>
                </w:rPr>
                <m:t>kW</m:t>
              </m:r>
            </m:e>
            <m:sub>
              <m:r>
                <w:rPr>
                  <w:rFonts w:ascii="Cambria Math" w:hAnsi="Cambria Math"/>
                </w:rPr>
                <m:t>t</m:t>
              </m:r>
            </m:sub>
          </m:sSub>
          <m:r>
            <w:rPr>
              <w:rFonts w:ascii="Cambria Math" w:hAnsi="Cambria Math"/>
            </w:rPr>
            <m:t>=a+b</m:t>
          </m:r>
          <m:sSub>
            <m:sSubPr>
              <m:ctrlPr>
                <w:rPr>
                  <w:rFonts w:ascii="Cambria Math" w:hAnsi="Cambria Math"/>
                  <w:sz w:val="24"/>
                  <w:szCs w:val="24"/>
                </w:rPr>
              </m:ctrlPr>
            </m:sSubPr>
            <m:e>
              <m:r>
                <w:rPr>
                  <w:rFonts w:ascii="Cambria Math" w:hAnsi="Cambria Math"/>
                </w:rPr>
                <m:t>∙</m:t>
              </m:r>
              <m:sSub>
                <m:sSubPr>
                  <m:ctrlPr>
                    <w:rPr>
                      <w:rFonts w:ascii="Cambria Math" w:hAnsi="Cambria Math"/>
                      <w:i/>
                    </w:rPr>
                  </m:ctrlPr>
                </m:sSubPr>
                <m:e>
                  <m:r>
                    <w:rPr>
                      <w:rFonts w:ascii="Cambria Math" w:hAnsi="Cambria Math"/>
                    </w:rPr>
                    <m:t>mean17</m:t>
                  </m:r>
                </m:e>
                <m:sub>
                  <m:r>
                    <w:rPr>
                      <w:rFonts w:ascii="Cambria Math" w:hAnsi="Cambria Math"/>
                    </w:rPr>
                    <m:t>t</m:t>
                  </m:r>
                </m:sub>
              </m:sSub>
            </m:e>
            <m:sub>
              <m:r>
                <m:rPr>
                  <m:sty m:val="p"/>
                </m:rPr>
                <w:rPr>
                  <w:rFonts w:ascii="Cambria Math" w:hAnsi="Cambria Math"/>
                  <w:sz w:val="24"/>
                  <w:szCs w:val="24"/>
                </w:rPr>
                <m:t xml:space="preserve"> </m:t>
              </m:r>
            </m:sub>
          </m:sSub>
          <m:r>
            <w:rPr>
              <w:rFonts w:ascii="Cambria Math" w:hAnsi="Cambria Math"/>
            </w:rPr>
            <m:t>+c</m:t>
          </m:r>
          <m:sSub>
            <m:sSubPr>
              <m:ctrlPr>
                <w:rPr>
                  <w:rFonts w:ascii="Cambria Math" w:hAnsi="Cambria Math"/>
                  <w:sz w:val="24"/>
                  <w:szCs w:val="24"/>
                </w:rPr>
              </m:ctrlPr>
            </m:sSubPr>
            <m:e>
              <m:r>
                <w:rPr>
                  <w:rFonts w:ascii="Cambria Math" w:hAnsi="Cambria Math"/>
                </w:rPr>
                <m:t>∙</m:t>
              </m:r>
              <m:sSubSup>
                <m:sSubSupPr>
                  <m:ctrlPr>
                    <w:rPr>
                      <w:rFonts w:ascii="Cambria Math" w:hAnsi="Cambria Math"/>
                      <w:i/>
                    </w:rPr>
                  </m:ctrlPr>
                </m:sSubSupPr>
                <m:e>
                  <m:r>
                    <w:rPr>
                      <w:rFonts w:ascii="Cambria Math" w:hAnsi="Cambria Math"/>
                    </w:rPr>
                    <m:t>mean17</m:t>
                  </m:r>
                </m:e>
                <m:sub>
                  <m:r>
                    <w:rPr>
                      <w:rFonts w:ascii="Cambria Math" w:hAnsi="Cambria Math"/>
                    </w:rPr>
                    <m:t>t</m:t>
                  </m:r>
                </m:sub>
                <m:sup>
                  <m:r>
                    <w:rPr>
                      <w:rFonts w:ascii="Cambria Math" w:hAnsi="Cambria Math"/>
                    </w:rPr>
                    <m:t>2</m:t>
                  </m:r>
                </m:sup>
              </m:sSubSup>
            </m:e>
            <m:sub>
              <m:r>
                <m:rPr>
                  <m:sty m:val="p"/>
                </m:rPr>
                <w:rPr>
                  <w:rFonts w:ascii="Cambria Math" w:hAnsi="Cambria Math"/>
                  <w:sz w:val="24"/>
                  <w:szCs w:val="24"/>
                </w:rPr>
                <m:t xml:space="preserve"> </m:t>
              </m:r>
            </m:sub>
          </m:sSub>
          <m:r>
            <m:rPr>
              <m:sty m:val="b"/>
            </m:rPr>
            <w:rPr>
              <w:rFonts w:ascii="Cambria Math" w:hAnsi="Cambria Math"/>
            </w:rPr>
            <m:t>+</m:t>
          </m:r>
          <m:nary>
            <m:naryPr>
              <m:chr m:val="∑"/>
              <m:limLoc m:val="undOvr"/>
              <m:ctrlPr>
                <w:rPr>
                  <w:rFonts w:ascii="Cambria Math" w:hAnsi="Cambria Math"/>
                </w:rPr>
              </m:ctrlPr>
            </m:naryPr>
            <m:sub>
              <m:r>
                <w:rPr>
                  <w:rFonts w:ascii="Cambria Math" w:hAnsi="Cambria Math"/>
                </w:rPr>
                <m:t>day=Tuesday</m:t>
              </m:r>
            </m:sub>
            <m:sup>
              <m:r>
                <w:rPr>
                  <w:rFonts w:ascii="Cambria Math" w:hAnsi="Cambria Math"/>
                </w:rPr>
                <m:t>Friday</m:t>
              </m:r>
            </m:sup>
            <m:e>
              <m:sSub>
                <m:sSubPr>
                  <m:ctrlPr>
                    <w:rPr>
                      <w:rFonts w:ascii="Cambria Math" w:hAnsi="Cambria Math"/>
                      <w:i/>
                    </w:rPr>
                  </m:ctrlPr>
                </m:sSubPr>
                <m:e>
                  <m:r>
                    <w:rPr>
                      <w:rFonts w:ascii="Cambria Math" w:hAnsi="Cambria Math"/>
                    </w:rPr>
                    <m:t>d</m:t>
                  </m:r>
                </m:e>
                <m:sub>
                  <m:r>
                    <w:rPr>
                      <w:rFonts w:ascii="Cambria Math" w:hAnsi="Cambria Math"/>
                    </w:rPr>
                    <m:t>day</m:t>
                  </m:r>
                </m:sub>
              </m:sSub>
              <m:sSub>
                <m:sSubPr>
                  <m:ctrlPr>
                    <w:rPr>
                      <w:rFonts w:ascii="Cambria Math" w:hAnsi="Cambria Math"/>
                      <w:sz w:val="24"/>
                      <w:szCs w:val="24"/>
                    </w:rPr>
                  </m:ctrlPr>
                </m:sSubPr>
                <m:e>
                  <m:r>
                    <w:rPr>
                      <w:rFonts w:ascii="Cambria Math" w:hAnsi="Cambria Math"/>
                    </w:rPr>
                    <m:t>∙</m:t>
                  </m:r>
                  <m:sSub>
                    <m:sSubPr>
                      <m:ctrlPr>
                        <w:rPr>
                          <w:rFonts w:ascii="Cambria Math" w:hAnsi="Cambria Math"/>
                          <w:i/>
                        </w:rPr>
                      </m:ctrlPr>
                    </m:sSubPr>
                    <m:e>
                      <m:r>
                        <w:rPr>
                          <w:rFonts w:ascii="Cambria Math" w:hAnsi="Cambria Math"/>
                        </w:rPr>
                        <m:t>DOW</m:t>
                      </m:r>
                    </m:e>
                    <m:sub>
                      <m:r>
                        <w:rPr>
                          <w:rFonts w:ascii="Cambria Math" w:hAnsi="Cambria Math"/>
                        </w:rPr>
                        <m:t>t,day</m:t>
                      </m:r>
                    </m:sub>
                  </m:sSub>
                </m:e>
                <m:sub>
                  <m:r>
                    <m:rPr>
                      <m:sty m:val="p"/>
                    </m:rPr>
                    <w:rPr>
                      <w:rFonts w:ascii="Cambria Math" w:hAnsi="Cambria Math"/>
                      <w:sz w:val="24"/>
                      <w:szCs w:val="24"/>
                    </w:rPr>
                    <m:t xml:space="preserve"> </m:t>
                  </m:r>
                </m:sub>
              </m:sSub>
            </m:e>
          </m:nary>
          <m:r>
            <m:rPr>
              <m:sty m:val="b"/>
            </m:rPr>
            <w:rPr>
              <w:rFonts w:ascii="Cambria Math" w:hAnsi="Cambria Math"/>
            </w:rPr>
            <m:t>+</m:t>
          </m:r>
          <m:nary>
            <m:naryPr>
              <m:chr m:val="∑"/>
              <m:limLoc m:val="undOvr"/>
              <m:ctrlPr>
                <w:rPr>
                  <w:rFonts w:ascii="Cambria Math" w:hAnsi="Cambria Math"/>
                </w:rPr>
              </m:ctrlPr>
            </m:naryPr>
            <m:sub>
              <m:r>
                <w:rPr>
                  <w:rFonts w:ascii="Cambria Math" w:hAnsi="Cambria Math"/>
                </w:rPr>
                <m:t>month=February</m:t>
              </m:r>
            </m:sub>
            <m:sup>
              <m:r>
                <w:rPr>
                  <w:rFonts w:ascii="Cambria Math" w:hAnsi="Cambria Math"/>
                </w:rPr>
                <m:t>December</m:t>
              </m:r>
            </m:sup>
            <m:e>
              <m:sSub>
                <m:sSubPr>
                  <m:ctrlPr>
                    <w:rPr>
                      <w:rFonts w:ascii="Cambria Math" w:hAnsi="Cambria Math"/>
                      <w:i/>
                    </w:rPr>
                  </m:ctrlPr>
                </m:sSubPr>
                <m:e>
                  <m:r>
                    <w:rPr>
                      <w:rFonts w:ascii="Cambria Math" w:hAnsi="Cambria Math"/>
                    </w:rPr>
                    <m:t>m</m:t>
                  </m:r>
                </m:e>
                <m:sub>
                  <m:r>
                    <w:rPr>
                      <w:rFonts w:ascii="Cambria Math" w:hAnsi="Cambria Math"/>
                    </w:rPr>
                    <m:t>month</m:t>
                  </m:r>
                </m:sub>
              </m:sSub>
              <m:sSub>
                <m:sSubPr>
                  <m:ctrlPr>
                    <w:rPr>
                      <w:rFonts w:ascii="Cambria Math" w:hAnsi="Cambria Math"/>
                      <w:sz w:val="24"/>
                      <w:szCs w:val="24"/>
                    </w:rPr>
                  </m:ctrlPr>
                </m:sSubPr>
                <m:e>
                  <m:r>
                    <w:rPr>
                      <w:rFonts w:ascii="Cambria Math" w:hAnsi="Cambria Math"/>
                    </w:rPr>
                    <m:t>∙</m:t>
                  </m:r>
                  <m:sSub>
                    <m:sSubPr>
                      <m:ctrlPr>
                        <w:rPr>
                          <w:rFonts w:ascii="Cambria Math" w:hAnsi="Cambria Math"/>
                          <w:i/>
                        </w:rPr>
                      </m:ctrlPr>
                    </m:sSubPr>
                    <m:e>
                      <m:r>
                        <w:rPr>
                          <w:rFonts w:ascii="Cambria Math" w:hAnsi="Cambria Math"/>
                        </w:rPr>
                        <m:t>Month</m:t>
                      </m:r>
                    </m:e>
                    <m:sub>
                      <m:r>
                        <w:rPr>
                          <w:rFonts w:ascii="Cambria Math" w:hAnsi="Cambria Math"/>
                        </w:rPr>
                        <m:t>t,month</m:t>
                      </m:r>
                    </m:sub>
                  </m:sSub>
                </m:e>
                <m:sub>
                  <m:r>
                    <m:rPr>
                      <m:sty m:val="p"/>
                    </m:rPr>
                    <w:rPr>
                      <w:rFonts w:ascii="Cambria Math" w:hAnsi="Cambria Math"/>
                      <w:sz w:val="24"/>
                      <w:szCs w:val="24"/>
                    </w:rPr>
                    <m:t xml:space="preserve"> </m:t>
                  </m:r>
                </m:sub>
              </m:sSub>
            </m:e>
          </m:nary>
          <m:r>
            <m:rPr>
              <m:sty m:val="p"/>
            </m:rPr>
            <w:rPr>
              <w:rFonts w:ascii="Cambria Math" w:hAnsi="Cambria Math"/>
            </w:rPr>
            <m:t>+</m:t>
          </m:r>
          <m:sSub>
            <m:sSubPr>
              <m:ctrlPr>
                <w:rPr>
                  <w:rFonts w:ascii="Cambria Math" w:hAnsi="Cambria Math"/>
                </w:rPr>
              </m:ctrlPr>
            </m:sSubPr>
            <m:e>
              <m:r>
                <m:rPr>
                  <m:sty m:val="p"/>
                </m:rPr>
                <w:rPr>
                  <w:rFonts w:ascii="Cambria Math" w:hAnsi="Cambria Math"/>
                </w:rPr>
                <m:t>ε</m:t>
              </m:r>
            </m:e>
            <m:sub>
              <m:r>
                <w:rPr>
                  <w:rFonts w:ascii="Cambria Math" w:hAnsi="Cambria Math"/>
                </w:rPr>
                <m:t>t</m:t>
              </m:r>
            </m:sub>
          </m:sSub>
        </m:oMath>
      </m:oMathPara>
    </w:p>
    <w:p w:rsidR="00DD0D4B" w:rsidRDefault="00DD0D4B" w:rsidP="007D3889">
      <w:pPr>
        <w:pStyle w:val="Caption"/>
        <w:spacing w:after="120"/>
      </w:pPr>
    </w:p>
    <w:p w:rsidR="0024252A" w:rsidRDefault="0024252A">
      <w:pPr>
        <w:rPr>
          <w:b/>
          <w:bCs/>
          <w:sz w:val="22"/>
          <w:szCs w:val="22"/>
        </w:rPr>
      </w:pPr>
      <w:r>
        <w:rPr>
          <w:sz w:val="22"/>
          <w:szCs w:val="22"/>
        </w:rPr>
        <w:br w:type="page"/>
      </w:r>
    </w:p>
    <w:p w:rsidR="00DD0D4B" w:rsidRPr="00884AB1" w:rsidRDefault="00DD0D4B" w:rsidP="007D3889">
      <w:pPr>
        <w:pStyle w:val="Caption"/>
        <w:spacing w:after="120"/>
        <w:jc w:val="center"/>
        <w:rPr>
          <w:sz w:val="22"/>
          <w:szCs w:val="22"/>
        </w:rPr>
      </w:pPr>
      <w:r w:rsidRPr="00884AB1">
        <w:rPr>
          <w:sz w:val="22"/>
          <w:szCs w:val="22"/>
        </w:rPr>
        <w:lastRenderedPageBreak/>
        <w:t xml:space="preserve">Table </w:t>
      </w:r>
      <w:r w:rsidRPr="00884AB1">
        <w:rPr>
          <w:sz w:val="22"/>
          <w:szCs w:val="22"/>
        </w:rPr>
        <w:fldChar w:fldCharType="begin"/>
      </w:r>
      <w:r w:rsidRPr="00884AB1">
        <w:rPr>
          <w:sz w:val="22"/>
          <w:szCs w:val="22"/>
        </w:rPr>
        <w:instrText xml:space="preserve"> STYLEREF 1 \s </w:instrText>
      </w:r>
      <w:r w:rsidRPr="00884AB1">
        <w:rPr>
          <w:sz w:val="22"/>
          <w:szCs w:val="22"/>
        </w:rPr>
        <w:fldChar w:fldCharType="separate"/>
      </w:r>
      <w:r w:rsidR="008A6A2B">
        <w:rPr>
          <w:noProof/>
          <w:sz w:val="22"/>
          <w:szCs w:val="22"/>
        </w:rPr>
        <w:t>10</w:t>
      </w:r>
      <w:r w:rsidRPr="00884AB1">
        <w:rPr>
          <w:sz w:val="22"/>
          <w:szCs w:val="22"/>
        </w:rPr>
        <w:fldChar w:fldCharType="end"/>
      </w:r>
      <w:r w:rsidRPr="00884AB1">
        <w:rPr>
          <w:sz w:val="22"/>
          <w:szCs w:val="22"/>
        </w:rPr>
        <w:noBreakHyphen/>
      </w:r>
      <w:r w:rsidRPr="00884AB1">
        <w:rPr>
          <w:sz w:val="22"/>
          <w:szCs w:val="22"/>
        </w:rPr>
        <w:fldChar w:fldCharType="begin"/>
      </w:r>
      <w:r w:rsidRPr="00884AB1">
        <w:rPr>
          <w:sz w:val="22"/>
          <w:szCs w:val="22"/>
        </w:rPr>
        <w:instrText xml:space="preserve"> SEQ Table \* ARABIC \s 1 </w:instrText>
      </w:r>
      <w:r w:rsidRPr="00884AB1">
        <w:rPr>
          <w:sz w:val="22"/>
          <w:szCs w:val="22"/>
        </w:rPr>
        <w:fldChar w:fldCharType="separate"/>
      </w:r>
      <w:r w:rsidR="008A6A2B">
        <w:rPr>
          <w:noProof/>
          <w:sz w:val="22"/>
          <w:szCs w:val="22"/>
        </w:rPr>
        <w:t>5</w:t>
      </w:r>
      <w:r w:rsidRPr="00884AB1">
        <w:rPr>
          <w:sz w:val="22"/>
          <w:szCs w:val="22"/>
        </w:rPr>
        <w:fldChar w:fldCharType="end"/>
      </w:r>
      <w:r w:rsidR="007D3889">
        <w:rPr>
          <w:sz w:val="22"/>
          <w:szCs w:val="22"/>
        </w:rPr>
        <w:t>:</w:t>
      </w:r>
      <w:r w:rsidRPr="00884AB1">
        <w:rPr>
          <w:sz w:val="22"/>
          <w:szCs w:val="22"/>
        </w:rPr>
        <w:t xml:space="preserve"> Description of </w:t>
      </w:r>
      <w:r w:rsidR="008C46A8">
        <w:rPr>
          <w:sz w:val="22"/>
          <w:szCs w:val="22"/>
        </w:rPr>
        <w:t>Ex-Ante</w:t>
      </w:r>
      <w:r w:rsidRPr="00884AB1">
        <w:rPr>
          <w:sz w:val="22"/>
          <w:szCs w:val="22"/>
        </w:rPr>
        <w:t xml:space="preserve"> Reference Load Regression Variables</w:t>
      </w:r>
    </w:p>
    <w:tbl>
      <w:tblPr>
        <w:tblW w:w="6705" w:type="dxa"/>
        <w:jc w:val="center"/>
        <w:tblLook w:val="04A0" w:firstRow="1" w:lastRow="0" w:firstColumn="1" w:lastColumn="0" w:noHBand="0" w:noVBand="1"/>
      </w:tblPr>
      <w:tblGrid>
        <w:gridCol w:w="1180"/>
        <w:gridCol w:w="5525"/>
      </w:tblGrid>
      <w:tr w:rsidR="00DD0D4B" w:rsidRPr="008E103E" w:rsidTr="00796333">
        <w:trPr>
          <w:trHeight w:val="315"/>
          <w:jc w:val="center"/>
        </w:trPr>
        <w:tc>
          <w:tcPr>
            <w:tcW w:w="1180" w:type="dxa"/>
            <w:tcBorders>
              <w:top w:val="single" w:sz="8" w:space="0" w:color="auto"/>
              <w:left w:val="single" w:sz="8" w:space="0" w:color="auto"/>
              <w:bottom w:val="single" w:sz="8" w:space="0" w:color="auto"/>
              <w:right w:val="single" w:sz="8" w:space="0" w:color="FFFFFF"/>
            </w:tcBorders>
            <w:shd w:val="clear" w:color="auto" w:fill="1F497D" w:themeFill="text2"/>
            <w:vAlign w:val="center"/>
            <w:hideMark/>
          </w:tcPr>
          <w:p w:rsidR="00DD0D4B" w:rsidRPr="00BD540D" w:rsidRDefault="00DD0D4B" w:rsidP="00796333">
            <w:pPr>
              <w:pStyle w:val="TableHeader"/>
              <w:rPr>
                <w:rFonts w:ascii="Times New Roman" w:hAnsi="Times New Roman"/>
                <w:sz w:val="22"/>
              </w:rPr>
            </w:pPr>
            <w:r w:rsidRPr="00BD540D">
              <w:rPr>
                <w:rFonts w:ascii="Times New Roman" w:hAnsi="Times New Roman"/>
                <w:sz w:val="22"/>
              </w:rPr>
              <w:t>Variable</w:t>
            </w:r>
          </w:p>
        </w:tc>
        <w:tc>
          <w:tcPr>
            <w:tcW w:w="5525" w:type="dxa"/>
            <w:tcBorders>
              <w:top w:val="single" w:sz="8" w:space="0" w:color="auto"/>
              <w:left w:val="nil"/>
              <w:bottom w:val="single" w:sz="8" w:space="0" w:color="auto"/>
              <w:right w:val="single" w:sz="8" w:space="0" w:color="auto"/>
            </w:tcBorders>
            <w:shd w:val="clear" w:color="auto" w:fill="1F497D" w:themeFill="text2"/>
            <w:vAlign w:val="center"/>
            <w:hideMark/>
          </w:tcPr>
          <w:p w:rsidR="00DD0D4B" w:rsidRPr="00BD540D" w:rsidRDefault="00DD0D4B" w:rsidP="00796333">
            <w:pPr>
              <w:pStyle w:val="TableHeader"/>
              <w:rPr>
                <w:rFonts w:ascii="Times New Roman" w:hAnsi="Times New Roman"/>
                <w:sz w:val="22"/>
              </w:rPr>
            </w:pPr>
            <w:r w:rsidRPr="00BD540D">
              <w:rPr>
                <w:rFonts w:ascii="Times New Roman" w:hAnsi="Times New Roman"/>
                <w:sz w:val="22"/>
              </w:rPr>
              <w:t>Description</w:t>
            </w:r>
          </w:p>
        </w:tc>
      </w:tr>
      <w:tr w:rsidR="00DD0D4B" w:rsidRPr="008E103E" w:rsidTr="00796333">
        <w:trPr>
          <w:trHeight w:val="412"/>
          <w:jc w:val="center"/>
        </w:trPr>
        <w:tc>
          <w:tcPr>
            <w:tcW w:w="1180" w:type="dxa"/>
            <w:tcBorders>
              <w:top w:val="nil"/>
              <w:left w:val="single" w:sz="8" w:space="0" w:color="auto"/>
              <w:bottom w:val="single" w:sz="8" w:space="0" w:color="auto"/>
              <w:right w:val="single" w:sz="8" w:space="0" w:color="auto"/>
            </w:tcBorders>
            <w:shd w:val="clear" w:color="000000" w:fill="FFFFFF"/>
            <w:vAlign w:val="center"/>
            <w:hideMark/>
          </w:tcPr>
          <w:p w:rsidR="00DD0D4B" w:rsidRPr="007D3889" w:rsidRDefault="00DD0D4B" w:rsidP="00796333">
            <w:pPr>
              <w:jc w:val="center"/>
              <w:rPr>
                <w:i/>
                <w:iCs/>
                <w:color w:val="000000"/>
                <w:sz w:val="20"/>
                <w:szCs w:val="20"/>
              </w:rPr>
            </w:pPr>
            <w:r w:rsidRPr="007D3889">
              <w:rPr>
                <w:i/>
                <w:iCs/>
                <w:color w:val="000000"/>
                <w:sz w:val="20"/>
                <w:szCs w:val="20"/>
              </w:rPr>
              <w:t>kW</w:t>
            </w:r>
          </w:p>
        </w:tc>
        <w:tc>
          <w:tcPr>
            <w:tcW w:w="5525" w:type="dxa"/>
            <w:tcBorders>
              <w:top w:val="nil"/>
              <w:left w:val="nil"/>
              <w:bottom w:val="single" w:sz="8" w:space="0" w:color="auto"/>
              <w:right w:val="single" w:sz="8" w:space="0" w:color="auto"/>
            </w:tcBorders>
            <w:shd w:val="clear" w:color="000000" w:fill="FFFFFF"/>
            <w:vAlign w:val="center"/>
            <w:hideMark/>
          </w:tcPr>
          <w:p w:rsidR="00DD0D4B" w:rsidRPr="007D3889" w:rsidRDefault="00DD0D4B" w:rsidP="00796333">
            <w:pPr>
              <w:pStyle w:val="TableText"/>
              <w:rPr>
                <w:rFonts w:ascii="Times New Roman" w:hAnsi="Times New Roman"/>
                <w:sz w:val="20"/>
                <w:szCs w:val="20"/>
              </w:rPr>
            </w:pPr>
            <w:r w:rsidRPr="007D3889">
              <w:rPr>
                <w:rFonts w:ascii="Times New Roman" w:hAnsi="Times New Roman"/>
                <w:sz w:val="20"/>
                <w:szCs w:val="20"/>
              </w:rPr>
              <w:t xml:space="preserve">Per customer </w:t>
            </w:r>
            <w:r w:rsidR="008C46A8">
              <w:rPr>
                <w:rFonts w:ascii="Times New Roman" w:hAnsi="Times New Roman"/>
                <w:sz w:val="20"/>
                <w:szCs w:val="20"/>
              </w:rPr>
              <w:t>ex-post</w:t>
            </w:r>
            <w:r w:rsidRPr="007D3889">
              <w:rPr>
                <w:rFonts w:ascii="Times New Roman" w:hAnsi="Times New Roman"/>
                <w:sz w:val="20"/>
                <w:szCs w:val="20"/>
              </w:rPr>
              <w:t xml:space="preserve"> reference load for each event day</w:t>
            </w:r>
          </w:p>
        </w:tc>
      </w:tr>
      <w:tr w:rsidR="00DD0D4B" w:rsidRPr="008E103E" w:rsidTr="00796333">
        <w:trPr>
          <w:trHeight w:val="315"/>
          <w:jc w:val="center"/>
        </w:trPr>
        <w:tc>
          <w:tcPr>
            <w:tcW w:w="1180" w:type="dxa"/>
            <w:tcBorders>
              <w:top w:val="nil"/>
              <w:left w:val="single" w:sz="8" w:space="0" w:color="auto"/>
              <w:bottom w:val="single" w:sz="8" w:space="0" w:color="auto"/>
              <w:right w:val="single" w:sz="8" w:space="0" w:color="auto"/>
            </w:tcBorders>
            <w:shd w:val="clear" w:color="000000" w:fill="FFFFFF"/>
            <w:vAlign w:val="center"/>
            <w:hideMark/>
          </w:tcPr>
          <w:p w:rsidR="00DD0D4B" w:rsidRPr="007D3889" w:rsidRDefault="00DD0D4B" w:rsidP="00796333">
            <w:pPr>
              <w:jc w:val="center"/>
              <w:rPr>
                <w:i/>
                <w:iCs/>
                <w:color w:val="000000"/>
                <w:sz w:val="20"/>
                <w:szCs w:val="20"/>
              </w:rPr>
            </w:pPr>
            <w:r w:rsidRPr="007D3889">
              <w:rPr>
                <w:i/>
                <w:iCs/>
                <w:color w:val="000000"/>
                <w:sz w:val="20"/>
                <w:szCs w:val="20"/>
              </w:rPr>
              <w:t>a</w:t>
            </w:r>
          </w:p>
        </w:tc>
        <w:tc>
          <w:tcPr>
            <w:tcW w:w="5525" w:type="dxa"/>
            <w:tcBorders>
              <w:top w:val="nil"/>
              <w:left w:val="nil"/>
              <w:bottom w:val="single" w:sz="8" w:space="0" w:color="auto"/>
              <w:right w:val="single" w:sz="8" w:space="0" w:color="auto"/>
            </w:tcBorders>
            <w:shd w:val="clear" w:color="000000" w:fill="FFFFFF"/>
            <w:vAlign w:val="center"/>
            <w:hideMark/>
          </w:tcPr>
          <w:p w:rsidR="00DD0D4B" w:rsidRPr="007D3889" w:rsidRDefault="00DD0D4B" w:rsidP="00796333">
            <w:pPr>
              <w:pStyle w:val="TableText"/>
              <w:rPr>
                <w:rFonts w:ascii="Times New Roman" w:hAnsi="Times New Roman"/>
                <w:sz w:val="20"/>
                <w:szCs w:val="20"/>
              </w:rPr>
            </w:pPr>
            <w:r w:rsidRPr="007D3889">
              <w:rPr>
                <w:rFonts w:ascii="Times New Roman" w:hAnsi="Times New Roman"/>
                <w:sz w:val="20"/>
                <w:szCs w:val="20"/>
              </w:rPr>
              <w:t>Estimated constant</w:t>
            </w:r>
          </w:p>
        </w:tc>
      </w:tr>
      <w:tr w:rsidR="00DD0D4B" w:rsidRPr="008E103E" w:rsidTr="00796333">
        <w:trPr>
          <w:trHeight w:val="315"/>
          <w:jc w:val="center"/>
        </w:trPr>
        <w:tc>
          <w:tcPr>
            <w:tcW w:w="1180" w:type="dxa"/>
            <w:tcBorders>
              <w:top w:val="nil"/>
              <w:left w:val="single" w:sz="8" w:space="0" w:color="auto"/>
              <w:bottom w:val="single" w:sz="8" w:space="0" w:color="auto"/>
              <w:right w:val="single" w:sz="8" w:space="0" w:color="auto"/>
            </w:tcBorders>
            <w:shd w:val="clear" w:color="auto" w:fill="auto"/>
            <w:vAlign w:val="center"/>
            <w:hideMark/>
          </w:tcPr>
          <w:p w:rsidR="00DD0D4B" w:rsidRPr="007D3889" w:rsidRDefault="00DD0D4B" w:rsidP="00796333">
            <w:pPr>
              <w:jc w:val="center"/>
              <w:rPr>
                <w:i/>
                <w:iCs/>
                <w:color w:val="000000"/>
                <w:sz w:val="20"/>
                <w:szCs w:val="20"/>
              </w:rPr>
            </w:pPr>
            <w:r w:rsidRPr="007D3889">
              <w:rPr>
                <w:i/>
                <w:iCs/>
                <w:color w:val="000000"/>
                <w:sz w:val="20"/>
                <w:szCs w:val="20"/>
              </w:rPr>
              <w:t>b and c</w:t>
            </w:r>
          </w:p>
        </w:tc>
        <w:tc>
          <w:tcPr>
            <w:tcW w:w="5525" w:type="dxa"/>
            <w:tcBorders>
              <w:top w:val="nil"/>
              <w:left w:val="nil"/>
              <w:bottom w:val="single" w:sz="8" w:space="0" w:color="auto"/>
              <w:right w:val="single" w:sz="8" w:space="0" w:color="auto"/>
            </w:tcBorders>
            <w:shd w:val="clear" w:color="auto" w:fill="auto"/>
            <w:vAlign w:val="center"/>
            <w:hideMark/>
          </w:tcPr>
          <w:p w:rsidR="00DD0D4B" w:rsidRPr="007D3889" w:rsidRDefault="00DD0D4B" w:rsidP="00796333">
            <w:pPr>
              <w:pStyle w:val="TableText"/>
              <w:rPr>
                <w:rFonts w:ascii="Times New Roman" w:hAnsi="Times New Roman"/>
                <w:sz w:val="20"/>
                <w:szCs w:val="20"/>
              </w:rPr>
            </w:pPr>
            <w:r w:rsidRPr="007D3889">
              <w:rPr>
                <w:rFonts w:ascii="Times New Roman" w:hAnsi="Times New Roman"/>
                <w:sz w:val="20"/>
                <w:szCs w:val="20"/>
              </w:rPr>
              <w:t>Estimated parameters describing the relationship between temperature and demand</w:t>
            </w:r>
          </w:p>
        </w:tc>
      </w:tr>
      <w:tr w:rsidR="00DD0D4B" w:rsidRPr="008E103E" w:rsidTr="00796333">
        <w:trPr>
          <w:trHeight w:val="315"/>
          <w:jc w:val="center"/>
        </w:trPr>
        <w:tc>
          <w:tcPr>
            <w:tcW w:w="1180" w:type="dxa"/>
            <w:tcBorders>
              <w:top w:val="nil"/>
              <w:left w:val="single" w:sz="8" w:space="0" w:color="auto"/>
              <w:bottom w:val="single" w:sz="8" w:space="0" w:color="auto"/>
              <w:right w:val="single" w:sz="8" w:space="0" w:color="auto"/>
            </w:tcBorders>
            <w:shd w:val="clear" w:color="auto" w:fill="auto"/>
            <w:vAlign w:val="center"/>
          </w:tcPr>
          <w:p w:rsidR="00DD0D4B" w:rsidRPr="007D3889" w:rsidRDefault="00DD0D4B" w:rsidP="00796333">
            <w:pPr>
              <w:jc w:val="center"/>
              <w:rPr>
                <w:i/>
                <w:iCs/>
                <w:color w:val="000000"/>
                <w:sz w:val="20"/>
                <w:szCs w:val="20"/>
              </w:rPr>
            </w:pPr>
            <w:r w:rsidRPr="007D3889">
              <w:rPr>
                <w:i/>
                <w:iCs/>
                <w:color w:val="000000"/>
                <w:sz w:val="20"/>
                <w:szCs w:val="20"/>
              </w:rPr>
              <w:t>d</w:t>
            </w:r>
          </w:p>
        </w:tc>
        <w:tc>
          <w:tcPr>
            <w:tcW w:w="5525" w:type="dxa"/>
            <w:tcBorders>
              <w:top w:val="nil"/>
              <w:left w:val="nil"/>
              <w:bottom w:val="single" w:sz="8" w:space="0" w:color="auto"/>
              <w:right w:val="single" w:sz="8" w:space="0" w:color="auto"/>
            </w:tcBorders>
            <w:shd w:val="clear" w:color="auto" w:fill="auto"/>
            <w:vAlign w:val="center"/>
          </w:tcPr>
          <w:p w:rsidR="00DD0D4B" w:rsidRPr="007D3889" w:rsidRDefault="00DD0D4B" w:rsidP="00796333">
            <w:pPr>
              <w:pStyle w:val="TableText"/>
              <w:rPr>
                <w:rFonts w:ascii="Times New Roman" w:hAnsi="Times New Roman"/>
                <w:sz w:val="20"/>
                <w:szCs w:val="20"/>
              </w:rPr>
            </w:pPr>
            <w:r w:rsidRPr="007D3889">
              <w:rPr>
                <w:rFonts w:ascii="Times New Roman" w:hAnsi="Times New Roman"/>
                <w:sz w:val="20"/>
                <w:szCs w:val="20"/>
              </w:rPr>
              <w:t>Estimated parameters describing the average difference in load for that weekday from Monday</w:t>
            </w:r>
          </w:p>
        </w:tc>
      </w:tr>
      <w:tr w:rsidR="00DD0D4B" w:rsidRPr="008E103E" w:rsidTr="00796333">
        <w:trPr>
          <w:trHeight w:val="315"/>
          <w:jc w:val="center"/>
        </w:trPr>
        <w:tc>
          <w:tcPr>
            <w:tcW w:w="1180" w:type="dxa"/>
            <w:tcBorders>
              <w:top w:val="nil"/>
              <w:left w:val="single" w:sz="8" w:space="0" w:color="auto"/>
              <w:bottom w:val="single" w:sz="8" w:space="0" w:color="auto"/>
              <w:right w:val="single" w:sz="8" w:space="0" w:color="auto"/>
            </w:tcBorders>
            <w:shd w:val="clear" w:color="auto" w:fill="auto"/>
            <w:vAlign w:val="center"/>
          </w:tcPr>
          <w:p w:rsidR="00DD0D4B" w:rsidRPr="007D3889" w:rsidRDefault="00DD0D4B" w:rsidP="00796333">
            <w:pPr>
              <w:jc w:val="center"/>
              <w:rPr>
                <w:i/>
                <w:iCs/>
                <w:color w:val="000000"/>
                <w:sz w:val="20"/>
                <w:szCs w:val="20"/>
              </w:rPr>
            </w:pPr>
            <w:r w:rsidRPr="007D3889">
              <w:rPr>
                <w:i/>
                <w:iCs/>
                <w:color w:val="000000"/>
                <w:sz w:val="20"/>
                <w:szCs w:val="20"/>
              </w:rPr>
              <w:t>m</w:t>
            </w:r>
          </w:p>
        </w:tc>
        <w:tc>
          <w:tcPr>
            <w:tcW w:w="5525" w:type="dxa"/>
            <w:tcBorders>
              <w:top w:val="nil"/>
              <w:left w:val="nil"/>
              <w:bottom w:val="single" w:sz="8" w:space="0" w:color="auto"/>
              <w:right w:val="single" w:sz="8" w:space="0" w:color="auto"/>
            </w:tcBorders>
            <w:shd w:val="clear" w:color="auto" w:fill="auto"/>
            <w:vAlign w:val="center"/>
          </w:tcPr>
          <w:p w:rsidR="00DD0D4B" w:rsidRPr="007D3889" w:rsidRDefault="00DD0D4B" w:rsidP="00796333">
            <w:pPr>
              <w:pStyle w:val="TableText"/>
              <w:rPr>
                <w:rFonts w:ascii="Times New Roman" w:hAnsi="Times New Roman"/>
                <w:sz w:val="20"/>
                <w:szCs w:val="20"/>
              </w:rPr>
            </w:pPr>
            <w:r w:rsidRPr="007D3889">
              <w:rPr>
                <w:rFonts w:ascii="Times New Roman" w:hAnsi="Times New Roman"/>
                <w:sz w:val="20"/>
                <w:szCs w:val="20"/>
              </w:rPr>
              <w:t>Estimated parameters describing the average difference in load for that month from January</w:t>
            </w:r>
          </w:p>
        </w:tc>
      </w:tr>
      <w:tr w:rsidR="00DD0D4B" w:rsidRPr="008E103E" w:rsidTr="00796333">
        <w:trPr>
          <w:trHeight w:val="315"/>
          <w:jc w:val="center"/>
        </w:trPr>
        <w:tc>
          <w:tcPr>
            <w:tcW w:w="1180" w:type="dxa"/>
            <w:tcBorders>
              <w:top w:val="nil"/>
              <w:left w:val="single" w:sz="8" w:space="0" w:color="auto"/>
              <w:bottom w:val="single" w:sz="8" w:space="0" w:color="auto"/>
              <w:right w:val="single" w:sz="8" w:space="0" w:color="auto"/>
            </w:tcBorders>
            <w:shd w:val="clear" w:color="auto" w:fill="auto"/>
            <w:vAlign w:val="center"/>
            <w:hideMark/>
          </w:tcPr>
          <w:p w:rsidR="00DD0D4B" w:rsidRPr="007D3889" w:rsidRDefault="00DD0D4B" w:rsidP="00796333">
            <w:pPr>
              <w:jc w:val="center"/>
              <w:rPr>
                <w:i/>
                <w:iCs/>
                <w:color w:val="000000"/>
                <w:sz w:val="20"/>
                <w:szCs w:val="20"/>
              </w:rPr>
            </w:pPr>
            <w:r w:rsidRPr="007D3889">
              <w:rPr>
                <w:i/>
                <w:iCs/>
                <w:color w:val="000000"/>
                <w:sz w:val="20"/>
                <w:szCs w:val="20"/>
              </w:rPr>
              <w:t>mean17</w:t>
            </w:r>
          </w:p>
        </w:tc>
        <w:tc>
          <w:tcPr>
            <w:tcW w:w="5525" w:type="dxa"/>
            <w:tcBorders>
              <w:top w:val="nil"/>
              <w:left w:val="nil"/>
              <w:bottom w:val="single" w:sz="8" w:space="0" w:color="auto"/>
              <w:right w:val="single" w:sz="8" w:space="0" w:color="auto"/>
            </w:tcBorders>
            <w:shd w:val="clear" w:color="auto" w:fill="auto"/>
            <w:vAlign w:val="center"/>
            <w:hideMark/>
          </w:tcPr>
          <w:p w:rsidR="00DD0D4B" w:rsidRPr="007D3889" w:rsidRDefault="00DD0D4B" w:rsidP="00796333">
            <w:pPr>
              <w:pStyle w:val="TableText"/>
              <w:rPr>
                <w:rFonts w:ascii="Times New Roman" w:hAnsi="Times New Roman"/>
                <w:sz w:val="20"/>
                <w:szCs w:val="20"/>
              </w:rPr>
            </w:pPr>
            <w:r w:rsidRPr="007D3889">
              <w:rPr>
                <w:rFonts w:ascii="Times New Roman" w:hAnsi="Times New Roman"/>
                <w:sz w:val="20"/>
                <w:szCs w:val="20"/>
              </w:rPr>
              <w:t>Average temperature from  midnight to 5 PM</w:t>
            </w:r>
          </w:p>
        </w:tc>
      </w:tr>
      <w:tr w:rsidR="00DD0D4B" w:rsidRPr="008E103E" w:rsidTr="00796333">
        <w:trPr>
          <w:trHeight w:val="315"/>
          <w:jc w:val="center"/>
        </w:trPr>
        <w:tc>
          <w:tcPr>
            <w:tcW w:w="1180" w:type="dxa"/>
            <w:tcBorders>
              <w:top w:val="nil"/>
              <w:left w:val="single" w:sz="8" w:space="0" w:color="auto"/>
              <w:bottom w:val="single" w:sz="8" w:space="0" w:color="auto"/>
              <w:right w:val="single" w:sz="8" w:space="0" w:color="auto"/>
            </w:tcBorders>
            <w:shd w:val="clear" w:color="auto" w:fill="auto"/>
            <w:vAlign w:val="center"/>
          </w:tcPr>
          <w:p w:rsidR="00DD0D4B" w:rsidRPr="007D3889" w:rsidRDefault="00DD0D4B" w:rsidP="00796333">
            <w:pPr>
              <w:jc w:val="center"/>
              <w:rPr>
                <w:i/>
                <w:iCs/>
                <w:color w:val="000000"/>
                <w:sz w:val="20"/>
                <w:szCs w:val="20"/>
                <w:vertAlign w:val="superscript"/>
              </w:rPr>
            </w:pPr>
            <w:r w:rsidRPr="007D3889">
              <w:rPr>
                <w:i/>
                <w:iCs/>
                <w:color w:val="000000"/>
                <w:sz w:val="20"/>
                <w:szCs w:val="20"/>
              </w:rPr>
              <w:t>mean17</w:t>
            </w:r>
            <w:r w:rsidRPr="007D3889">
              <w:rPr>
                <w:i/>
                <w:iCs/>
                <w:color w:val="000000"/>
                <w:sz w:val="20"/>
                <w:szCs w:val="20"/>
                <w:vertAlign w:val="superscript"/>
              </w:rPr>
              <w:t>2</w:t>
            </w:r>
          </w:p>
        </w:tc>
        <w:tc>
          <w:tcPr>
            <w:tcW w:w="5525" w:type="dxa"/>
            <w:tcBorders>
              <w:top w:val="nil"/>
              <w:left w:val="nil"/>
              <w:bottom w:val="single" w:sz="8" w:space="0" w:color="auto"/>
              <w:right w:val="single" w:sz="8" w:space="0" w:color="auto"/>
            </w:tcBorders>
            <w:shd w:val="clear" w:color="auto" w:fill="auto"/>
            <w:vAlign w:val="center"/>
          </w:tcPr>
          <w:p w:rsidR="00DD0D4B" w:rsidRPr="007D3889" w:rsidRDefault="00DD0D4B" w:rsidP="00796333">
            <w:pPr>
              <w:pStyle w:val="TableText"/>
              <w:rPr>
                <w:rFonts w:ascii="Times New Roman" w:hAnsi="Times New Roman"/>
                <w:sz w:val="20"/>
                <w:szCs w:val="20"/>
              </w:rPr>
            </w:pPr>
            <w:r w:rsidRPr="007D3889">
              <w:rPr>
                <w:rFonts w:ascii="Times New Roman" w:hAnsi="Times New Roman"/>
                <w:sz w:val="20"/>
                <w:szCs w:val="20"/>
              </w:rPr>
              <w:t>Average temperature from  midnight to 5 PM, squared</w:t>
            </w:r>
          </w:p>
        </w:tc>
      </w:tr>
      <w:tr w:rsidR="00DD0D4B" w:rsidRPr="008E103E" w:rsidTr="00796333">
        <w:trPr>
          <w:trHeight w:val="376"/>
          <w:jc w:val="center"/>
        </w:trPr>
        <w:tc>
          <w:tcPr>
            <w:tcW w:w="1180" w:type="dxa"/>
            <w:tcBorders>
              <w:top w:val="nil"/>
              <w:left w:val="single" w:sz="8" w:space="0" w:color="auto"/>
              <w:bottom w:val="single" w:sz="8" w:space="0" w:color="auto"/>
              <w:right w:val="single" w:sz="8" w:space="0" w:color="auto"/>
            </w:tcBorders>
            <w:shd w:val="clear" w:color="auto" w:fill="auto"/>
            <w:vAlign w:val="center"/>
            <w:hideMark/>
          </w:tcPr>
          <w:p w:rsidR="00DD0D4B" w:rsidRPr="007D3889" w:rsidRDefault="00DD0D4B" w:rsidP="00796333">
            <w:pPr>
              <w:jc w:val="center"/>
              <w:rPr>
                <w:i/>
                <w:iCs/>
                <w:color w:val="000000"/>
                <w:sz w:val="20"/>
                <w:szCs w:val="20"/>
              </w:rPr>
            </w:pPr>
            <w:r w:rsidRPr="007D3889">
              <w:rPr>
                <w:i/>
                <w:iCs/>
                <w:color w:val="000000"/>
                <w:sz w:val="20"/>
                <w:szCs w:val="20"/>
              </w:rPr>
              <w:t>DOW</w:t>
            </w:r>
          </w:p>
        </w:tc>
        <w:tc>
          <w:tcPr>
            <w:tcW w:w="5525" w:type="dxa"/>
            <w:tcBorders>
              <w:top w:val="nil"/>
              <w:left w:val="nil"/>
              <w:bottom w:val="single" w:sz="8" w:space="0" w:color="auto"/>
              <w:right w:val="single" w:sz="8" w:space="0" w:color="auto"/>
            </w:tcBorders>
            <w:shd w:val="clear" w:color="auto" w:fill="auto"/>
            <w:vAlign w:val="center"/>
            <w:hideMark/>
          </w:tcPr>
          <w:p w:rsidR="00DD0D4B" w:rsidRPr="007D3889" w:rsidRDefault="00DD0D4B" w:rsidP="00796333">
            <w:pPr>
              <w:pStyle w:val="TableText"/>
              <w:rPr>
                <w:rFonts w:ascii="Times New Roman" w:hAnsi="Times New Roman"/>
                <w:sz w:val="20"/>
                <w:szCs w:val="20"/>
              </w:rPr>
            </w:pPr>
            <w:r w:rsidRPr="007D3889">
              <w:rPr>
                <w:rFonts w:ascii="Times New Roman" w:hAnsi="Times New Roman"/>
                <w:sz w:val="20"/>
                <w:szCs w:val="20"/>
              </w:rPr>
              <w:t>Dummy variable for each weekday (Monday not included)</w:t>
            </w:r>
          </w:p>
        </w:tc>
      </w:tr>
      <w:tr w:rsidR="00DD0D4B" w:rsidRPr="008E103E" w:rsidTr="00796333">
        <w:trPr>
          <w:trHeight w:val="259"/>
          <w:jc w:val="center"/>
        </w:trPr>
        <w:tc>
          <w:tcPr>
            <w:tcW w:w="1180" w:type="dxa"/>
            <w:tcBorders>
              <w:top w:val="nil"/>
              <w:left w:val="single" w:sz="8" w:space="0" w:color="auto"/>
              <w:bottom w:val="single" w:sz="8" w:space="0" w:color="auto"/>
              <w:right w:val="single" w:sz="8" w:space="0" w:color="auto"/>
            </w:tcBorders>
            <w:shd w:val="clear" w:color="auto" w:fill="auto"/>
            <w:vAlign w:val="center"/>
          </w:tcPr>
          <w:p w:rsidR="00DD0D4B" w:rsidRPr="007D3889" w:rsidRDefault="00DD0D4B" w:rsidP="00796333">
            <w:pPr>
              <w:jc w:val="center"/>
              <w:rPr>
                <w:i/>
                <w:iCs/>
                <w:color w:val="000000"/>
                <w:sz w:val="20"/>
                <w:szCs w:val="20"/>
              </w:rPr>
            </w:pPr>
            <w:r w:rsidRPr="007D3889">
              <w:rPr>
                <w:i/>
                <w:iCs/>
                <w:color w:val="000000"/>
                <w:sz w:val="20"/>
                <w:szCs w:val="20"/>
              </w:rPr>
              <w:t>Month</w:t>
            </w:r>
          </w:p>
        </w:tc>
        <w:tc>
          <w:tcPr>
            <w:tcW w:w="5525" w:type="dxa"/>
            <w:tcBorders>
              <w:top w:val="nil"/>
              <w:left w:val="nil"/>
              <w:bottom w:val="single" w:sz="8" w:space="0" w:color="auto"/>
              <w:right w:val="single" w:sz="8" w:space="0" w:color="auto"/>
            </w:tcBorders>
            <w:shd w:val="clear" w:color="auto" w:fill="auto"/>
            <w:vAlign w:val="center"/>
          </w:tcPr>
          <w:p w:rsidR="00DD0D4B" w:rsidRPr="007D3889" w:rsidRDefault="00DD0D4B" w:rsidP="00796333">
            <w:pPr>
              <w:pStyle w:val="TableText"/>
              <w:rPr>
                <w:rFonts w:ascii="Times New Roman" w:hAnsi="Times New Roman"/>
                <w:sz w:val="20"/>
                <w:szCs w:val="20"/>
              </w:rPr>
            </w:pPr>
            <w:r w:rsidRPr="007D3889">
              <w:rPr>
                <w:rFonts w:ascii="Times New Roman" w:hAnsi="Times New Roman"/>
                <w:sz w:val="20"/>
                <w:szCs w:val="20"/>
              </w:rPr>
              <w:t>Dummy variable for each month (January not included)</w:t>
            </w:r>
          </w:p>
        </w:tc>
      </w:tr>
      <w:tr w:rsidR="00DD0D4B" w:rsidRPr="008E103E" w:rsidTr="00796333">
        <w:trPr>
          <w:trHeight w:val="495"/>
          <w:jc w:val="center"/>
        </w:trPr>
        <w:tc>
          <w:tcPr>
            <w:tcW w:w="1180" w:type="dxa"/>
            <w:tcBorders>
              <w:top w:val="nil"/>
              <w:left w:val="single" w:sz="8" w:space="0" w:color="auto"/>
              <w:bottom w:val="single" w:sz="8" w:space="0" w:color="auto"/>
              <w:right w:val="single" w:sz="8" w:space="0" w:color="auto"/>
            </w:tcBorders>
            <w:shd w:val="clear" w:color="auto" w:fill="auto"/>
            <w:vAlign w:val="center"/>
            <w:hideMark/>
          </w:tcPr>
          <w:p w:rsidR="00DD0D4B" w:rsidRPr="007D3889" w:rsidRDefault="00DD0D4B" w:rsidP="00796333">
            <w:pPr>
              <w:jc w:val="center"/>
              <w:rPr>
                <w:i/>
                <w:iCs/>
                <w:color w:val="000000"/>
                <w:sz w:val="20"/>
                <w:szCs w:val="20"/>
              </w:rPr>
            </w:pPr>
            <w:r w:rsidRPr="007D3889">
              <w:rPr>
                <w:i/>
                <w:iCs/>
                <w:color w:val="000000"/>
                <w:sz w:val="20"/>
                <w:szCs w:val="20"/>
              </w:rPr>
              <w:t>Ɛ</w:t>
            </w:r>
          </w:p>
        </w:tc>
        <w:tc>
          <w:tcPr>
            <w:tcW w:w="5525" w:type="dxa"/>
            <w:tcBorders>
              <w:top w:val="nil"/>
              <w:left w:val="nil"/>
              <w:bottom w:val="single" w:sz="8" w:space="0" w:color="auto"/>
              <w:right w:val="single" w:sz="8" w:space="0" w:color="auto"/>
            </w:tcBorders>
            <w:shd w:val="clear" w:color="auto" w:fill="auto"/>
            <w:vAlign w:val="center"/>
            <w:hideMark/>
          </w:tcPr>
          <w:p w:rsidR="00DD0D4B" w:rsidRPr="007D3889" w:rsidRDefault="00DD0D4B" w:rsidP="00796333">
            <w:pPr>
              <w:pStyle w:val="TableText"/>
              <w:rPr>
                <w:rFonts w:ascii="Times New Roman" w:hAnsi="Times New Roman"/>
                <w:sz w:val="20"/>
                <w:szCs w:val="20"/>
              </w:rPr>
            </w:pPr>
            <w:r w:rsidRPr="007D3889">
              <w:rPr>
                <w:rFonts w:ascii="Times New Roman" w:hAnsi="Times New Roman"/>
                <w:sz w:val="20"/>
                <w:szCs w:val="20"/>
              </w:rPr>
              <w:t>The error term, assumed to be a mean zero and uncorrelated with any of the independent variables</w:t>
            </w:r>
          </w:p>
        </w:tc>
      </w:tr>
      <w:tr w:rsidR="00DD0D4B" w:rsidRPr="00981BF8" w:rsidTr="00796333">
        <w:trPr>
          <w:trHeight w:val="214"/>
          <w:jc w:val="center"/>
        </w:trPr>
        <w:tc>
          <w:tcPr>
            <w:tcW w:w="1180" w:type="dxa"/>
            <w:tcBorders>
              <w:top w:val="nil"/>
              <w:left w:val="single" w:sz="8" w:space="0" w:color="auto"/>
              <w:bottom w:val="single" w:sz="8" w:space="0" w:color="auto"/>
              <w:right w:val="single" w:sz="8" w:space="0" w:color="auto"/>
            </w:tcBorders>
            <w:shd w:val="clear" w:color="auto" w:fill="auto"/>
            <w:vAlign w:val="center"/>
          </w:tcPr>
          <w:p w:rsidR="00DD0D4B" w:rsidRPr="007D3889" w:rsidRDefault="00DD0D4B" w:rsidP="00796333">
            <w:pPr>
              <w:jc w:val="center"/>
              <w:rPr>
                <w:i/>
                <w:iCs/>
                <w:color w:val="000000"/>
                <w:sz w:val="20"/>
                <w:szCs w:val="20"/>
              </w:rPr>
            </w:pPr>
            <w:r w:rsidRPr="007D3889">
              <w:rPr>
                <w:i/>
                <w:iCs/>
                <w:color w:val="000000"/>
                <w:sz w:val="20"/>
                <w:szCs w:val="20"/>
              </w:rPr>
              <w:t>d</w:t>
            </w:r>
          </w:p>
        </w:tc>
        <w:tc>
          <w:tcPr>
            <w:tcW w:w="5525" w:type="dxa"/>
            <w:tcBorders>
              <w:top w:val="nil"/>
              <w:left w:val="nil"/>
              <w:bottom w:val="single" w:sz="8" w:space="0" w:color="auto"/>
              <w:right w:val="single" w:sz="8" w:space="0" w:color="auto"/>
            </w:tcBorders>
            <w:shd w:val="clear" w:color="auto" w:fill="auto"/>
            <w:vAlign w:val="center"/>
          </w:tcPr>
          <w:p w:rsidR="00DD0D4B" w:rsidRPr="007D3889" w:rsidRDefault="00DD0D4B" w:rsidP="00796333">
            <w:pPr>
              <w:pStyle w:val="TableText"/>
              <w:rPr>
                <w:rFonts w:ascii="Times New Roman" w:hAnsi="Times New Roman"/>
                <w:sz w:val="20"/>
                <w:szCs w:val="20"/>
              </w:rPr>
            </w:pPr>
            <w:r w:rsidRPr="007D3889">
              <w:rPr>
                <w:rFonts w:ascii="Times New Roman" w:hAnsi="Times New Roman"/>
                <w:sz w:val="20"/>
                <w:szCs w:val="20"/>
              </w:rPr>
              <w:t>Indexes event days within a given segment</w:t>
            </w:r>
          </w:p>
        </w:tc>
      </w:tr>
      <w:tr w:rsidR="00DD0D4B" w:rsidRPr="00981BF8" w:rsidTr="00796333">
        <w:trPr>
          <w:trHeight w:val="358"/>
          <w:jc w:val="center"/>
        </w:trPr>
        <w:tc>
          <w:tcPr>
            <w:tcW w:w="1180" w:type="dxa"/>
            <w:tcBorders>
              <w:top w:val="nil"/>
              <w:left w:val="single" w:sz="8" w:space="0" w:color="auto"/>
              <w:bottom w:val="single" w:sz="8" w:space="0" w:color="auto"/>
              <w:right w:val="single" w:sz="8" w:space="0" w:color="auto"/>
            </w:tcBorders>
            <w:shd w:val="clear" w:color="auto" w:fill="auto"/>
            <w:vAlign w:val="center"/>
          </w:tcPr>
          <w:p w:rsidR="00DD0D4B" w:rsidRPr="007D3889" w:rsidRDefault="00DD0D4B" w:rsidP="00796333">
            <w:pPr>
              <w:jc w:val="center"/>
              <w:rPr>
                <w:i/>
                <w:iCs/>
                <w:color w:val="000000"/>
                <w:sz w:val="20"/>
                <w:szCs w:val="20"/>
              </w:rPr>
            </w:pPr>
            <w:r w:rsidRPr="007D3889">
              <w:rPr>
                <w:i/>
                <w:iCs/>
                <w:color w:val="000000"/>
                <w:sz w:val="20"/>
                <w:szCs w:val="20"/>
              </w:rPr>
              <w:t>day</w:t>
            </w:r>
          </w:p>
        </w:tc>
        <w:tc>
          <w:tcPr>
            <w:tcW w:w="5525" w:type="dxa"/>
            <w:tcBorders>
              <w:top w:val="nil"/>
              <w:left w:val="nil"/>
              <w:bottom w:val="single" w:sz="8" w:space="0" w:color="auto"/>
              <w:right w:val="single" w:sz="8" w:space="0" w:color="auto"/>
            </w:tcBorders>
            <w:shd w:val="clear" w:color="auto" w:fill="auto"/>
            <w:vAlign w:val="center"/>
          </w:tcPr>
          <w:p w:rsidR="00DD0D4B" w:rsidRPr="007D3889" w:rsidRDefault="00DD0D4B" w:rsidP="00796333">
            <w:pPr>
              <w:pStyle w:val="TableText"/>
              <w:rPr>
                <w:rFonts w:ascii="Times New Roman" w:hAnsi="Times New Roman"/>
                <w:sz w:val="20"/>
                <w:szCs w:val="20"/>
              </w:rPr>
            </w:pPr>
            <w:r w:rsidRPr="007D3889">
              <w:rPr>
                <w:rFonts w:ascii="Times New Roman" w:hAnsi="Times New Roman"/>
                <w:sz w:val="20"/>
                <w:szCs w:val="20"/>
              </w:rPr>
              <w:t>Indexes weekday</w:t>
            </w:r>
          </w:p>
        </w:tc>
      </w:tr>
      <w:tr w:rsidR="00DD0D4B" w:rsidRPr="00981BF8" w:rsidTr="00796333">
        <w:trPr>
          <w:trHeight w:val="340"/>
          <w:jc w:val="center"/>
        </w:trPr>
        <w:tc>
          <w:tcPr>
            <w:tcW w:w="1180" w:type="dxa"/>
            <w:tcBorders>
              <w:top w:val="nil"/>
              <w:left w:val="single" w:sz="8" w:space="0" w:color="auto"/>
              <w:bottom w:val="single" w:sz="8" w:space="0" w:color="auto"/>
              <w:right w:val="single" w:sz="8" w:space="0" w:color="auto"/>
            </w:tcBorders>
            <w:shd w:val="clear" w:color="auto" w:fill="auto"/>
            <w:vAlign w:val="center"/>
            <w:hideMark/>
          </w:tcPr>
          <w:p w:rsidR="00DD0D4B" w:rsidRPr="007D3889" w:rsidRDefault="00DD0D4B" w:rsidP="00796333">
            <w:pPr>
              <w:jc w:val="center"/>
              <w:rPr>
                <w:i/>
                <w:iCs/>
                <w:color w:val="000000"/>
                <w:sz w:val="20"/>
                <w:szCs w:val="20"/>
              </w:rPr>
            </w:pPr>
            <w:r w:rsidRPr="007D3889">
              <w:rPr>
                <w:i/>
                <w:iCs/>
                <w:color w:val="000000"/>
                <w:sz w:val="20"/>
                <w:szCs w:val="20"/>
              </w:rPr>
              <w:t>month</w:t>
            </w:r>
          </w:p>
        </w:tc>
        <w:tc>
          <w:tcPr>
            <w:tcW w:w="5525" w:type="dxa"/>
            <w:tcBorders>
              <w:top w:val="nil"/>
              <w:left w:val="nil"/>
              <w:bottom w:val="single" w:sz="8" w:space="0" w:color="auto"/>
              <w:right w:val="single" w:sz="8" w:space="0" w:color="auto"/>
            </w:tcBorders>
            <w:shd w:val="clear" w:color="auto" w:fill="auto"/>
            <w:vAlign w:val="center"/>
            <w:hideMark/>
          </w:tcPr>
          <w:p w:rsidR="00DD0D4B" w:rsidRPr="007D3889" w:rsidRDefault="00DD0D4B" w:rsidP="00796333">
            <w:pPr>
              <w:pStyle w:val="TableText"/>
              <w:rPr>
                <w:rFonts w:ascii="Times New Roman" w:hAnsi="Times New Roman"/>
                <w:sz w:val="20"/>
                <w:szCs w:val="20"/>
              </w:rPr>
            </w:pPr>
            <w:r w:rsidRPr="007D3889">
              <w:rPr>
                <w:rFonts w:ascii="Times New Roman" w:hAnsi="Times New Roman"/>
                <w:sz w:val="20"/>
                <w:szCs w:val="20"/>
              </w:rPr>
              <w:t>Indexes month</w:t>
            </w:r>
          </w:p>
        </w:tc>
      </w:tr>
    </w:tbl>
    <w:p w:rsidR="00DD0D4B" w:rsidRDefault="00DD0D4B" w:rsidP="00DD0D4B">
      <w:pPr>
        <w:pStyle w:val="Caption"/>
        <w:spacing w:after="240"/>
        <w:jc w:val="center"/>
        <w:rPr>
          <w:sz w:val="22"/>
          <w:szCs w:val="22"/>
        </w:rPr>
      </w:pPr>
    </w:p>
    <w:p w:rsidR="00DD0D4B" w:rsidRPr="00226C2E" w:rsidRDefault="00DD0D4B" w:rsidP="00DD0D4B">
      <w:pPr>
        <w:pStyle w:val="Caption"/>
        <w:spacing w:after="240"/>
        <w:jc w:val="center"/>
        <w:rPr>
          <w:sz w:val="22"/>
          <w:szCs w:val="22"/>
        </w:rPr>
      </w:pPr>
      <w:r w:rsidRPr="00226C2E">
        <w:rPr>
          <w:sz w:val="22"/>
          <w:szCs w:val="22"/>
        </w:rPr>
        <w:t xml:space="preserve">Equation </w:t>
      </w:r>
      <w:r w:rsidRPr="00226C2E">
        <w:rPr>
          <w:sz w:val="22"/>
          <w:szCs w:val="22"/>
        </w:rPr>
        <w:fldChar w:fldCharType="begin"/>
      </w:r>
      <w:r w:rsidRPr="00226C2E">
        <w:rPr>
          <w:sz w:val="22"/>
          <w:szCs w:val="22"/>
        </w:rPr>
        <w:instrText xml:space="preserve"> STYLEREF 1 \s </w:instrText>
      </w:r>
      <w:r w:rsidRPr="00226C2E">
        <w:rPr>
          <w:sz w:val="22"/>
          <w:szCs w:val="22"/>
        </w:rPr>
        <w:fldChar w:fldCharType="separate"/>
      </w:r>
      <w:r w:rsidR="008A6A2B">
        <w:rPr>
          <w:noProof/>
          <w:sz w:val="22"/>
          <w:szCs w:val="22"/>
        </w:rPr>
        <w:t>10</w:t>
      </w:r>
      <w:r w:rsidRPr="00226C2E">
        <w:rPr>
          <w:noProof/>
          <w:sz w:val="22"/>
          <w:szCs w:val="22"/>
        </w:rPr>
        <w:fldChar w:fldCharType="end"/>
      </w:r>
      <w:r w:rsidRPr="00226C2E">
        <w:rPr>
          <w:sz w:val="22"/>
          <w:szCs w:val="22"/>
        </w:rPr>
        <w:noBreakHyphen/>
      </w:r>
      <w:r w:rsidRPr="00226C2E">
        <w:rPr>
          <w:sz w:val="22"/>
          <w:szCs w:val="22"/>
        </w:rPr>
        <w:fldChar w:fldCharType="begin"/>
      </w:r>
      <w:r w:rsidRPr="00226C2E">
        <w:rPr>
          <w:sz w:val="22"/>
          <w:szCs w:val="22"/>
        </w:rPr>
        <w:instrText xml:space="preserve"> SEQ Equation \* ARABIC \s 1 </w:instrText>
      </w:r>
      <w:r w:rsidRPr="00226C2E">
        <w:rPr>
          <w:sz w:val="22"/>
          <w:szCs w:val="22"/>
        </w:rPr>
        <w:fldChar w:fldCharType="separate"/>
      </w:r>
      <w:r w:rsidR="008A6A2B">
        <w:rPr>
          <w:noProof/>
          <w:sz w:val="22"/>
          <w:szCs w:val="22"/>
        </w:rPr>
        <w:t>4</w:t>
      </w:r>
      <w:r w:rsidRPr="00226C2E">
        <w:rPr>
          <w:noProof/>
          <w:sz w:val="22"/>
          <w:szCs w:val="22"/>
        </w:rPr>
        <w:fldChar w:fldCharType="end"/>
      </w:r>
      <w:r w:rsidR="007D3889">
        <w:rPr>
          <w:noProof/>
          <w:sz w:val="22"/>
          <w:szCs w:val="22"/>
        </w:rPr>
        <w:t>:</w:t>
      </w:r>
      <w:r w:rsidRPr="00226C2E">
        <w:rPr>
          <w:sz w:val="22"/>
          <w:szCs w:val="22"/>
        </w:rPr>
        <w:t xml:space="preserve"> Summer Saver Load Impact </w:t>
      </w:r>
      <w:r w:rsidR="008C46A8">
        <w:rPr>
          <w:sz w:val="22"/>
          <w:szCs w:val="22"/>
        </w:rPr>
        <w:t>Ex-Ante</w:t>
      </w:r>
      <w:r w:rsidRPr="00226C2E">
        <w:rPr>
          <w:sz w:val="22"/>
          <w:szCs w:val="22"/>
        </w:rPr>
        <w:t xml:space="preserve"> Regression Model Specification</w:t>
      </w:r>
    </w:p>
    <w:p w:rsidR="00DD0D4B" w:rsidRPr="00226C2E" w:rsidRDefault="0024252A" w:rsidP="00DD0D4B">
      <w:pPr>
        <w:pStyle w:val="BodyParagraph"/>
        <w:jc w:val="center"/>
        <w:rPr>
          <w:rFonts w:ascii="Times New Roman" w:hAnsi="Times New Roman"/>
          <w:sz w:val="22"/>
        </w:rPr>
      </w:pPr>
      <m:oMathPara>
        <m:oMath>
          <m:sSub>
            <m:sSubPr>
              <m:ctrlPr>
                <w:rPr>
                  <w:rFonts w:ascii="Cambria Math" w:hAnsi="Cambria Math"/>
                  <w:i/>
                  <w:sz w:val="22"/>
                </w:rPr>
              </m:ctrlPr>
            </m:sSubPr>
            <m:e>
              <m:r>
                <w:rPr>
                  <w:rFonts w:ascii="Cambria Math" w:hAnsi="Cambria Math"/>
                  <w:sz w:val="22"/>
                </w:rPr>
                <m:t>impact</m:t>
              </m:r>
            </m:e>
            <m:sub>
              <m:r>
                <w:rPr>
                  <w:rFonts w:ascii="Cambria Math" w:hAnsi="Cambria Math"/>
                  <w:sz w:val="22"/>
                </w:rPr>
                <m:t>t</m:t>
              </m:r>
            </m:sub>
          </m:sSub>
          <m:r>
            <w:rPr>
              <w:rFonts w:ascii="Cambria Math" w:hAnsi="Cambria Math"/>
              <w:sz w:val="22"/>
            </w:rPr>
            <m:t>=a+b</m:t>
          </m:r>
          <m:sSub>
            <m:sSubPr>
              <m:ctrlPr>
                <w:rPr>
                  <w:rFonts w:ascii="Cambria Math" w:hAnsi="Cambria Math"/>
                  <w:sz w:val="22"/>
                </w:rPr>
              </m:ctrlPr>
            </m:sSubPr>
            <m:e>
              <m:r>
                <w:rPr>
                  <w:rFonts w:ascii="Cambria Math" w:hAnsi="Cambria Math"/>
                  <w:sz w:val="22"/>
                </w:rPr>
                <m:t>∙</m:t>
              </m:r>
              <m:sSub>
                <m:sSubPr>
                  <m:ctrlPr>
                    <w:rPr>
                      <w:rFonts w:ascii="Cambria Math" w:hAnsi="Cambria Math"/>
                      <w:i/>
                      <w:sz w:val="22"/>
                    </w:rPr>
                  </m:ctrlPr>
                </m:sSubPr>
                <m:e>
                  <m:r>
                    <w:rPr>
                      <w:rFonts w:ascii="Cambria Math" w:hAnsi="Cambria Math"/>
                      <w:sz w:val="22"/>
                    </w:rPr>
                    <m:t>mean17</m:t>
                  </m:r>
                </m:e>
                <m:sub>
                  <m:r>
                    <w:rPr>
                      <w:rFonts w:ascii="Cambria Math" w:hAnsi="Cambria Math"/>
                      <w:sz w:val="22"/>
                    </w:rPr>
                    <m:t>t</m:t>
                  </m:r>
                </m:sub>
              </m:sSub>
            </m:e>
            <m:sub>
              <m:r>
                <m:rPr>
                  <m:sty m:val="p"/>
                </m:rPr>
                <w:rPr>
                  <w:rFonts w:ascii="Cambria Math" w:hAnsi="Cambria Math"/>
                  <w:sz w:val="22"/>
                </w:rPr>
                <m:t xml:space="preserve"> </m:t>
              </m:r>
            </m:sub>
          </m:sSub>
          <m:r>
            <m:rPr>
              <m:sty m:val="p"/>
            </m:rPr>
            <w:rPr>
              <w:rFonts w:ascii="Cambria Math" w:hAnsi="Cambria Math"/>
              <w:sz w:val="22"/>
            </w:rPr>
            <m:t>+</m:t>
          </m:r>
          <m:sSub>
            <m:sSubPr>
              <m:ctrlPr>
                <w:rPr>
                  <w:rFonts w:ascii="Cambria Math" w:hAnsi="Cambria Math"/>
                  <w:sz w:val="22"/>
                </w:rPr>
              </m:ctrlPr>
            </m:sSubPr>
            <m:e>
              <m:r>
                <m:rPr>
                  <m:sty m:val="p"/>
                </m:rPr>
                <w:rPr>
                  <w:rFonts w:ascii="Cambria Math" w:hAnsi="Cambria Math"/>
                  <w:sz w:val="22"/>
                </w:rPr>
                <m:t>ε</m:t>
              </m:r>
            </m:e>
            <m:sub>
              <m:r>
                <w:rPr>
                  <w:rFonts w:ascii="Cambria Math" w:hAnsi="Cambria Math"/>
                  <w:sz w:val="22"/>
                </w:rPr>
                <m:t>t</m:t>
              </m:r>
            </m:sub>
          </m:sSub>
        </m:oMath>
      </m:oMathPara>
    </w:p>
    <w:p w:rsidR="00DD0D4B" w:rsidRPr="00226C2E" w:rsidRDefault="00DD0D4B" w:rsidP="007D3889">
      <w:pPr>
        <w:pStyle w:val="Caption"/>
        <w:spacing w:after="120"/>
        <w:jc w:val="center"/>
        <w:rPr>
          <w:sz w:val="22"/>
          <w:szCs w:val="22"/>
        </w:rPr>
      </w:pPr>
      <w:bookmarkStart w:id="303" w:name="_Ref445991870"/>
      <w:r w:rsidRPr="00226C2E">
        <w:rPr>
          <w:sz w:val="22"/>
          <w:szCs w:val="22"/>
        </w:rPr>
        <w:t xml:space="preserve">Table </w:t>
      </w:r>
      <w:r w:rsidRPr="00226C2E">
        <w:rPr>
          <w:sz w:val="22"/>
          <w:szCs w:val="22"/>
        </w:rPr>
        <w:fldChar w:fldCharType="begin"/>
      </w:r>
      <w:r w:rsidRPr="00226C2E">
        <w:rPr>
          <w:sz w:val="22"/>
          <w:szCs w:val="22"/>
        </w:rPr>
        <w:instrText xml:space="preserve"> STYLEREF 1 \s </w:instrText>
      </w:r>
      <w:r w:rsidRPr="00226C2E">
        <w:rPr>
          <w:sz w:val="22"/>
          <w:szCs w:val="22"/>
        </w:rPr>
        <w:fldChar w:fldCharType="separate"/>
      </w:r>
      <w:r w:rsidR="008A6A2B">
        <w:rPr>
          <w:noProof/>
          <w:sz w:val="22"/>
          <w:szCs w:val="22"/>
        </w:rPr>
        <w:t>10</w:t>
      </w:r>
      <w:r w:rsidRPr="00226C2E">
        <w:rPr>
          <w:sz w:val="22"/>
          <w:szCs w:val="22"/>
        </w:rPr>
        <w:fldChar w:fldCharType="end"/>
      </w:r>
      <w:r w:rsidRPr="00226C2E">
        <w:rPr>
          <w:sz w:val="22"/>
          <w:szCs w:val="22"/>
        </w:rPr>
        <w:noBreakHyphen/>
      </w:r>
      <w:r w:rsidRPr="00226C2E">
        <w:rPr>
          <w:sz w:val="22"/>
          <w:szCs w:val="22"/>
        </w:rPr>
        <w:fldChar w:fldCharType="begin"/>
      </w:r>
      <w:r w:rsidRPr="00226C2E">
        <w:rPr>
          <w:sz w:val="22"/>
          <w:szCs w:val="22"/>
        </w:rPr>
        <w:instrText xml:space="preserve"> SEQ Table \* ARABIC \s 1 </w:instrText>
      </w:r>
      <w:r w:rsidRPr="00226C2E">
        <w:rPr>
          <w:sz w:val="22"/>
          <w:szCs w:val="22"/>
        </w:rPr>
        <w:fldChar w:fldCharType="separate"/>
      </w:r>
      <w:r w:rsidR="008A6A2B">
        <w:rPr>
          <w:noProof/>
          <w:sz w:val="22"/>
          <w:szCs w:val="22"/>
        </w:rPr>
        <w:t>6</w:t>
      </w:r>
      <w:r w:rsidRPr="00226C2E">
        <w:rPr>
          <w:sz w:val="22"/>
          <w:szCs w:val="22"/>
        </w:rPr>
        <w:fldChar w:fldCharType="end"/>
      </w:r>
      <w:bookmarkEnd w:id="303"/>
      <w:r w:rsidR="0024252A">
        <w:rPr>
          <w:sz w:val="22"/>
          <w:szCs w:val="22"/>
        </w:rPr>
        <w:t>:</w:t>
      </w:r>
      <w:r w:rsidRPr="00226C2E">
        <w:rPr>
          <w:sz w:val="22"/>
          <w:szCs w:val="22"/>
        </w:rPr>
        <w:t xml:space="preserve"> Description of </w:t>
      </w:r>
      <w:r w:rsidR="008C46A8">
        <w:rPr>
          <w:sz w:val="22"/>
          <w:szCs w:val="22"/>
        </w:rPr>
        <w:t>Ex-Ante</w:t>
      </w:r>
      <w:r w:rsidRPr="00226C2E">
        <w:rPr>
          <w:sz w:val="22"/>
          <w:szCs w:val="22"/>
        </w:rPr>
        <w:t xml:space="preserve"> Reference Load Regression Variables</w:t>
      </w:r>
    </w:p>
    <w:tbl>
      <w:tblPr>
        <w:tblW w:w="6548" w:type="dxa"/>
        <w:jc w:val="center"/>
        <w:tblLook w:val="04A0" w:firstRow="1" w:lastRow="0" w:firstColumn="1" w:lastColumn="0" w:noHBand="0" w:noVBand="1"/>
      </w:tblPr>
      <w:tblGrid>
        <w:gridCol w:w="1180"/>
        <w:gridCol w:w="5368"/>
      </w:tblGrid>
      <w:tr w:rsidR="00DD0D4B" w:rsidRPr="00226C2E" w:rsidTr="00796333">
        <w:trPr>
          <w:trHeight w:val="315"/>
          <w:jc w:val="center"/>
        </w:trPr>
        <w:tc>
          <w:tcPr>
            <w:tcW w:w="1180" w:type="dxa"/>
            <w:tcBorders>
              <w:top w:val="single" w:sz="8" w:space="0" w:color="auto"/>
              <w:left w:val="single" w:sz="8" w:space="0" w:color="auto"/>
              <w:bottom w:val="single" w:sz="8" w:space="0" w:color="auto"/>
              <w:right w:val="single" w:sz="8" w:space="0" w:color="FFFFFF"/>
            </w:tcBorders>
            <w:shd w:val="clear" w:color="auto" w:fill="1F497D" w:themeFill="text2"/>
            <w:vAlign w:val="center"/>
            <w:hideMark/>
          </w:tcPr>
          <w:p w:rsidR="00DD0D4B" w:rsidRPr="00226C2E" w:rsidRDefault="00DD0D4B" w:rsidP="00796333">
            <w:pPr>
              <w:pStyle w:val="TableHeader"/>
              <w:keepNext/>
              <w:rPr>
                <w:rFonts w:ascii="Times New Roman" w:hAnsi="Times New Roman"/>
                <w:sz w:val="22"/>
              </w:rPr>
            </w:pPr>
            <w:r w:rsidRPr="00226C2E">
              <w:rPr>
                <w:rFonts w:ascii="Times New Roman" w:hAnsi="Times New Roman"/>
                <w:sz w:val="22"/>
              </w:rPr>
              <w:t>Variable</w:t>
            </w:r>
          </w:p>
        </w:tc>
        <w:tc>
          <w:tcPr>
            <w:tcW w:w="5368" w:type="dxa"/>
            <w:tcBorders>
              <w:top w:val="single" w:sz="8" w:space="0" w:color="auto"/>
              <w:left w:val="nil"/>
              <w:bottom w:val="single" w:sz="8" w:space="0" w:color="auto"/>
              <w:right w:val="single" w:sz="8" w:space="0" w:color="auto"/>
            </w:tcBorders>
            <w:shd w:val="clear" w:color="auto" w:fill="1F497D" w:themeFill="text2"/>
            <w:vAlign w:val="center"/>
            <w:hideMark/>
          </w:tcPr>
          <w:p w:rsidR="00DD0D4B" w:rsidRPr="00226C2E" w:rsidRDefault="00DD0D4B" w:rsidP="00796333">
            <w:pPr>
              <w:pStyle w:val="TableHeader"/>
              <w:keepNext/>
              <w:rPr>
                <w:rFonts w:ascii="Times New Roman" w:hAnsi="Times New Roman"/>
                <w:sz w:val="22"/>
              </w:rPr>
            </w:pPr>
            <w:r w:rsidRPr="00226C2E">
              <w:rPr>
                <w:rFonts w:ascii="Times New Roman" w:hAnsi="Times New Roman"/>
                <w:sz w:val="22"/>
              </w:rPr>
              <w:t>Description</w:t>
            </w:r>
          </w:p>
        </w:tc>
      </w:tr>
      <w:tr w:rsidR="00DD0D4B" w:rsidRPr="00226C2E" w:rsidTr="00796333">
        <w:trPr>
          <w:trHeight w:val="495"/>
          <w:jc w:val="center"/>
        </w:trPr>
        <w:tc>
          <w:tcPr>
            <w:tcW w:w="1180" w:type="dxa"/>
            <w:tcBorders>
              <w:top w:val="nil"/>
              <w:left w:val="single" w:sz="8" w:space="0" w:color="auto"/>
              <w:bottom w:val="single" w:sz="8" w:space="0" w:color="auto"/>
              <w:right w:val="single" w:sz="8" w:space="0" w:color="auto"/>
            </w:tcBorders>
            <w:shd w:val="clear" w:color="000000" w:fill="FFFFFF"/>
            <w:vAlign w:val="center"/>
            <w:hideMark/>
          </w:tcPr>
          <w:p w:rsidR="00DD0D4B" w:rsidRPr="007D3889" w:rsidRDefault="00DD0D4B" w:rsidP="00796333">
            <w:pPr>
              <w:keepNext/>
              <w:jc w:val="center"/>
              <w:rPr>
                <w:i/>
                <w:iCs/>
                <w:color w:val="000000"/>
                <w:sz w:val="20"/>
                <w:szCs w:val="20"/>
              </w:rPr>
            </w:pPr>
            <w:r w:rsidRPr="007D3889">
              <w:rPr>
                <w:i/>
                <w:iCs/>
                <w:color w:val="000000"/>
                <w:sz w:val="20"/>
                <w:szCs w:val="20"/>
              </w:rPr>
              <w:t>impact</w:t>
            </w:r>
          </w:p>
        </w:tc>
        <w:tc>
          <w:tcPr>
            <w:tcW w:w="5368" w:type="dxa"/>
            <w:tcBorders>
              <w:top w:val="nil"/>
              <w:left w:val="nil"/>
              <w:bottom w:val="single" w:sz="8" w:space="0" w:color="auto"/>
              <w:right w:val="single" w:sz="8" w:space="0" w:color="auto"/>
            </w:tcBorders>
            <w:shd w:val="clear" w:color="000000" w:fill="FFFFFF"/>
            <w:vAlign w:val="center"/>
            <w:hideMark/>
          </w:tcPr>
          <w:p w:rsidR="00DD0D4B" w:rsidRPr="007D3889" w:rsidRDefault="00DD0D4B" w:rsidP="00796333">
            <w:pPr>
              <w:pStyle w:val="TableText"/>
              <w:keepNext/>
              <w:rPr>
                <w:rFonts w:ascii="Times New Roman" w:hAnsi="Times New Roman"/>
                <w:sz w:val="20"/>
                <w:szCs w:val="20"/>
              </w:rPr>
            </w:pPr>
            <w:r w:rsidRPr="007D3889">
              <w:rPr>
                <w:rFonts w:ascii="Times New Roman" w:hAnsi="Times New Roman"/>
                <w:sz w:val="20"/>
                <w:szCs w:val="20"/>
              </w:rPr>
              <w:t xml:space="preserve">Per customer </w:t>
            </w:r>
            <w:r w:rsidR="008C46A8">
              <w:rPr>
                <w:rFonts w:ascii="Times New Roman" w:hAnsi="Times New Roman"/>
                <w:sz w:val="20"/>
                <w:szCs w:val="20"/>
              </w:rPr>
              <w:t>ex-post</w:t>
            </w:r>
            <w:r w:rsidRPr="007D3889">
              <w:rPr>
                <w:rFonts w:ascii="Times New Roman" w:hAnsi="Times New Roman"/>
                <w:sz w:val="20"/>
                <w:szCs w:val="20"/>
              </w:rPr>
              <w:t xml:space="preserve"> load impact (kW) for each event day</w:t>
            </w:r>
          </w:p>
        </w:tc>
      </w:tr>
      <w:tr w:rsidR="00DD0D4B" w:rsidRPr="00226C2E" w:rsidTr="00796333">
        <w:trPr>
          <w:trHeight w:val="315"/>
          <w:jc w:val="center"/>
        </w:trPr>
        <w:tc>
          <w:tcPr>
            <w:tcW w:w="1180" w:type="dxa"/>
            <w:tcBorders>
              <w:top w:val="nil"/>
              <w:left w:val="single" w:sz="8" w:space="0" w:color="auto"/>
              <w:bottom w:val="single" w:sz="8" w:space="0" w:color="auto"/>
              <w:right w:val="single" w:sz="8" w:space="0" w:color="auto"/>
            </w:tcBorders>
            <w:shd w:val="clear" w:color="000000" w:fill="FFFFFF"/>
            <w:vAlign w:val="center"/>
            <w:hideMark/>
          </w:tcPr>
          <w:p w:rsidR="00DD0D4B" w:rsidRPr="007D3889" w:rsidRDefault="00DD0D4B" w:rsidP="00796333">
            <w:pPr>
              <w:keepNext/>
              <w:jc w:val="center"/>
              <w:rPr>
                <w:i/>
                <w:iCs/>
                <w:color w:val="000000"/>
                <w:sz w:val="20"/>
                <w:szCs w:val="20"/>
              </w:rPr>
            </w:pPr>
            <w:r w:rsidRPr="007D3889">
              <w:rPr>
                <w:i/>
                <w:iCs/>
                <w:color w:val="000000"/>
                <w:sz w:val="20"/>
                <w:szCs w:val="20"/>
              </w:rPr>
              <w:t>a</w:t>
            </w:r>
          </w:p>
        </w:tc>
        <w:tc>
          <w:tcPr>
            <w:tcW w:w="5368" w:type="dxa"/>
            <w:tcBorders>
              <w:top w:val="nil"/>
              <w:left w:val="nil"/>
              <w:bottom w:val="single" w:sz="8" w:space="0" w:color="auto"/>
              <w:right w:val="single" w:sz="8" w:space="0" w:color="auto"/>
            </w:tcBorders>
            <w:shd w:val="clear" w:color="000000" w:fill="FFFFFF"/>
            <w:vAlign w:val="center"/>
            <w:hideMark/>
          </w:tcPr>
          <w:p w:rsidR="00DD0D4B" w:rsidRPr="007D3889" w:rsidRDefault="00DD0D4B" w:rsidP="00796333">
            <w:pPr>
              <w:pStyle w:val="TableText"/>
              <w:keepNext/>
              <w:rPr>
                <w:rFonts w:ascii="Times New Roman" w:hAnsi="Times New Roman"/>
                <w:sz w:val="20"/>
                <w:szCs w:val="20"/>
              </w:rPr>
            </w:pPr>
            <w:r w:rsidRPr="007D3889">
              <w:rPr>
                <w:rFonts w:ascii="Times New Roman" w:hAnsi="Times New Roman"/>
                <w:sz w:val="20"/>
                <w:szCs w:val="20"/>
              </w:rPr>
              <w:t>Estimated constant</w:t>
            </w:r>
          </w:p>
        </w:tc>
      </w:tr>
      <w:tr w:rsidR="00DD0D4B" w:rsidRPr="00226C2E" w:rsidTr="00796333">
        <w:trPr>
          <w:trHeight w:val="315"/>
          <w:jc w:val="center"/>
        </w:trPr>
        <w:tc>
          <w:tcPr>
            <w:tcW w:w="1180" w:type="dxa"/>
            <w:tcBorders>
              <w:top w:val="nil"/>
              <w:left w:val="single" w:sz="8" w:space="0" w:color="auto"/>
              <w:bottom w:val="single" w:sz="8" w:space="0" w:color="auto"/>
              <w:right w:val="single" w:sz="8" w:space="0" w:color="auto"/>
            </w:tcBorders>
            <w:shd w:val="clear" w:color="auto" w:fill="auto"/>
            <w:vAlign w:val="center"/>
            <w:hideMark/>
          </w:tcPr>
          <w:p w:rsidR="00DD0D4B" w:rsidRPr="007D3889" w:rsidRDefault="00DD0D4B" w:rsidP="00796333">
            <w:pPr>
              <w:keepNext/>
              <w:jc w:val="center"/>
              <w:rPr>
                <w:i/>
                <w:iCs/>
                <w:color w:val="000000"/>
                <w:sz w:val="20"/>
                <w:szCs w:val="20"/>
              </w:rPr>
            </w:pPr>
            <w:r w:rsidRPr="007D3889">
              <w:rPr>
                <w:i/>
                <w:iCs/>
                <w:color w:val="000000"/>
                <w:sz w:val="20"/>
                <w:szCs w:val="20"/>
              </w:rPr>
              <w:t>b</w:t>
            </w:r>
          </w:p>
        </w:tc>
        <w:tc>
          <w:tcPr>
            <w:tcW w:w="5368" w:type="dxa"/>
            <w:tcBorders>
              <w:top w:val="nil"/>
              <w:left w:val="nil"/>
              <w:bottom w:val="single" w:sz="8" w:space="0" w:color="auto"/>
              <w:right w:val="single" w:sz="8" w:space="0" w:color="auto"/>
            </w:tcBorders>
            <w:shd w:val="clear" w:color="auto" w:fill="auto"/>
            <w:vAlign w:val="center"/>
            <w:hideMark/>
          </w:tcPr>
          <w:p w:rsidR="00DD0D4B" w:rsidRPr="007D3889" w:rsidRDefault="00DD0D4B" w:rsidP="00796333">
            <w:pPr>
              <w:pStyle w:val="TableText"/>
              <w:keepNext/>
              <w:rPr>
                <w:rFonts w:ascii="Times New Roman" w:hAnsi="Times New Roman"/>
                <w:sz w:val="20"/>
                <w:szCs w:val="20"/>
              </w:rPr>
            </w:pPr>
            <w:r w:rsidRPr="007D3889">
              <w:rPr>
                <w:rFonts w:ascii="Times New Roman" w:hAnsi="Times New Roman"/>
                <w:sz w:val="20"/>
                <w:szCs w:val="20"/>
              </w:rPr>
              <w:t>Estimated parameter describing the relationship between temperature and demand</w:t>
            </w:r>
          </w:p>
        </w:tc>
      </w:tr>
      <w:tr w:rsidR="00DD0D4B" w:rsidRPr="00226C2E" w:rsidTr="00796333">
        <w:trPr>
          <w:trHeight w:val="315"/>
          <w:jc w:val="center"/>
        </w:trPr>
        <w:tc>
          <w:tcPr>
            <w:tcW w:w="1180" w:type="dxa"/>
            <w:tcBorders>
              <w:top w:val="nil"/>
              <w:left w:val="single" w:sz="8" w:space="0" w:color="auto"/>
              <w:bottom w:val="single" w:sz="8" w:space="0" w:color="auto"/>
              <w:right w:val="single" w:sz="8" w:space="0" w:color="auto"/>
            </w:tcBorders>
            <w:shd w:val="clear" w:color="auto" w:fill="auto"/>
            <w:vAlign w:val="center"/>
            <w:hideMark/>
          </w:tcPr>
          <w:p w:rsidR="00DD0D4B" w:rsidRPr="007D3889" w:rsidRDefault="00DD0D4B" w:rsidP="00796333">
            <w:pPr>
              <w:keepNext/>
              <w:jc w:val="center"/>
              <w:rPr>
                <w:i/>
                <w:iCs/>
                <w:color w:val="000000"/>
                <w:sz w:val="20"/>
                <w:szCs w:val="20"/>
              </w:rPr>
            </w:pPr>
            <w:r w:rsidRPr="007D3889">
              <w:rPr>
                <w:i/>
                <w:iCs/>
                <w:color w:val="000000"/>
                <w:sz w:val="20"/>
                <w:szCs w:val="20"/>
              </w:rPr>
              <w:t>mean17</w:t>
            </w:r>
          </w:p>
        </w:tc>
        <w:tc>
          <w:tcPr>
            <w:tcW w:w="5368" w:type="dxa"/>
            <w:tcBorders>
              <w:top w:val="nil"/>
              <w:left w:val="nil"/>
              <w:bottom w:val="single" w:sz="8" w:space="0" w:color="auto"/>
              <w:right w:val="single" w:sz="8" w:space="0" w:color="auto"/>
            </w:tcBorders>
            <w:shd w:val="clear" w:color="auto" w:fill="auto"/>
            <w:vAlign w:val="center"/>
            <w:hideMark/>
          </w:tcPr>
          <w:p w:rsidR="00DD0D4B" w:rsidRPr="007D3889" w:rsidRDefault="00DD0D4B" w:rsidP="00796333">
            <w:pPr>
              <w:pStyle w:val="TableText"/>
              <w:keepNext/>
              <w:rPr>
                <w:rFonts w:ascii="Times New Roman" w:hAnsi="Times New Roman"/>
                <w:sz w:val="20"/>
                <w:szCs w:val="20"/>
              </w:rPr>
            </w:pPr>
            <w:r w:rsidRPr="007D3889">
              <w:rPr>
                <w:rFonts w:ascii="Times New Roman" w:hAnsi="Times New Roman"/>
                <w:sz w:val="20"/>
                <w:szCs w:val="20"/>
              </w:rPr>
              <w:t>Average temperature from  midnight to 5 PM</w:t>
            </w:r>
          </w:p>
        </w:tc>
      </w:tr>
      <w:tr w:rsidR="00DD0D4B" w:rsidRPr="00226C2E" w:rsidTr="00796333">
        <w:trPr>
          <w:trHeight w:val="495"/>
          <w:jc w:val="center"/>
        </w:trPr>
        <w:tc>
          <w:tcPr>
            <w:tcW w:w="1180" w:type="dxa"/>
            <w:tcBorders>
              <w:top w:val="nil"/>
              <w:left w:val="single" w:sz="8" w:space="0" w:color="auto"/>
              <w:bottom w:val="single" w:sz="8" w:space="0" w:color="auto"/>
              <w:right w:val="single" w:sz="8" w:space="0" w:color="auto"/>
            </w:tcBorders>
            <w:shd w:val="clear" w:color="auto" w:fill="auto"/>
            <w:vAlign w:val="center"/>
            <w:hideMark/>
          </w:tcPr>
          <w:p w:rsidR="00DD0D4B" w:rsidRPr="007D3889" w:rsidRDefault="00DD0D4B" w:rsidP="00796333">
            <w:pPr>
              <w:jc w:val="center"/>
              <w:rPr>
                <w:i/>
                <w:iCs/>
                <w:color w:val="000000"/>
                <w:sz w:val="20"/>
                <w:szCs w:val="20"/>
              </w:rPr>
            </w:pPr>
            <w:r w:rsidRPr="007D3889">
              <w:rPr>
                <w:i/>
                <w:iCs/>
                <w:color w:val="000000"/>
                <w:sz w:val="20"/>
                <w:szCs w:val="20"/>
              </w:rPr>
              <w:t>Ɛ</w:t>
            </w:r>
          </w:p>
        </w:tc>
        <w:tc>
          <w:tcPr>
            <w:tcW w:w="5368" w:type="dxa"/>
            <w:tcBorders>
              <w:top w:val="nil"/>
              <w:left w:val="nil"/>
              <w:bottom w:val="single" w:sz="8" w:space="0" w:color="auto"/>
              <w:right w:val="single" w:sz="8" w:space="0" w:color="auto"/>
            </w:tcBorders>
            <w:shd w:val="clear" w:color="auto" w:fill="auto"/>
            <w:vAlign w:val="center"/>
            <w:hideMark/>
          </w:tcPr>
          <w:p w:rsidR="00DD0D4B" w:rsidRPr="007D3889" w:rsidRDefault="00DD0D4B" w:rsidP="00796333">
            <w:pPr>
              <w:pStyle w:val="TableText"/>
              <w:rPr>
                <w:rFonts w:ascii="Times New Roman" w:hAnsi="Times New Roman"/>
                <w:sz w:val="20"/>
                <w:szCs w:val="20"/>
              </w:rPr>
            </w:pPr>
            <w:r w:rsidRPr="007D3889">
              <w:rPr>
                <w:rFonts w:ascii="Times New Roman" w:hAnsi="Times New Roman"/>
                <w:sz w:val="20"/>
                <w:szCs w:val="20"/>
              </w:rPr>
              <w:t>The error term, assumed to be a mean zero and uncorrelated with any of the independent variables</w:t>
            </w:r>
          </w:p>
        </w:tc>
      </w:tr>
    </w:tbl>
    <w:p w:rsidR="00DD0D4B" w:rsidRDefault="00DD0D4B" w:rsidP="00DD0D4B">
      <w:pPr>
        <w:pStyle w:val="BodyParaAfterTableFigure"/>
        <w:spacing w:before="0"/>
      </w:pPr>
    </w:p>
    <w:p w:rsidR="008A6A2B" w:rsidRPr="001E57C9" w:rsidRDefault="00DD0D4B" w:rsidP="00DD0D4B">
      <w:pPr>
        <w:pStyle w:val="BodyParaAfterTableFigure"/>
        <w:spacing w:before="0" w:after="0" w:line="276" w:lineRule="auto"/>
        <w:ind w:firstLine="360"/>
        <w:rPr>
          <w:rFonts w:ascii="Times New Roman" w:hAnsi="Times New Roman"/>
          <w:szCs w:val="20"/>
        </w:rPr>
      </w:pPr>
      <w:r w:rsidRPr="00B777EF">
        <w:rPr>
          <w:rFonts w:ascii="Times New Roman" w:hAnsi="Times New Roman"/>
          <w:color w:val="000000" w:themeColor="text1"/>
          <w:sz w:val="24"/>
          <w:szCs w:val="24"/>
        </w:rPr>
        <w:t xml:space="preserve">As a validation of the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impact model, </w:t>
      </w:r>
      <w:r w:rsidRPr="00B777EF">
        <w:rPr>
          <w:rFonts w:ascii="Times New Roman" w:hAnsi="Times New Roman"/>
          <w:color w:val="000000" w:themeColor="text1"/>
          <w:sz w:val="24"/>
          <w:szCs w:val="24"/>
        </w:rPr>
        <w:fldChar w:fldCharType="begin"/>
      </w:r>
      <w:r w:rsidRPr="00B777EF">
        <w:rPr>
          <w:rFonts w:ascii="Times New Roman" w:hAnsi="Times New Roman"/>
          <w:color w:val="000000" w:themeColor="text1"/>
          <w:sz w:val="24"/>
          <w:szCs w:val="24"/>
        </w:rPr>
        <w:instrText xml:space="preserve"> REF _Ref445991932 \h  \* MERGEFORMAT </w:instrText>
      </w:r>
      <w:r w:rsidRPr="00B777EF">
        <w:rPr>
          <w:rFonts w:ascii="Times New Roman" w:hAnsi="Times New Roman"/>
          <w:color w:val="000000" w:themeColor="text1"/>
          <w:sz w:val="24"/>
          <w:szCs w:val="24"/>
        </w:rPr>
      </w:r>
      <w:r w:rsidRPr="00B777EF">
        <w:rPr>
          <w:rFonts w:ascii="Times New Roman" w:hAnsi="Times New Roman"/>
          <w:color w:val="000000" w:themeColor="text1"/>
          <w:sz w:val="24"/>
          <w:szCs w:val="24"/>
        </w:rPr>
        <w:fldChar w:fldCharType="separate"/>
      </w:r>
    </w:p>
    <w:tbl>
      <w:tblPr>
        <w:tblW w:w="7966" w:type="dxa"/>
        <w:jc w:val="center"/>
        <w:tblLook w:val="04A0" w:firstRow="1" w:lastRow="0" w:firstColumn="1" w:lastColumn="0" w:noHBand="0" w:noVBand="1"/>
      </w:tblPr>
      <w:tblGrid>
        <w:gridCol w:w="1724"/>
        <w:gridCol w:w="1783"/>
        <w:gridCol w:w="1869"/>
        <w:gridCol w:w="1397"/>
        <w:gridCol w:w="1193"/>
      </w:tblGrid>
      <w:tr w:rsidR="008A6A2B" w:rsidRPr="000F1985" w:rsidTr="00796333">
        <w:trPr>
          <w:trHeight w:val="720"/>
          <w:jc w:val="center"/>
        </w:trPr>
        <w:tc>
          <w:tcPr>
            <w:tcW w:w="1724" w:type="dxa"/>
            <w:vMerge w:val="restart"/>
            <w:tcBorders>
              <w:top w:val="single" w:sz="8" w:space="0" w:color="auto"/>
              <w:left w:val="single" w:sz="8" w:space="0" w:color="auto"/>
              <w:bottom w:val="nil"/>
              <w:right w:val="single" w:sz="8" w:space="0" w:color="FFFFFF"/>
            </w:tcBorders>
            <w:shd w:val="clear" w:color="auto" w:fill="1F497D" w:themeFill="text2"/>
            <w:vAlign w:val="center"/>
            <w:hideMark/>
          </w:tcPr>
          <w:p w:rsidR="008A6A2B" w:rsidRPr="007D3889" w:rsidRDefault="008A6A2B" w:rsidP="001E57C9">
            <w:pPr>
              <w:pStyle w:val="TableHeader"/>
              <w:spacing w:before="0" w:after="0"/>
              <w:rPr>
                <w:rFonts w:ascii="Times New Roman" w:hAnsi="Times New Roman"/>
                <w:szCs w:val="20"/>
              </w:rPr>
            </w:pPr>
            <w:r w:rsidRPr="001E57C9">
              <w:rPr>
                <w:rFonts w:ascii="Times New Roman" w:hAnsi="Times New Roman"/>
                <w:color w:val="FFFFFF" w:themeColor="background1"/>
                <w:szCs w:val="20"/>
              </w:rPr>
              <w:lastRenderedPageBreak/>
              <w:t>Date</w:t>
            </w:r>
          </w:p>
        </w:tc>
        <w:tc>
          <w:tcPr>
            <w:tcW w:w="1783" w:type="dxa"/>
            <w:vMerge w:val="restart"/>
            <w:tcBorders>
              <w:top w:val="single" w:sz="8" w:space="0" w:color="auto"/>
              <w:left w:val="single" w:sz="8" w:space="0" w:color="FFFFFF"/>
              <w:bottom w:val="nil"/>
              <w:right w:val="single" w:sz="8" w:space="0" w:color="FFFFFF"/>
            </w:tcBorders>
            <w:shd w:val="clear" w:color="auto" w:fill="1F497D" w:themeFill="text2"/>
            <w:vAlign w:val="center"/>
            <w:hideMark/>
          </w:tcPr>
          <w:p w:rsidR="008A6A2B" w:rsidRPr="007D3889" w:rsidRDefault="008A6A2B" w:rsidP="00796333">
            <w:pPr>
              <w:pStyle w:val="TableHeader"/>
              <w:spacing w:before="0" w:after="0"/>
              <w:rPr>
                <w:rFonts w:ascii="Times New Roman" w:hAnsi="Times New Roman"/>
                <w:szCs w:val="20"/>
              </w:rPr>
            </w:pPr>
            <w:r>
              <w:rPr>
                <w:rFonts w:ascii="Times New Roman" w:hAnsi="Times New Roman"/>
                <w:szCs w:val="20"/>
              </w:rPr>
              <w:t>Ex-Post</w:t>
            </w:r>
            <w:r w:rsidRPr="007D3889">
              <w:rPr>
                <w:rFonts w:ascii="Times New Roman" w:hAnsi="Times New Roman"/>
                <w:szCs w:val="20"/>
              </w:rPr>
              <w:t xml:space="preserve"> Impact</w:t>
            </w:r>
            <w:r w:rsidRPr="007D3889">
              <w:rPr>
                <w:rFonts w:ascii="Times New Roman" w:hAnsi="Times New Roman"/>
                <w:szCs w:val="20"/>
              </w:rPr>
              <w:br/>
              <w:t>(kW)</w:t>
            </w:r>
          </w:p>
        </w:tc>
        <w:tc>
          <w:tcPr>
            <w:tcW w:w="1869" w:type="dxa"/>
            <w:vMerge w:val="restart"/>
            <w:tcBorders>
              <w:top w:val="single" w:sz="8" w:space="0" w:color="auto"/>
              <w:left w:val="single" w:sz="8" w:space="0" w:color="FFFFFF"/>
              <w:bottom w:val="nil"/>
              <w:right w:val="single" w:sz="8" w:space="0" w:color="FFFFFF"/>
            </w:tcBorders>
            <w:shd w:val="clear" w:color="auto" w:fill="1F497D" w:themeFill="text2"/>
            <w:vAlign w:val="center"/>
            <w:hideMark/>
          </w:tcPr>
          <w:p w:rsidR="008A6A2B" w:rsidRPr="007D3889" w:rsidRDefault="008A6A2B" w:rsidP="00796333">
            <w:pPr>
              <w:pStyle w:val="TableHeader"/>
              <w:spacing w:before="0" w:after="0"/>
              <w:rPr>
                <w:rFonts w:ascii="Times New Roman" w:hAnsi="Times New Roman"/>
                <w:szCs w:val="20"/>
              </w:rPr>
            </w:pPr>
            <w:r>
              <w:rPr>
                <w:rFonts w:ascii="Times New Roman" w:hAnsi="Times New Roman"/>
                <w:szCs w:val="20"/>
              </w:rPr>
              <w:t>Ex-Ante</w:t>
            </w:r>
            <w:r w:rsidRPr="007D3889">
              <w:rPr>
                <w:rFonts w:ascii="Times New Roman" w:hAnsi="Times New Roman"/>
                <w:szCs w:val="20"/>
              </w:rPr>
              <w:t xml:space="preserve"> Impact</w:t>
            </w:r>
            <w:r w:rsidRPr="007D3889">
              <w:rPr>
                <w:rFonts w:ascii="Times New Roman" w:hAnsi="Times New Roman"/>
                <w:szCs w:val="20"/>
              </w:rPr>
              <w:br/>
              <w:t>(kW)</w:t>
            </w:r>
          </w:p>
        </w:tc>
        <w:tc>
          <w:tcPr>
            <w:tcW w:w="1397" w:type="dxa"/>
            <w:vMerge w:val="restart"/>
            <w:tcBorders>
              <w:top w:val="single" w:sz="8" w:space="0" w:color="auto"/>
              <w:left w:val="single" w:sz="8" w:space="0" w:color="FFFFFF"/>
              <w:bottom w:val="nil"/>
              <w:right w:val="single" w:sz="4" w:space="0" w:color="FFFFFF" w:themeColor="background1"/>
            </w:tcBorders>
            <w:shd w:val="clear" w:color="auto" w:fill="1F497D" w:themeFill="text2"/>
            <w:vAlign w:val="center"/>
            <w:hideMark/>
          </w:tcPr>
          <w:p w:rsidR="008A6A2B" w:rsidRPr="007D3889" w:rsidRDefault="008A6A2B" w:rsidP="00796333">
            <w:pPr>
              <w:pStyle w:val="TableHeader"/>
              <w:spacing w:before="0" w:after="0"/>
              <w:rPr>
                <w:rFonts w:ascii="Times New Roman" w:hAnsi="Times New Roman"/>
                <w:szCs w:val="20"/>
              </w:rPr>
            </w:pPr>
            <w:r w:rsidRPr="007D3889">
              <w:rPr>
                <w:rFonts w:ascii="Times New Roman" w:hAnsi="Times New Roman"/>
                <w:szCs w:val="20"/>
              </w:rPr>
              <w:t>Difference (kW)</w:t>
            </w:r>
          </w:p>
        </w:tc>
        <w:tc>
          <w:tcPr>
            <w:tcW w:w="1193" w:type="dxa"/>
            <w:vMerge w:val="restart"/>
            <w:tcBorders>
              <w:top w:val="single" w:sz="8" w:space="0" w:color="auto"/>
              <w:left w:val="single" w:sz="4" w:space="0" w:color="FFFFFF" w:themeColor="background1"/>
              <w:bottom w:val="nil"/>
              <w:right w:val="single" w:sz="8" w:space="0" w:color="auto"/>
            </w:tcBorders>
            <w:shd w:val="clear" w:color="auto" w:fill="1F497D" w:themeFill="text2"/>
            <w:vAlign w:val="center"/>
            <w:hideMark/>
          </w:tcPr>
          <w:p w:rsidR="008A6A2B" w:rsidRPr="007D3889" w:rsidRDefault="008A6A2B" w:rsidP="00796333">
            <w:pPr>
              <w:pStyle w:val="TableHeader"/>
              <w:spacing w:before="0" w:after="0"/>
              <w:rPr>
                <w:rFonts w:ascii="Times New Roman" w:hAnsi="Times New Roman"/>
                <w:szCs w:val="20"/>
              </w:rPr>
            </w:pPr>
            <w:r w:rsidRPr="007D3889">
              <w:rPr>
                <w:rFonts w:ascii="Times New Roman" w:hAnsi="Times New Roman"/>
                <w:szCs w:val="20"/>
              </w:rPr>
              <w:t>Mean17</w:t>
            </w:r>
          </w:p>
        </w:tc>
      </w:tr>
      <w:tr w:rsidR="008A6A2B" w:rsidRPr="000F1985" w:rsidTr="00796333">
        <w:trPr>
          <w:trHeight w:val="253"/>
          <w:jc w:val="center"/>
        </w:trPr>
        <w:tc>
          <w:tcPr>
            <w:tcW w:w="1724" w:type="dxa"/>
            <w:vMerge/>
            <w:tcBorders>
              <w:top w:val="single" w:sz="8" w:space="0" w:color="auto"/>
              <w:left w:val="single" w:sz="8" w:space="0" w:color="auto"/>
              <w:bottom w:val="nil"/>
              <w:right w:val="single" w:sz="8" w:space="0" w:color="FFFFFF"/>
            </w:tcBorders>
            <w:vAlign w:val="center"/>
            <w:hideMark/>
          </w:tcPr>
          <w:p w:rsidR="008A6A2B" w:rsidRPr="007D3889" w:rsidRDefault="008A6A2B" w:rsidP="00796333">
            <w:pPr>
              <w:rPr>
                <w:b/>
                <w:bCs/>
                <w:color w:val="FFFFFF"/>
                <w:sz w:val="20"/>
                <w:szCs w:val="20"/>
              </w:rPr>
            </w:pPr>
          </w:p>
        </w:tc>
        <w:tc>
          <w:tcPr>
            <w:tcW w:w="1783" w:type="dxa"/>
            <w:vMerge/>
            <w:tcBorders>
              <w:top w:val="single" w:sz="8" w:space="0" w:color="auto"/>
              <w:left w:val="single" w:sz="8" w:space="0" w:color="FFFFFF"/>
              <w:bottom w:val="nil"/>
              <w:right w:val="single" w:sz="8" w:space="0" w:color="FFFFFF"/>
            </w:tcBorders>
            <w:vAlign w:val="center"/>
            <w:hideMark/>
          </w:tcPr>
          <w:p w:rsidR="008A6A2B" w:rsidRPr="007D3889" w:rsidRDefault="008A6A2B" w:rsidP="00796333">
            <w:pPr>
              <w:rPr>
                <w:b/>
                <w:bCs/>
                <w:color w:val="FFFFFF"/>
                <w:sz w:val="20"/>
                <w:szCs w:val="20"/>
              </w:rPr>
            </w:pPr>
          </w:p>
        </w:tc>
        <w:tc>
          <w:tcPr>
            <w:tcW w:w="1869" w:type="dxa"/>
            <w:vMerge/>
            <w:tcBorders>
              <w:top w:val="single" w:sz="8" w:space="0" w:color="auto"/>
              <w:left w:val="single" w:sz="8" w:space="0" w:color="FFFFFF"/>
              <w:bottom w:val="nil"/>
              <w:right w:val="single" w:sz="8" w:space="0" w:color="FFFFFF"/>
            </w:tcBorders>
            <w:vAlign w:val="center"/>
            <w:hideMark/>
          </w:tcPr>
          <w:p w:rsidR="008A6A2B" w:rsidRPr="007D3889" w:rsidRDefault="008A6A2B" w:rsidP="00796333">
            <w:pPr>
              <w:rPr>
                <w:b/>
                <w:bCs/>
                <w:color w:val="FFFFFF"/>
                <w:sz w:val="20"/>
                <w:szCs w:val="20"/>
              </w:rPr>
            </w:pPr>
          </w:p>
        </w:tc>
        <w:tc>
          <w:tcPr>
            <w:tcW w:w="1397" w:type="dxa"/>
            <w:vMerge/>
            <w:tcBorders>
              <w:top w:val="single" w:sz="8" w:space="0" w:color="auto"/>
              <w:left w:val="single" w:sz="8" w:space="0" w:color="FFFFFF"/>
              <w:bottom w:val="nil"/>
              <w:right w:val="single" w:sz="4" w:space="0" w:color="FFFFFF" w:themeColor="background1"/>
            </w:tcBorders>
            <w:vAlign w:val="center"/>
            <w:hideMark/>
          </w:tcPr>
          <w:p w:rsidR="008A6A2B" w:rsidRPr="007D3889" w:rsidRDefault="008A6A2B" w:rsidP="00796333">
            <w:pPr>
              <w:rPr>
                <w:b/>
                <w:bCs/>
                <w:color w:val="FFFFFF"/>
                <w:sz w:val="20"/>
                <w:szCs w:val="20"/>
              </w:rPr>
            </w:pPr>
          </w:p>
        </w:tc>
        <w:tc>
          <w:tcPr>
            <w:tcW w:w="1193" w:type="dxa"/>
            <w:vMerge/>
            <w:tcBorders>
              <w:top w:val="single" w:sz="8" w:space="0" w:color="auto"/>
              <w:left w:val="single" w:sz="4" w:space="0" w:color="FFFFFF" w:themeColor="background1"/>
              <w:bottom w:val="nil"/>
              <w:right w:val="single" w:sz="8" w:space="0" w:color="auto"/>
            </w:tcBorders>
            <w:vAlign w:val="center"/>
            <w:hideMark/>
          </w:tcPr>
          <w:p w:rsidR="008A6A2B" w:rsidRPr="007D3889" w:rsidRDefault="008A6A2B" w:rsidP="00796333">
            <w:pPr>
              <w:rPr>
                <w:b/>
                <w:bCs/>
                <w:color w:val="FFFFFF"/>
                <w:sz w:val="20"/>
                <w:szCs w:val="20"/>
              </w:rPr>
            </w:pPr>
          </w:p>
        </w:tc>
      </w:tr>
      <w:tr w:rsidR="008A6A2B" w:rsidRPr="000F1985" w:rsidTr="00796333">
        <w:trPr>
          <w:trHeight w:val="300"/>
          <w:jc w:val="center"/>
        </w:trPr>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6A2B" w:rsidRPr="007D3889" w:rsidRDefault="008A6A2B" w:rsidP="00796333">
            <w:pPr>
              <w:jc w:val="center"/>
              <w:rPr>
                <w:sz w:val="20"/>
                <w:szCs w:val="20"/>
              </w:rPr>
            </w:pPr>
            <w:r w:rsidRPr="007D3889">
              <w:rPr>
                <w:sz w:val="20"/>
                <w:szCs w:val="20"/>
              </w:rPr>
              <w:t>Aug 28, 2015</w:t>
            </w:r>
          </w:p>
        </w:tc>
        <w:tc>
          <w:tcPr>
            <w:tcW w:w="1783" w:type="dxa"/>
            <w:tcBorders>
              <w:top w:val="single" w:sz="4" w:space="0" w:color="auto"/>
              <w:left w:val="nil"/>
              <w:bottom w:val="single" w:sz="4" w:space="0" w:color="auto"/>
              <w:right w:val="single" w:sz="4" w:space="0" w:color="auto"/>
            </w:tcBorders>
            <w:shd w:val="clear" w:color="auto" w:fill="auto"/>
            <w:noWrap/>
            <w:vAlign w:val="center"/>
            <w:hideMark/>
          </w:tcPr>
          <w:p w:rsidR="008A6A2B" w:rsidRPr="007D3889" w:rsidRDefault="008A6A2B" w:rsidP="00796333">
            <w:pPr>
              <w:jc w:val="center"/>
              <w:rPr>
                <w:color w:val="000000"/>
                <w:sz w:val="20"/>
                <w:szCs w:val="20"/>
              </w:rPr>
            </w:pPr>
            <w:r w:rsidRPr="007D3889">
              <w:rPr>
                <w:color w:val="000000"/>
                <w:sz w:val="20"/>
                <w:szCs w:val="20"/>
              </w:rPr>
              <w:t>1.5</w:t>
            </w:r>
          </w:p>
        </w:tc>
        <w:tc>
          <w:tcPr>
            <w:tcW w:w="1869" w:type="dxa"/>
            <w:tcBorders>
              <w:top w:val="single" w:sz="4" w:space="0" w:color="auto"/>
              <w:left w:val="nil"/>
              <w:bottom w:val="single" w:sz="4" w:space="0" w:color="auto"/>
              <w:right w:val="single" w:sz="4" w:space="0" w:color="auto"/>
            </w:tcBorders>
            <w:shd w:val="clear" w:color="auto" w:fill="auto"/>
            <w:noWrap/>
            <w:vAlign w:val="center"/>
            <w:hideMark/>
          </w:tcPr>
          <w:p w:rsidR="008A6A2B" w:rsidRPr="007D3889" w:rsidRDefault="008A6A2B" w:rsidP="00796333">
            <w:pPr>
              <w:jc w:val="center"/>
              <w:rPr>
                <w:color w:val="000000"/>
                <w:sz w:val="20"/>
                <w:szCs w:val="20"/>
              </w:rPr>
            </w:pPr>
            <w:r w:rsidRPr="007D3889">
              <w:rPr>
                <w:color w:val="000000"/>
                <w:sz w:val="20"/>
                <w:szCs w:val="20"/>
              </w:rPr>
              <w:t>2.2</w:t>
            </w:r>
          </w:p>
        </w:tc>
        <w:tc>
          <w:tcPr>
            <w:tcW w:w="1397" w:type="dxa"/>
            <w:tcBorders>
              <w:top w:val="single" w:sz="4" w:space="0" w:color="auto"/>
              <w:left w:val="nil"/>
              <w:bottom w:val="single" w:sz="4" w:space="0" w:color="auto"/>
              <w:right w:val="single" w:sz="4" w:space="0" w:color="auto"/>
            </w:tcBorders>
            <w:shd w:val="clear" w:color="auto" w:fill="auto"/>
            <w:noWrap/>
            <w:vAlign w:val="center"/>
            <w:hideMark/>
          </w:tcPr>
          <w:p w:rsidR="008A6A2B" w:rsidRPr="007D3889" w:rsidRDefault="008A6A2B" w:rsidP="00796333">
            <w:pPr>
              <w:jc w:val="center"/>
              <w:rPr>
                <w:color w:val="000000"/>
                <w:sz w:val="20"/>
                <w:szCs w:val="20"/>
              </w:rPr>
            </w:pPr>
            <w:r w:rsidRPr="007D3889">
              <w:rPr>
                <w:color w:val="000000"/>
                <w:sz w:val="20"/>
                <w:szCs w:val="20"/>
              </w:rPr>
              <w:t>0.7</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8A6A2B" w:rsidRPr="007D3889" w:rsidRDefault="008A6A2B" w:rsidP="00796333">
            <w:pPr>
              <w:jc w:val="center"/>
              <w:rPr>
                <w:color w:val="000000"/>
                <w:sz w:val="20"/>
                <w:szCs w:val="20"/>
              </w:rPr>
            </w:pPr>
            <w:r w:rsidRPr="007D3889">
              <w:rPr>
                <w:color w:val="000000"/>
                <w:sz w:val="20"/>
                <w:szCs w:val="20"/>
              </w:rPr>
              <w:t>82.2</w:t>
            </w:r>
          </w:p>
        </w:tc>
      </w:tr>
      <w:tr w:rsidR="008A6A2B" w:rsidRPr="000F1985" w:rsidTr="00796333">
        <w:trPr>
          <w:trHeight w:val="300"/>
          <w:jc w:val="center"/>
        </w:trPr>
        <w:tc>
          <w:tcPr>
            <w:tcW w:w="1724" w:type="dxa"/>
            <w:tcBorders>
              <w:top w:val="nil"/>
              <w:left w:val="single" w:sz="4" w:space="0" w:color="auto"/>
              <w:bottom w:val="single" w:sz="4" w:space="0" w:color="auto"/>
              <w:right w:val="single" w:sz="4" w:space="0" w:color="auto"/>
            </w:tcBorders>
            <w:shd w:val="clear" w:color="auto" w:fill="auto"/>
            <w:noWrap/>
            <w:vAlign w:val="center"/>
            <w:hideMark/>
          </w:tcPr>
          <w:p w:rsidR="008A6A2B" w:rsidRPr="007D3889" w:rsidRDefault="008A6A2B" w:rsidP="00796333">
            <w:pPr>
              <w:jc w:val="center"/>
              <w:rPr>
                <w:sz w:val="20"/>
                <w:szCs w:val="20"/>
              </w:rPr>
            </w:pPr>
            <w:r w:rsidRPr="007D3889">
              <w:rPr>
                <w:sz w:val="20"/>
                <w:szCs w:val="20"/>
              </w:rPr>
              <w:t>Sept 9, 2015</w:t>
            </w:r>
          </w:p>
        </w:tc>
        <w:tc>
          <w:tcPr>
            <w:tcW w:w="1783" w:type="dxa"/>
            <w:tcBorders>
              <w:top w:val="nil"/>
              <w:left w:val="nil"/>
              <w:bottom w:val="single" w:sz="4" w:space="0" w:color="auto"/>
              <w:right w:val="single" w:sz="4" w:space="0" w:color="auto"/>
            </w:tcBorders>
            <w:shd w:val="clear" w:color="auto" w:fill="auto"/>
            <w:noWrap/>
            <w:vAlign w:val="center"/>
            <w:hideMark/>
          </w:tcPr>
          <w:p w:rsidR="008A6A2B" w:rsidRPr="007D3889" w:rsidRDefault="008A6A2B" w:rsidP="00796333">
            <w:pPr>
              <w:jc w:val="center"/>
              <w:rPr>
                <w:color w:val="000000"/>
                <w:sz w:val="20"/>
                <w:szCs w:val="20"/>
              </w:rPr>
            </w:pPr>
            <w:r w:rsidRPr="007D3889">
              <w:rPr>
                <w:color w:val="000000"/>
                <w:sz w:val="20"/>
                <w:szCs w:val="20"/>
              </w:rPr>
              <w:t>2.3</w:t>
            </w:r>
          </w:p>
        </w:tc>
        <w:tc>
          <w:tcPr>
            <w:tcW w:w="1869" w:type="dxa"/>
            <w:tcBorders>
              <w:top w:val="nil"/>
              <w:left w:val="nil"/>
              <w:bottom w:val="single" w:sz="4" w:space="0" w:color="auto"/>
              <w:right w:val="single" w:sz="4" w:space="0" w:color="auto"/>
            </w:tcBorders>
            <w:shd w:val="clear" w:color="auto" w:fill="auto"/>
            <w:noWrap/>
            <w:vAlign w:val="center"/>
            <w:hideMark/>
          </w:tcPr>
          <w:p w:rsidR="008A6A2B" w:rsidRPr="007D3889" w:rsidRDefault="008A6A2B" w:rsidP="00796333">
            <w:pPr>
              <w:jc w:val="center"/>
              <w:rPr>
                <w:color w:val="000000"/>
                <w:sz w:val="20"/>
                <w:szCs w:val="20"/>
              </w:rPr>
            </w:pPr>
            <w:r w:rsidRPr="007D3889">
              <w:rPr>
                <w:color w:val="000000"/>
                <w:sz w:val="20"/>
                <w:szCs w:val="20"/>
              </w:rPr>
              <w:t>2.6</w:t>
            </w:r>
          </w:p>
        </w:tc>
        <w:tc>
          <w:tcPr>
            <w:tcW w:w="1397" w:type="dxa"/>
            <w:tcBorders>
              <w:top w:val="nil"/>
              <w:left w:val="nil"/>
              <w:bottom w:val="single" w:sz="4" w:space="0" w:color="auto"/>
              <w:right w:val="single" w:sz="4" w:space="0" w:color="auto"/>
            </w:tcBorders>
            <w:shd w:val="clear" w:color="auto" w:fill="auto"/>
            <w:noWrap/>
            <w:vAlign w:val="center"/>
            <w:hideMark/>
          </w:tcPr>
          <w:p w:rsidR="008A6A2B" w:rsidRPr="007D3889" w:rsidRDefault="008A6A2B" w:rsidP="00796333">
            <w:pPr>
              <w:jc w:val="center"/>
              <w:rPr>
                <w:color w:val="000000"/>
                <w:sz w:val="20"/>
                <w:szCs w:val="20"/>
              </w:rPr>
            </w:pPr>
            <w:r w:rsidRPr="007D3889">
              <w:rPr>
                <w:color w:val="000000"/>
                <w:sz w:val="20"/>
                <w:szCs w:val="20"/>
              </w:rPr>
              <w:t>0.4</w:t>
            </w:r>
          </w:p>
        </w:tc>
        <w:tc>
          <w:tcPr>
            <w:tcW w:w="1193" w:type="dxa"/>
            <w:tcBorders>
              <w:top w:val="nil"/>
              <w:left w:val="nil"/>
              <w:bottom w:val="single" w:sz="4" w:space="0" w:color="auto"/>
              <w:right w:val="single" w:sz="4" w:space="0" w:color="auto"/>
            </w:tcBorders>
            <w:shd w:val="clear" w:color="auto" w:fill="auto"/>
            <w:noWrap/>
            <w:vAlign w:val="center"/>
            <w:hideMark/>
          </w:tcPr>
          <w:p w:rsidR="008A6A2B" w:rsidRPr="007D3889" w:rsidRDefault="008A6A2B" w:rsidP="00796333">
            <w:pPr>
              <w:jc w:val="center"/>
              <w:rPr>
                <w:color w:val="000000"/>
                <w:sz w:val="20"/>
                <w:szCs w:val="20"/>
              </w:rPr>
            </w:pPr>
            <w:r w:rsidRPr="007D3889">
              <w:rPr>
                <w:color w:val="000000"/>
                <w:sz w:val="20"/>
                <w:szCs w:val="20"/>
              </w:rPr>
              <w:t>86.5</w:t>
            </w:r>
          </w:p>
        </w:tc>
      </w:tr>
      <w:tr w:rsidR="008A6A2B" w:rsidRPr="000F1985" w:rsidTr="00796333">
        <w:trPr>
          <w:trHeight w:val="300"/>
          <w:jc w:val="center"/>
        </w:trPr>
        <w:tc>
          <w:tcPr>
            <w:tcW w:w="1724" w:type="dxa"/>
            <w:tcBorders>
              <w:top w:val="nil"/>
              <w:left w:val="single" w:sz="4" w:space="0" w:color="auto"/>
              <w:bottom w:val="single" w:sz="4" w:space="0" w:color="auto"/>
              <w:right w:val="single" w:sz="4" w:space="0" w:color="auto"/>
            </w:tcBorders>
            <w:shd w:val="clear" w:color="auto" w:fill="auto"/>
            <w:noWrap/>
            <w:vAlign w:val="center"/>
            <w:hideMark/>
          </w:tcPr>
          <w:p w:rsidR="008A6A2B" w:rsidRPr="007D3889" w:rsidRDefault="008A6A2B" w:rsidP="00796333">
            <w:pPr>
              <w:jc w:val="center"/>
              <w:rPr>
                <w:sz w:val="20"/>
                <w:szCs w:val="20"/>
              </w:rPr>
            </w:pPr>
            <w:r w:rsidRPr="007D3889">
              <w:rPr>
                <w:sz w:val="20"/>
                <w:szCs w:val="20"/>
              </w:rPr>
              <w:t>Sept 10, 2015</w:t>
            </w:r>
          </w:p>
        </w:tc>
        <w:tc>
          <w:tcPr>
            <w:tcW w:w="1783" w:type="dxa"/>
            <w:tcBorders>
              <w:top w:val="nil"/>
              <w:left w:val="nil"/>
              <w:bottom w:val="single" w:sz="4" w:space="0" w:color="auto"/>
              <w:right w:val="single" w:sz="4" w:space="0" w:color="auto"/>
            </w:tcBorders>
            <w:shd w:val="clear" w:color="auto" w:fill="auto"/>
            <w:noWrap/>
            <w:vAlign w:val="center"/>
            <w:hideMark/>
          </w:tcPr>
          <w:p w:rsidR="008A6A2B" w:rsidRPr="007D3889" w:rsidRDefault="008A6A2B" w:rsidP="00796333">
            <w:pPr>
              <w:jc w:val="center"/>
              <w:rPr>
                <w:color w:val="000000"/>
                <w:sz w:val="20"/>
                <w:szCs w:val="20"/>
              </w:rPr>
            </w:pPr>
            <w:r w:rsidRPr="007D3889">
              <w:rPr>
                <w:color w:val="000000"/>
                <w:sz w:val="20"/>
                <w:szCs w:val="20"/>
              </w:rPr>
              <w:t>3.0</w:t>
            </w:r>
          </w:p>
        </w:tc>
        <w:tc>
          <w:tcPr>
            <w:tcW w:w="1869" w:type="dxa"/>
            <w:tcBorders>
              <w:top w:val="nil"/>
              <w:left w:val="nil"/>
              <w:bottom w:val="single" w:sz="4" w:space="0" w:color="auto"/>
              <w:right w:val="single" w:sz="4" w:space="0" w:color="auto"/>
            </w:tcBorders>
            <w:shd w:val="clear" w:color="auto" w:fill="auto"/>
            <w:noWrap/>
            <w:vAlign w:val="center"/>
            <w:hideMark/>
          </w:tcPr>
          <w:p w:rsidR="008A6A2B" w:rsidRPr="007D3889" w:rsidRDefault="008A6A2B" w:rsidP="00796333">
            <w:pPr>
              <w:jc w:val="center"/>
              <w:rPr>
                <w:color w:val="000000"/>
                <w:sz w:val="20"/>
                <w:szCs w:val="20"/>
              </w:rPr>
            </w:pPr>
            <w:r w:rsidRPr="007D3889">
              <w:rPr>
                <w:color w:val="000000"/>
                <w:sz w:val="20"/>
                <w:szCs w:val="20"/>
              </w:rPr>
              <w:t>2.5</w:t>
            </w:r>
          </w:p>
        </w:tc>
        <w:tc>
          <w:tcPr>
            <w:tcW w:w="1397" w:type="dxa"/>
            <w:tcBorders>
              <w:top w:val="nil"/>
              <w:left w:val="nil"/>
              <w:bottom w:val="single" w:sz="4" w:space="0" w:color="auto"/>
              <w:right w:val="single" w:sz="4" w:space="0" w:color="auto"/>
            </w:tcBorders>
            <w:shd w:val="clear" w:color="auto" w:fill="auto"/>
            <w:noWrap/>
            <w:vAlign w:val="center"/>
            <w:hideMark/>
          </w:tcPr>
          <w:p w:rsidR="008A6A2B" w:rsidRPr="007D3889" w:rsidRDefault="008A6A2B" w:rsidP="00796333">
            <w:pPr>
              <w:jc w:val="center"/>
              <w:rPr>
                <w:color w:val="000000"/>
                <w:sz w:val="20"/>
                <w:szCs w:val="20"/>
              </w:rPr>
            </w:pPr>
            <w:r w:rsidRPr="007D3889">
              <w:rPr>
                <w:color w:val="000000"/>
                <w:sz w:val="20"/>
                <w:szCs w:val="20"/>
              </w:rPr>
              <w:t>-0.5</w:t>
            </w:r>
          </w:p>
        </w:tc>
        <w:tc>
          <w:tcPr>
            <w:tcW w:w="1193" w:type="dxa"/>
            <w:tcBorders>
              <w:top w:val="nil"/>
              <w:left w:val="nil"/>
              <w:bottom w:val="single" w:sz="4" w:space="0" w:color="auto"/>
              <w:right w:val="single" w:sz="4" w:space="0" w:color="auto"/>
            </w:tcBorders>
            <w:shd w:val="clear" w:color="auto" w:fill="auto"/>
            <w:noWrap/>
            <w:vAlign w:val="center"/>
            <w:hideMark/>
          </w:tcPr>
          <w:p w:rsidR="008A6A2B" w:rsidRPr="007D3889" w:rsidRDefault="008A6A2B" w:rsidP="00796333">
            <w:pPr>
              <w:jc w:val="center"/>
              <w:rPr>
                <w:color w:val="000000"/>
                <w:sz w:val="20"/>
                <w:szCs w:val="20"/>
              </w:rPr>
            </w:pPr>
            <w:r w:rsidRPr="007D3889">
              <w:rPr>
                <w:color w:val="000000"/>
                <w:sz w:val="20"/>
                <w:szCs w:val="20"/>
              </w:rPr>
              <w:t>85.2</w:t>
            </w:r>
          </w:p>
        </w:tc>
      </w:tr>
      <w:tr w:rsidR="008A6A2B" w:rsidRPr="000F1985" w:rsidTr="00796333">
        <w:trPr>
          <w:trHeight w:val="300"/>
          <w:jc w:val="center"/>
        </w:trPr>
        <w:tc>
          <w:tcPr>
            <w:tcW w:w="1724" w:type="dxa"/>
            <w:tcBorders>
              <w:top w:val="nil"/>
              <w:left w:val="single" w:sz="4" w:space="0" w:color="auto"/>
              <w:bottom w:val="single" w:sz="4" w:space="0" w:color="auto"/>
              <w:right w:val="single" w:sz="4" w:space="0" w:color="auto"/>
            </w:tcBorders>
            <w:shd w:val="clear" w:color="auto" w:fill="auto"/>
            <w:noWrap/>
            <w:vAlign w:val="center"/>
            <w:hideMark/>
          </w:tcPr>
          <w:p w:rsidR="008A6A2B" w:rsidRPr="007D3889" w:rsidRDefault="008A6A2B" w:rsidP="00796333">
            <w:pPr>
              <w:jc w:val="center"/>
              <w:rPr>
                <w:sz w:val="20"/>
                <w:szCs w:val="20"/>
              </w:rPr>
            </w:pPr>
            <w:r w:rsidRPr="007D3889">
              <w:rPr>
                <w:sz w:val="20"/>
                <w:szCs w:val="20"/>
              </w:rPr>
              <w:t>Sept 11, 2015</w:t>
            </w:r>
          </w:p>
        </w:tc>
        <w:tc>
          <w:tcPr>
            <w:tcW w:w="1783" w:type="dxa"/>
            <w:tcBorders>
              <w:top w:val="nil"/>
              <w:left w:val="nil"/>
              <w:bottom w:val="single" w:sz="4" w:space="0" w:color="auto"/>
              <w:right w:val="single" w:sz="4" w:space="0" w:color="auto"/>
            </w:tcBorders>
            <w:shd w:val="clear" w:color="auto" w:fill="auto"/>
            <w:noWrap/>
            <w:vAlign w:val="center"/>
            <w:hideMark/>
          </w:tcPr>
          <w:p w:rsidR="008A6A2B" w:rsidRPr="007D3889" w:rsidRDefault="008A6A2B" w:rsidP="00796333">
            <w:pPr>
              <w:jc w:val="center"/>
              <w:rPr>
                <w:color w:val="000000"/>
                <w:sz w:val="20"/>
                <w:szCs w:val="20"/>
              </w:rPr>
            </w:pPr>
            <w:r w:rsidRPr="007D3889">
              <w:rPr>
                <w:color w:val="000000"/>
                <w:sz w:val="20"/>
                <w:szCs w:val="20"/>
              </w:rPr>
              <w:t>2.8</w:t>
            </w:r>
          </w:p>
        </w:tc>
        <w:tc>
          <w:tcPr>
            <w:tcW w:w="1869" w:type="dxa"/>
            <w:tcBorders>
              <w:top w:val="nil"/>
              <w:left w:val="nil"/>
              <w:bottom w:val="single" w:sz="4" w:space="0" w:color="auto"/>
              <w:right w:val="single" w:sz="4" w:space="0" w:color="auto"/>
            </w:tcBorders>
            <w:shd w:val="clear" w:color="auto" w:fill="auto"/>
            <w:noWrap/>
            <w:vAlign w:val="center"/>
            <w:hideMark/>
          </w:tcPr>
          <w:p w:rsidR="008A6A2B" w:rsidRPr="007D3889" w:rsidRDefault="008A6A2B" w:rsidP="00796333">
            <w:pPr>
              <w:jc w:val="center"/>
              <w:rPr>
                <w:color w:val="000000"/>
                <w:sz w:val="20"/>
                <w:szCs w:val="20"/>
              </w:rPr>
            </w:pPr>
            <w:r w:rsidRPr="007D3889">
              <w:rPr>
                <w:color w:val="000000"/>
                <w:sz w:val="20"/>
                <w:szCs w:val="20"/>
              </w:rPr>
              <w:t>2.2</w:t>
            </w:r>
          </w:p>
        </w:tc>
        <w:tc>
          <w:tcPr>
            <w:tcW w:w="1397" w:type="dxa"/>
            <w:tcBorders>
              <w:top w:val="nil"/>
              <w:left w:val="nil"/>
              <w:bottom w:val="single" w:sz="4" w:space="0" w:color="auto"/>
              <w:right w:val="single" w:sz="4" w:space="0" w:color="auto"/>
            </w:tcBorders>
            <w:shd w:val="clear" w:color="auto" w:fill="auto"/>
            <w:noWrap/>
            <w:vAlign w:val="center"/>
            <w:hideMark/>
          </w:tcPr>
          <w:p w:rsidR="008A6A2B" w:rsidRPr="007D3889" w:rsidRDefault="008A6A2B" w:rsidP="00796333">
            <w:pPr>
              <w:jc w:val="center"/>
              <w:rPr>
                <w:color w:val="000000"/>
                <w:sz w:val="20"/>
                <w:szCs w:val="20"/>
              </w:rPr>
            </w:pPr>
            <w:r w:rsidRPr="007D3889">
              <w:rPr>
                <w:color w:val="000000"/>
                <w:sz w:val="20"/>
                <w:szCs w:val="20"/>
              </w:rPr>
              <w:t>-0.5</w:t>
            </w:r>
          </w:p>
        </w:tc>
        <w:tc>
          <w:tcPr>
            <w:tcW w:w="1193" w:type="dxa"/>
            <w:tcBorders>
              <w:top w:val="nil"/>
              <w:left w:val="nil"/>
              <w:bottom w:val="single" w:sz="4" w:space="0" w:color="auto"/>
              <w:right w:val="single" w:sz="4" w:space="0" w:color="auto"/>
            </w:tcBorders>
            <w:shd w:val="clear" w:color="auto" w:fill="auto"/>
            <w:noWrap/>
            <w:vAlign w:val="center"/>
            <w:hideMark/>
          </w:tcPr>
          <w:p w:rsidR="008A6A2B" w:rsidRPr="007D3889" w:rsidRDefault="008A6A2B" w:rsidP="00796333">
            <w:pPr>
              <w:jc w:val="center"/>
              <w:rPr>
                <w:color w:val="000000"/>
                <w:sz w:val="20"/>
                <w:szCs w:val="20"/>
              </w:rPr>
            </w:pPr>
            <w:r w:rsidRPr="007D3889">
              <w:rPr>
                <w:color w:val="000000"/>
                <w:sz w:val="20"/>
                <w:szCs w:val="20"/>
              </w:rPr>
              <w:t>82.6</w:t>
            </w:r>
          </w:p>
        </w:tc>
      </w:tr>
    </w:tbl>
    <w:p w:rsidR="001E57C9" w:rsidRDefault="00DD0D4B" w:rsidP="00DD0D4B">
      <w:pPr>
        <w:pStyle w:val="BodyParaAfterTableFigure"/>
        <w:spacing w:before="0"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fldChar w:fldCharType="end"/>
      </w:r>
      <w:r w:rsidRPr="00B777EF">
        <w:rPr>
          <w:rFonts w:ascii="Times New Roman" w:hAnsi="Times New Roman"/>
          <w:color w:val="000000" w:themeColor="text1"/>
          <w:sz w:val="24"/>
          <w:szCs w:val="24"/>
        </w:rPr>
        <w:t xml:space="preserve"> </w:t>
      </w:r>
    </w:p>
    <w:p w:rsidR="00DD0D4B" w:rsidRPr="00B777EF" w:rsidRDefault="001E57C9" w:rsidP="00DD0D4B">
      <w:pPr>
        <w:pStyle w:val="BodyParaAfterTableFigure"/>
        <w:spacing w:before="0" w:after="0" w:line="276" w:lineRule="auto"/>
        <w:ind w:firstLine="360"/>
        <w:rPr>
          <w:rFonts w:ascii="Times New Roman" w:hAnsi="Times New Roman"/>
          <w:color w:val="000000" w:themeColor="text1"/>
          <w:sz w:val="24"/>
          <w:szCs w:val="24"/>
        </w:rPr>
      </w:pPr>
      <w:r w:rsidRPr="001E57C9">
        <w:rPr>
          <w:rFonts w:ascii="Times New Roman" w:hAnsi="Times New Roman"/>
          <w:color w:val="000000" w:themeColor="text1"/>
          <w:sz w:val="22"/>
        </w:rPr>
        <w:t>Table 10-7</w:t>
      </w:r>
      <w:r>
        <w:rPr>
          <w:rFonts w:ascii="Times New Roman" w:hAnsi="Times New Roman"/>
          <w:color w:val="000000" w:themeColor="text1"/>
          <w:sz w:val="24"/>
          <w:szCs w:val="24"/>
        </w:rPr>
        <w:t xml:space="preserve"> </w:t>
      </w:r>
      <w:r w:rsidR="00DD0D4B" w:rsidRPr="00B777EF">
        <w:rPr>
          <w:rFonts w:ascii="Times New Roman" w:hAnsi="Times New Roman"/>
          <w:color w:val="000000" w:themeColor="text1"/>
          <w:sz w:val="24"/>
          <w:szCs w:val="24"/>
        </w:rPr>
        <w:t xml:space="preserve">shows the results of the </w:t>
      </w:r>
      <w:r w:rsidR="008C46A8" w:rsidRPr="00B777EF">
        <w:rPr>
          <w:rFonts w:ascii="Times New Roman" w:hAnsi="Times New Roman"/>
          <w:color w:val="000000" w:themeColor="text1"/>
          <w:sz w:val="24"/>
          <w:szCs w:val="24"/>
        </w:rPr>
        <w:t>ex-ante</w:t>
      </w:r>
      <w:r w:rsidR="00DD0D4B" w:rsidRPr="00B777EF">
        <w:rPr>
          <w:rFonts w:ascii="Times New Roman" w:hAnsi="Times New Roman"/>
          <w:color w:val="000000" w:themeColor="text1"/>
          <w:sz w:val="24"/>
          <w:szCs w:val="24"/>
        </w:rPr>
        <w:t xml:space="preserve"> impact modeling for the four event days at hour ending 4 PM, as compared to the estimates in the </w:t>
      </w:r>
      <w:r w:rsidR="008C46A8" w:rsidRPr="00B777EF">
        <w:rPr>
          <w:rFonts w:ascii="Times New Roman" w:hAnsi="Times New Roman"/>
          <w:color w:val="000000" w:themeColor="text1"/>
          <w:sz w:val="24"/>
          <w:szCs w:val="24"/>
        </w:rPr>
        <w:t>ex-post</w:t>
      </w:r>
      <w:r w:rsidR="00DD0D4B" w:rsidRPr="00B777EF">
        <w:rPr>
          <w:rFonts w:ascii="Times New Roman" w:hAnsi="Times New Roman"/>
          <w:color w:val="000000" w:themeColor="text1"/>
          <w:sz w:val="24"/>
          <w:szCs w:val="24"/>
        </w:rPr>
        <w:t xml:space="preserve"> analysis. The </w:t>
      </w:r>
      <w:r w:rsidR="008C46A8" w:rsidRPr="00B777EF">
        <w:rPr>
          <w:rFonts w:ascii="Times New Roman" w:hAnsi="Times New Roman"/>
          <w:color w:val="000000" w:themeColor="text1"/>
          <w:sz w:val="24"/>
          <w:szCs w:val="24"/>
        </w:rPr>
        <w:t>ex-post</w:t>
      </w:r>
      <w:r w:rsidR="00DD0D4B" w:rsidRPr="00B777EF">
        <w:rPr>
          <w:rFonts w:ascii="Times New Roman" w:hAnsi="Times New Roman"/>
          <w:color w:val="000000" w:themeColor="text1"/>
          <w:sz w:val="24"/>
          <w:szCs w:val="24"/>
        </w:rPr>
        <w:t xml:space="preserve"> impacts estimated in the 2014 and 2015 analyses do not show an obvious relationship with weather. Since, in general, higher impacts on hotter days are expected, and that is consistent with the findings in the Summer Saver analysis, the impacts for September 10 and 11 are underestimated with the </w:t>
      </w:r>
      <w:r w:rsidR="008C46A8" w:rsidRPr="00B777EF">
        <w:rPr>
          <w:rFonts w:ascii="Times New Roman" w:hAnsi="Times New Roman"/>
          <w:color w:val="000000" w:themeColor="text1"/>
          <w:sz w:val="24"/>
          <w:szCs w:val="24"/>
        </w:rPr>
        <w:t>ex-ante</w:t>
      </w:r>
      <w:r w:rsidR="00DD0D4B" w:rsidRPr="00B777EF">
        <w:rPr>
          <w:rFonts w:ascii="Times New Roman" w:hAnsi="Times New Roman"/>
          <w:color w:val="000000" w:themeColor="text1"/>
          <w:sz w:val="24"/>
          <w:szCs w:val="24"/>
        </w:rPr>
        <w:t xml:space="preserve"> methodology.</w:t>
      </w:r>
    </w:p>
    <w:p w:rsidR="00DD0D4B" w:rsidRPr="007B6EAE" w:rsidRDefault="00DD0D4B" w:rsidP="00DD0D4B">
      <w:pPr>
        <w:pStyle w:val="BodyParagraph"/>
      </w:pPr>
    </w:p>
    <w:p w:rsidR="00DD0D4B" w:rsidRPr="003241C4" w:rsidRDefault="00DD0D4B" w:rsidP="007D3889">
      <w:pPr>
        <w:pStyle w:val="Caption"/>
        <w:spacing w:after="120"/>
        <w:jc w:val="center"/>
        <w:rPr>
          <w:sz w:val="22"/>
          <w:szCs w:val="22"/>
        </w:rPr>
      </w:pPr>
      <w:r w:rsidRPr="00EB1E2E">
        <w:rPr>
          <w:sz w:val="22"/>
          <w:szCs w:val="22"/>
        </w:rPr>
        <w:t xml:space="preserve">Table </w:t>
      </w:r>
      <w:r w:rsidRPr="00EB1E2E">
        <w:rPr>
          <w:sz w:val="22"/>
          <w:szCs w:val="22"/>
        </w:rPr>
        <w:fldChar w:fldCharType="begin"/>
      </w:r>
      <w:r w:rsidRPr="00EB1E2E">
        <w:rPr>
          <w:sz w:val="22"/>
          <w:szCs w:val="22"/>
        </w:rPr>
        <w:instrText xml:space="preserve"> STYLEREF 1 \s </w:instrText>
      </w:r>
      <w:r w:rsidRPr="00EB1E2E">
        <w:rPr>
          <w:sz w:val="22"/>
          <w:szCs w:val="22"/>
        </w:rPr>
        <w:fldChar w:fldCharType="separate"/>
      </w:r>
      <w:r w:rsidR="008A6A2B">
        <w:rPr>
          <w:noProof/>
          <w:sz w:val="22"/>
          <w:szCs w:val="22"/>
        </w:rPr>
        <w:t>10</w:t>
      </w:r>
      <w:r w:rsidRPr="00EB1E2E">
        <w:rPr>
          <w:sz w:val="22"/>
          <w:szCs w:val="22"/>
        </w:rPr>
        <w:fldChar w:fldCharType="end"/>
      </w:r>
      <w:r w:rsidRPr="00EB1E2E">
        <w:rPr>
          <w:sz w:val="22"/>
          <w:szCs w:val="22"/>
        </w:rPr>
        <w:noBreakHyphen/>
      </w:r>
      <w:r w:rsidRPr="00EB1E2E">
        <w:rPr>
          <w:sz w:val="22"/>
          <w:szCs w:val="22"/>
        </w:rPr>
        <w:fldChar w:fldCharType="begin"/>
      </w:r>
      <w:r w:rsidRPr="00EB1E2E">
        <w:rPr>
          <w:sz w:val="22"/>
          <w:szCs w:val="22"/>
        </w:rPr>
        <w:instrText xml:space="preserve"> SEQ Table \* ARABIC \s 1 </w:instrText>
      </w:r>
      <w:r w:rsidRPr="00EB1E2E">
        <w:rPr>
          <w:sz w:val="22"/>
          <w:szCs w:val="22"/>
        </w:rPr>
        <w:fldChar w:fldCharType="separate"/>
      </w:r>
      <w:r w:rsidR="008A6A2B">
        <w:rPr>
          <w:noProof/>
          <w:sz w:val="22"/>
          <w:szCs w:val="22"/>
        </w:rPr>
        <w:t>7</w:t>
      </w:r>
      <w:r w:rsidRPr="00EB1E2E">
        <w:rPr>
          <w:sz w:val="22"/>
          <w:szCs w:val="22"/>
        </w:rPr>
        <w:fldChar w:fldCharType="end"/>
      </w:r>
      <w:r w:rsidR="0024252A">
        <w:rPr>
          <w:sz w:val="22"/>
          <w:szCs w:val="22"/>
        </w:rPr>
        <w:t>:</w:t>
      </w:r>
      <w:r w:rsidRPr="00EB1E2E">
        <w:rPr>
          <w:sz w:val="22"/>
          <w:szCs w:val="22"/>
        </w:rPr>
        <w:t xml:space="preserve"> </w:t>
      </w:r>
      <w:r w:rsidR="008C46A8">
        <w:rPr>
          <w:sz w:val="22"/>
          <w:szCs w:val="22"/>
        </w:rPr>
        <w:t>Ex-Post</w:t>
      </w:r>
      <w:r w:rsidRPr="00EB1E2E">
        <w:rPr>
          <w:sz w:val="22"/>
          <w:szCs w:val="22"/>
        </w:rPr>
        <w:t xml:space="preserve"> and </w:t>
      </w:r>
      <w:r w:rsidR="008C46A8">
        <w:rPr>
          <w:sz w:val="22"/>
          <w:szCs w:val="22"/>
        </w:rPr>
        <w:t>Ex-Ante</w:t>
      </w:r>
      <w:r w:rsidRPr="00EB1E2E">
        <w:rPr>
          <w:sz w:val="22"/>
          <w:szCs w:val="22"/>
        </w:rPr>
        <w:t xml:space="preserve"> Impact Validation for Event Days at Hour Ending 4 PM</w:t>
      </w:r>
    </w:p>
    <w:tbl>
      <w:tblPr>
        <w:tblW w:w="7966" w:type="dxa"/>
        <w:jc w:val="center"/>
        <w:tblLook w:val="04A0" w:firstRow="1" w:lastRow="0" w:firstColumn="1" w:lastColumn="0" w:noHBand="0" w:noVBand="1"/>
      </w:tblPr>
      <w:tblGrid>
        <w:gridCol w:w="1724"/>
        <w:gridCol w:w="1783"/>
        <w:gridCol w:w="1869"/>
        <w:gridCol w:w="1397"/>
        <w:gridCol w:w="1193"/>
      </w:tblGrid>
      <w:tr w:rsidR="00DD0D4B" w:rsidRPr="000F1985" w:rsidTr="00796333">
        <w:trPr>
          <w:trHeight w:val="720"/>
          <w:jc w:val="center"/>
        </w:trPr>
        <w:tc>
          <w:tcPr>
            <w:tcW w:w="1724" w:type="dxa"/>
            <w:vMerge w:val="restart"/>
            <w:tcBorders>
              <w:top w:val="single" w:sz="8" w:space="0" w:color="auto"/>
              <w:left w:val="single" w:sz="8" w:space="0" w:color="auto"/>
              <w:bottom w:val="nil"/>
              <w:right w:val="single" w:sz="8" w:space="0" w:color="FFFFFF"/>
            </w:tcBorders>
            <w:shd w:val="clear" w:color="auto" w:fill="1F497D" w:themeFill="text2"/>
            <w:vAlign w:val="center"/>
            <w:hideMark/>
          </w:tcPr>
          <w:p w:rsidR="00DD0D4B" w:rsidRPr="007D3889" w:rsidRDefault="00DD0D4B" w:rsidP="00796333">
            <w:pPr>
              <w:pStyle w:val="TableHeader"/>
              <w:spacing w:before="0" w:after="0"/>
              <w:rPr>
                <w:rFonts w:ascii="Times New Roman" w:hAnsi="Times New Roman"/>
                <w:szCs w:val="20"/>
              </w:rPr>
            </w:pPr>
            <w:bookmarkStart w:id="304" w:name="_Ref445991932"/>
            <w:r w:rsidRPr="007D3889">
              <w:rPr>
                <w:rFonts w:ascii="Times New Roman" w:hAnsi="Times New Roman"/>
                <w:szCs w:val="20"/>
              </w:rPr>
              <w:t>Date</w:t>
            </w:r>
          </w:p>
        </w:tc>
        <w:tc>
          <w:tcPr>
            <w:tcW w:w="1783" w:type="dxa"/>
            <w:vMerge w:val="restart"/>
            <w:tcBorders>
              <w:top w:val="single" w:sz="8" w:space="0" w:color="auto"/>
              <w:left w:val="single" w:sz="8" w:space="0" w:color="FFFFFF"/>
              <w:bottom w:val="nil"/>
              <w:right w:val="single" w:sz="8" w:space="0" w:color="FFFFFF"/>
            </w:tcBorders>
            <w:shd w:val="clear" w:color="auto" w:fill="1F497D" w:themeFill="text2"/>
            <w:vAlign w:val="center"/>
            <w:hideMark/>
          </w:tcPr>
          <w:p w:rsidR="00DD0D4B" w:rsidRPr="007D3889" w:rsidRDefault="008C46A8" w:rsidP="00796333">
            <w:pPr>
              <w:pStyle w:val="TableHeader"/>
              <w:spacing w:before="0" w:after="0"/>
              <w:rPr>
                <w:rFonts w:ascii="Times New Roman" w:hAnsi="Times New Roman"/>
                <w:szCs w:val="20"/>
              </w:rPr>
            </w:pPr>
            <w:r>
              <w:rPr>
                <w:rFonts w:ascii="Times New Roman" w:hAnsi="Times New Roman"/>
                <w:szCs w:val="20"/>
              </w:rPr>
              <w:t>Ex-Post</w:t>
            </w:r>
            <w:r w:rsidR="00DD0D4B" w:rsidRPr="007D3889">
              <w:rPr>
                <w:rFonts w:ascii="Times New Roman" w:hAnsi="Times New Roman"/>
                <w:szCs w:val="20"/>
              </w:rPr>
              <w:t xml:space="preserve"> Impact</w:t>
            </w:r>
            <w:r w:rsidR="00DD0D4B" w:rsidRPr="007D3889">
              <w:rPr>
                <w:rFonts w:ascii="Times New Roman" w:hAnsi="Times New Roman"/>
                <w:szCs w:val="20"/>
              </w:rPr>
              <w:br/>
              <w:t>(kW)</w:t>
            </w:r>
          </w:p>
        </w:tc>
        <w:tc>
          <w:tcPr>
            <w:tcW w:w="1869" w:type="dxa"/>
            <w:vMerge w:val="restart"/>
            <w:tcBorders>
              <w:top w:val="single" w:sz="8" w:space="0" w:color="auto"/>
              <w:left w:val="single" w:sz="8" w:space="0" w:color="FFFFFF"/>
              <w:bottom w:val="nil"/>
              <w:right w:val="single" w:sz="8" w:space="0" w:color="FFFFFF"/>
            </w:tcBorders>
            <w:shd w:val="clear" w:color="auto" w:fill="1F497D" w:themeFill="text2"/>
            <w:vAlign w:val="center"/>
            <w:hideMark/>
          </w:tcPr>
          <w:p w:rsidR="00DD0D4B" w:rsidRPr="007D3889" w:rsidRDefault="008C46A8" w:rsidP="00796333">
            <w:pPr>
              <w:pStyle w:val="TableHeader"/>
              <w:spacing w:before="0" w:after="0"/>
              <w:rPr>
                <w:rFonts w:ascii="Times New Roman" w:hAnsi="Times New Roman"/>
                <w:szCs w:val="20"/>
              </w:rPr>
            </w:pPr>
            <w:r>
              <w:rPr>
                <w:rFonts w:ascii="Times New Roman" w:hAnsi="Times New Roman"/>
                <w:szCs w:val="20"/>
              </w:rPr>
              <w:t>Ex-Ante</w:t>
            </w:r>
            <w:r w:rsidR="00DD0D4B" w:rsidRPr="007D3889">
              <w:rPr>
                <w:rFonts w:ascii="Times New Roman" w:hAnsi="Times New Roman"/>
                <w:szCs w:val="20"/>
              </w:rPr>
              <w:t xml:space="preserve"> Impact</w:t>
            </w:r>
            <w:r w:rsidR="00DD0D4B" w:rsidRPr="007D3889">
              <w:rPr>
                <w:rFonts w:ascii="Times New Roman" w:hAnsi="Times New Roman"/>
                <w:szCs w:val="20"/>
              </w:rPr>
              <w:br/>
              <w:t>(kW)</w:t>
            </w:r>
          </w:p>
        </w:tc>
        <w:tc>
          <w:tcPr>
            <w:tcW w:w="1397" w:type="dxa"/>
            <w:vMerge w:val="restart"/>
            <w:tcBorders>
              <w:top w:val="single" w:sz="8" w:space="0" w:color="auto"/>
              <w:left w:val="single" w:sz="8" w:space="0" w:color="FFFFFF"/>
              <w:bottom w:val="nil"/>
              <w:right w:val="single" w:sz="4" w:space="0" w:color="FFFFFF" w:themeColor="background1"/>
            </w:tcBorders>
            <w:shd w:val="clear" w:color="auto" w:fill="1F497D" w:themeFill="text2"/>
            <w:vAlign w:val="center"/>
            <w:hideMark/>
          </w:tcPr>
          <w:p w:rsidR="00DD0D4B" w:rsidRPr="007D3889" w:rsidRDefault="00DD0D4B" w:rsidP="00796333">
            <w:pPr>
              <w:pStyle w:val="TableHeader"/>
              <w:spacing w:before="0" w:after="0"/>
              <w:rPr>
                <w:rFonts w:ascii="Times New Roman" w:hAnsi="Times New Roman"/>
                <w:szCs w:val="20"/>
              </w:rPr>
            </w:pPr>
            <w:r w:rsidRPr="007D3889">
              <w:rPr>
                <w:rFonts w:ascii="Times New Roman" w:hAnsi="Times New Roman"/>
                <w:szCs w:val="20"/>
              </w:rPr>
              <w:t>Difference (kW)</w:t>
            </w:r>
          </w:p>
        </w:tc>
        <w:tc>
          <w:tcPr>
            <w:tcW w:w="1193" w:type="dxa"/>
            <w:vMerge w:val="restart"/>
            <w:tcBorders>
              <w:top w:val="single" w:sz="8" w:space="0" w:color="auto"/>
              <w:left w:val="single" w:sz="4" w:space="0" w:color="FFFFFF" w:themeColor="background1"/>
              <w:bottom w:val="nil"/>
              <w:right w:val="single" w:sz="8" w:space="0" w:color="auto"/>
            </w:tcBorders>
            <w:shd w:val="clear" w:color="auto" w:fill="1F497D" w:themeFill="text2"/>
            <w:vAlign w:val="center"/>
            <w:hideMark/>
          </w:tcPr>
          <w:p w:rsidR="00DD0D4B" w:rsidRPr="007D3889" w:rsidRDefault="00DD0D4B" w:rsidP="00796333">
            <w:pPr>
              <w:pStyle w:val="TableHeader"/>
              <w:spacing w:before="0" w:after="0"/>
              <w:rPr>
                <w:rFonts w:ascii="Times New Roman" w:hAnsi="Times New Roman"/>
                <w:szCs w:val="20"/>
              </w:rPr>
            </w:pPr>
            <w:r w:rsidRPr="007D3889">
              <w:rPr>
                <w:rFonts w:ascii="Times New Roman" w:hAnsi="Times New Roman"/>
                <w:szCs w:val="20"/>
              </w:rPr>
              <w:t>Mean17</w:t>
            </w:r>
          </w:p>
        </w:tc>
      </w:tr>
      <w:tr w:rsidR="00DD0D4B" w:rsidRPr="000F1985" w:rsidTr="00796333">
        <w:trPr>
          <w:trHeight w:val="253"/>
          <w:jc w:val="center"/>
        </w:trPr>
        <w:tc>
          <w:tcPr>
            <w:tcW w:w="1724" w:type="dxa"/>
            <w:vMerge/>
            <w:tcBorders>
              <w:top w:val="single" w:sz="8" w:space="0" w:color="auto"/>
              <w:left w:val="single" w:sz="8" w:space="0" w:color="auto"/>
              <w:bottom w:val="nil"/>
              <w:right w:val="single" w:sz="8" w:space="0" w:color="FFFFFF"/>
            </w:tcBorders>
            <w:vAlign w:val="center"/>
            <w:hideMark/>
          </w:tcPr>
          <w:p w:rsidR="00DD0D4B" w:rsidRPr="007D3889" w:rsidRDefault="00DD0D4B" w:rsidP="00796333">
            <w:pPr>
              <w:rPr>
                <w:b/>
                <w:bCs/>
                <w:color w:val="FFFFFF"/>
                <w:sz w:val="20"/>
                <w:szCs w:val="20"/>
              </w:rPr>
            </w:pPr>
          </w:p>
        </w:tc>
        <w:tc>
          <w:tcPr>
            <w:tcW w:w="1783" w:type="dxa"/>
            <w:vMerge/>
            <w:tcBorders>
              <w:top w:val="single" w:sz="8" w:space="0" w:color="auto"/>
              <w:left w:val="single" w:sz="8" w:space="0" w:color="FFFFFF"/>
              <w:bottom w:val="nil"/>
              <w:right w:val="single" w:sz="8" w:space="0" w:color="FFFFFF"/>
            </w:tcBorders>
            <w:vAlign w:val="center"/>
            <w:hideMark/>
          </w:tcPr>
          <w:p w:rsidR="00DD0D4B" w:rsidRPr="007D3889" w:rsidRDefault="00DD0D4B" w:rsidP="00796333">
            <w:pPr>
              <w:rPr>
                <w:b/>
                <w:bCs/>
                <w:color w:val="FFFFFF"/>
                <w:sz w:val="20"/>
                <w:szCs w:val="20"/>
              </w:rPr>
            </w:pPr>
          </w:p>
        </w:tc>
        <w:tc>
          <w:tcPr>
            <w:tcW w:w="1869" w:type="dxa"/>
            <w:vMerge/>
            <w:tcBorders>
              <w:top w:val="single" w:sz="8" w:space="0" w:color="auto"/>
              <w:left w:val="single" w:sz="8" w:space="0" w:color="FFFFFF"/>
              <w:bottom w:val="nil"/>
              <w:right w:val="single" w:sz="8" w:space="0" w:color="FFFFFF"/>
            </w:tcBorders>
            <w:vAlign w:val="center"/>
            <w:hideMark/>
          </w:tcPr>
          <w:p w:rsidR="00DD0D4B" w:rsidRPr="007D3889" w:rsidRDefault="00DD0D4B" w:rsidP="00796333">
            <w:pPr>
              <w:rPr>
                <w:b/>
                <w:bCs/>
                <w:color w:val="FFFFFF"/>
                <w:sz w:val="20"/>
                <w:szCs w:val="20"/>
              </w:rPr>
            </w:pPr>
          </w:p>
        </w:tc>
        <w:tc>
          <w:tcPr>
            <w:tcW w:w="1397" w:type="dxa"/>
            <w:vMerge/>
            <w:tcBorders>
              <w:top w:val="single" w:sz="8" w:space="0" w:color="auto"/>
              <w:left w:val="single" w:sz="8" w:space="0" w:color="FFFFFF"/>
              <w:bottom w:val="nil"/>
              <w:right w:val="single" w:sz="4" w:space="0" w:color="FFFFFF" w:themeColor="background1"/>
            </w:tcBorders>
            <w:vAlign w:val="center"/>
            <w:hideMark/>
          </w:tcPr>
          <w:p w:rsidR="00DD0D4B" w:rsidRPr="007D3889" w:rsidRDefault="00DD0D4B" w:rsidP="00796333">
            <w:pPr>
              <w:rPr>
                <w:b/>
                <w:bCs/>
                <w:color w:val="FFFFFF"/>
                <w:sz w:val="20"/>
                <w:szCs w:val="20"/>
              </w:rPr>
            </w:pPr>
          </w:p>
        </w:tc>
        <w:tc>
          <w:tcPr>
            <w:tcW w:w="1193" w:type="dxa"/>
            <w:vMerge/>
            <w:tcBorders>
              <w:top w:val="single" w:sz="8" w:space="0" w:color="auto"/>
              <w:left w:val="single" w:sz="4" w:space="0" w:color="FFFFFF" w:themeColor="background1"/>
              <w:bottom w:val="nil"/>
              <w:right w:val="single" w:sz="8" w:space="0" w:color="auto"/>
            </w:tcBorders>
            <w:vAlign w:val="center"/>
            <w:hideMark/>
          </w:tcPr>
          <w:p w:rsidR="00DD0D4B" w:rsidRPr="007D3889" w:rsidRDefault="00DD0D4B" w:rsidP="00796333">
            <w:pPr>
              <w:rPr>
                <w:b/>
                <w:bCs/>
                <w:color w:val="FFFFFF"/>
                <w:sz w:val="20"/>
                <w:szCs w:val="20"/>
              </w:rPr>
            </w:pPr>
          </w:p>
        </w:tc>
      </w:tr>
      <w:tr w:rsidR="00DD0D4B" w:rsidRPr="000F1985" w:rsidTr="00796333">
        <w:trPr>
          <w:trHeight w:val="300"/>
          <w:jc w:val="center"/>
        </w:trPr>
        <w:tc>
          <w:tcPr>
            <w:tcW w:w="17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0D4B" w:rsidRPr="007D3889" w:rsidRDefault="00DD0D4B" w:rsidP="00796333">
            <w:pPr>
              <w:jc w:val="center"/>
              <w:rPr>
                <w:sz w:val="20"/>
                <w:szCs w:val="20"/>
              </w:rPr>
            </w:pPr>
            <w:r w:rsidRPr="007D3889">
              <w:rPr>
                <w:sz w:val="20"/>
                <w:szCs w:val="20"/>
              </w:rPr>
              <w:t>Aug 28, 2015</w:t>
            </w:r>
          </w:p>
        </w:tc>
        <w:tc>
          <w:tcPr>
            <w:tcW w:w="1783" w:type="dxa"/>
            <w:tcBorders>
              <w:top w:val="single" w:sz="4" w:space="0" w:color="auto"/>
              <w:left w:val="nil"/>
              <w:bottom w:val="single" w:sz="4" w:space="0" w:color="auto"/>
              <w:right w:val="single" w:sz="4" w:space="0" w:color="auto"/>
            </w:tcBorders>
            <w:shd w:val="clear" w:color="auto" w:fill="auto"/>
            <w:noWrap/>
            <w:vAlign w:val="center"/>
            <w:hideMark/>
          </w:tcPr>
          <w:p w:rsidR="00DD0D4B" w:rsidRPr="007D3889" w:rsidRDefault="00DD0D4B" w:rsidP="00796333">
            <w:pPr>
              <w:jc w:val="center"/>
              <w:rPr>
                <w:color w:val="000000"/>
                <w:sz w:val="20"/>
                <w:szCs w:val="20"/>
              </w:rPr>
            </w:pPr>
            <w:r w:rsidRPr="007D3889">
              <w:rPr>
                <w:color w:val="000000"/>
                <w:sz w:val="20"/>
                <w:szCs w:val="20"/>
              </w:rPr>
              <w:t>1.5</w:t>
            </w:r>
          </w:p>
        </w:tc>
        <w:tc>
          <w:tcPr>
            <w:tcW w:w="1869" w:type="dxa"/>
            <w:tcBorders>
              <w:top w:val="single" w:sz="4" w:space="0" w:color="auto"/>
              <w:left w:val="nil"/>
              <w:bottom w:val="single" w:sz="4" w:space="0" w:color="auto"/>
              <w:right w:val="single" w:sz="4" w:space="0" w:color="auto"/>
            </w:tcBorders>
            <w:shd w:val="clear" w:color="auto" w:fill="auto"/>
            <w:noWrap/>
            <w:vAlign w:val="center"/>
            <w:hideMark/>
          </w:tcPr>
          <w:p w:rsidR="00DD0D4B" w:rsidRPr="007D3889" w:rsidRDefault="00DD0D4B" w:rsidP="00796333">
            <w:pPr>
              <w:jc w:val="center"/>
              <w:rPr>
                <w:color w:val="000000"/>
                <w:sz w:val="20"/>
                <w:szCs w:val="20"/>
              </w:rPr>
            </w:pPr>
            <w:r w:rsidRPr="007D3889">
              <w:rPr>
                <w:color w:val="000000"/>
                <w:sz w:val="20"/>
                <w:szCs w:val="20"/>
              </w:rPr>
              <w:t>2.2</w:t>
            </w:r>
          </w:p>
        </w:tc>
        <w:tc>
          <w:tcPr>
            <w:tcW w:w="1397" w:type="dxa"/>
            <w:tcBorders>
              <w:top w:val="single" w:sz="4" w:space="0" w:color="auto"/>
              <w:left w:val="nil"/>
              <w:bottom w:val="single" w:sz="4" w:space="0" w:color="auto"/>
              <w:right w:val="single" w:sz="4" w:space="0" w:color="auto"/>
            </w:tcBorders>
            <w:shd w:val="clear" w:color="auto" w:fill="auto"/>
            <w:noWrap/>
            <w:vAlign w:val="center"/>
            <w:hideMark/>
          </w:tcPr>
          <w:p w:rsidR="00DD0D4B" w:rsidRPr="007D3889" w:rsidRDefault="00DD0D4B" w:rsidP="00796333">
            <w:pPr>
              <w:jc w:val="center"/>
              <w:rPr>
                <w:color w:val="000000"/>
                <w:sz w:val="20"/>
                <w:szCs w:val="20"/>
              </w:rPr>
            </w:pPr>
            <w:r w:rsidRPr="007D3889">
              <w:rPr>
                <w:color w:val="000000"/>
                <w:sz w:val="20"/>
                <w:szCs w:val="20"/>
              </w:rPr>
              <w:t>0.7</w:t>
            </w:r>
          </w:p>
        </w:tc>
        <w:tc>
          <w:tcPr>
            <w:tcW w:w="1193" w:type="dxa"/>
            <w:tcBorders>
              <w:top w:val="single" w:sz="4" w:space="0" w:color="auto"/>
              <w:left w:val="nil"/>
              <w:bottom w:val="single" w:sz="4" w:space="0" w:color="auto"/>
              <w:right w:val="single" w:sz="4" w:space="0" w:color="auto"/>
            </w:tcBorders>
            <w:shd w:val="clear" w:color="auto" w:fill="auto"/>
            <w:noWrap/>
            <w:vAlign w:val="center"/>
            <w:hideMark/>
          </w:tcPr>
          <w:p w:rsidR="00DD0D4B" w:rsidRPr="007D3889" w:rsidRDefault="00DD0D4B" w:rsidP="00796333">
            <w:pPr>
              <w:jc w:val="center"/>
              <w:rPr>
                <w:color w:val="000000"/>
                <w:sz w:val="20"/>
                <w:szCs w:val="20"/>
              </w:rPr>
            </w:pPr>
            <w:r w:rsidRPr="007D3889">
              <w:rPr>
                <w:color w:val="000000"/>
                <w:sz w:val="20"/>
                <w:szCs w:val="20"/>
              </w:rPr>
              <w:t>82.2</w:t>
            </w:r>
          </w:p>
        </w:tc>
      </w:tr>
      <w:tr w:rsidR="00DD0D4B" w:rsidRPr="000F1985" w:rsidTr="00796333">
        <w:trPr>
          <w:trHeight w:val="300"/>
          <w:jc w:val="center"/>
        </w:trPr>
        <w:tc>
          <w:tcPr>
            <w:tcW w:w="1724" w:type="dxa"/>
            <w:tcBorders>
              <w:top w:val="nil"/>
              <w:left w:val="single" w:sz="4" w:space="0" w:color="auto"/>
              <w:bottom w:val="single" w:sz="4" w:space="0" w:color="auto"/>
              <w:right w:val="single" w:sz="4" w:space="0" w:color="auto"/>
            </w:tcBorders>
            <w:shd w:val="clear" w:color="auto" w:fill="auto"/>
            <w:noWrap/>
            <w:vAlign w:val="center"/>
            <w:hideMark/>
          </w:tcPr>
          <w:p w:rsidR="00DD0D4B" w:rsidRPr="007D3889" w:rsidRDefault="00DD0D4B" w:rsidP="00796333">
            <w:pPr>
              <w:jc w:val="center"/>
              <w:rPr>
                <w:sz w:val="20"/>
                <w:szCs w:val="20"/>
              </w:rPr>
            </w:pPr>
            <w:r w:rsidRPr="007D3889">
              <w:rPr>
                <w:sz w:val="20"/>
                <w:szCs w:val="20"/>
              </w:rPr>
              <w:t>Sept 9, 2015</w:t>
            </w:r>
          </w:p>
        </w:tc>
        <w:tc>
          <w:tcPr>
            <w:tcW w:w="1783" w:type="dxa"/>
            <w:tcBorders>
              <w:top w:val="nil"/>
              <w:left w:val="nil"/>
              <w:bottom w:val="single" w:sz="4" w:space="0" w:color="auto"/>
              <w:right w:val="single" w:sz="4" w:space="0" w:color="auto"/>
            </w:tcBorders>
            <w:shd w:val="clear" w:color="auto" w:fill="auto"/>
            <w:noWrap/>
            <w:vAlign w:val="center"/>
            <w:hideMark/>
          </w:tcPr>
          <w:p w:rsidR="00DD0D4B" w:rsidRPr="007D3889" w:rsidRDefault="00DD0D4B" w:rsidP="00796333">
            <w:pPr>
              <w:jc w:val="center"/>
              <w:rPr>
                <w:color w:val="000000"/>
                <w:sz w:val="20"/>
                <w:szCs w:val="20"/>
              </w:rPr>
            </w:pPr>
            <w:r w:rsidRPr="007D3889">
              <w:rPr>
                <w:color w:val="000000"/>
                <w:sz w:val="20"/>
                <w:szCs w:val="20"/>
              </w:rPr>
              <w:t>2.3</w:t>
            </w:r>
          </w:p>
        </w:tc>
        <w:tc>
          <w:tcPr>
            <w:tcW w:w="1869" w:type="dxa"/>
            <w:tcBorders>
              <w:top w:val="nil"/>
              <w:left w:val="nil"/>
              <w:bottom w:val="single" w:sz="4" w:space="0" w:color="auto"/>
              <w:right w:val="single" w:sz="4" w:space="0" w:color="auto"/>
            </w:tcBorders>
            <w:shd w:val="clear" w:color="auto" w:fill="auto"/>
            <w:noWrap/>
            <w:vAlign w:val="center"/>
            <w:hideMark/>
          </w:tcPr>
          <w:p w:rsidR="00DD0D4B" w:rsidRPr="007D3889" w:rsidRDefault="00DD0D4B" w:rsidP="00796333">
            <w:pPr>
              <w:jc w:val="center"/>
              <w:rPr>
                <w:color w:val="000000"/>
                <w:sz w:val="20"/>
                <w:szCs w:val="20"/>
              </w:rPr>
            </w:pPr>
            <w:r w:rsidRPr="007D3889">
              <w:rPr>
                <w:color w:val="000000"/>
                <w:sz w:val="20"/>
                <w:szCs w:val="20"/>
              </w:rPr>
              <w:t>2.6</w:t>
            </w:r>
          </w:p>
        </w:tc>
        <w:tc>
          <w:tcPr>
            <w:tcW w:w="1397" w:type="dxa"/>
            <w:tcBorders>
              <w:top w:val="nil"/>
              <w:left w:val="nil"/>
              <w:bottom w:val="single" w:sz="4" w:space="0" w:color="auto"/>
              <w:right w:val="single" w:sz="4" w:space="0" w:color="auto"/>
            </w:tcBorders>
            <w:shd w:val="clear" w:color="auto" w:fill="auto"/>
            <w:noWrap/>
            <w:vAlign w:val="center"/>
            <w:hideMark/>
          </w:tcPr>
          <w:p w:rsidR="00DD0D4B" w:rsidRPr="007D3889" w:rsidRDefault="00DD0D4B" w:rsidP="00796333">
            <w:pPr>
              <w:jc w:val="center"/>
              <w:rPr>
                <w:color w:val="000000"/>
                <w:sz w:val="20"/>
                <w:szCs w:val="20"/>
              </w:rPr>
            </w:pPr>
            <w:r w:rsidRPr="007D3889">
              <w:rPr>
                <w:color w:val="000000"/>
                <w:sz w:val="20"/>
                <w:szCs w:val="20"/>
              </w:rPr>
              <w:t>0.4</w:t>
            </w:r>
          </w:p>
        </w:tc>
        <w:tc>
          <w:tcPr>
            <w:tcW w:w="1193" w:type="dxa"/>
            <w:tcBorders>
              <w:top w:val="nil"/>
              <w:left w:val="nil"/>
              <w:bottom w:val="single" w:sz="4" w:space="0" w:color="auto"/>
              <w:right w:val="single" w:sz="4" w:space="0" w:color="auto"/>
            </w:tcBorders>
            <w:shd w:val="clear" w:color="auto" w:fill="auto"/>
            <w:noWrap/>
            <w:vAlign w:val="center"/>
            <w:hideMark/>
          </w:tcPr>
          <w:p w:rsidR="00DD0D4B" w:rsidRPr="007D3889" w:rsidRDefault="00DD0D4B" w:rsidP="00796333">
            <w:pPr>
              <w:jc w:val="center"/>
              <w:rPr>
                <w:color w:val="000000"/>
                <w:sz w:val="20"/>
                <w:szCs w:val="20"/>
              </w:rPr>
            </w:pPr>
            <w:r w:rsidRPr="007D3889">
              <w:rPr>
                <w:color w:val="000000"/>
                <w:sz w:val="20"/>
                <w:szCs w:val="20"/>
              </w:rPr>
              <w:t>86.5</w:t>
            </w:r>
          </w:p>
        </w:tc>
      </w:tr>
      <w:tr w:rsidR="00DD0D4B" w:rsidRPr="000F1985" w:rsidTr="00796333">
        <w:trPr>
          <w:trHeight w:val="300"/>
          <w:jc w:val="center"/>
        </w:trPr>
        <w:tc>
          <w:tcPr>
            <w:tcW w:w="1724" w:type="dxa"/>
            <w:tcBorders>
              <w:top w:val="nil"/>
              <w:left w:val="single" w:sz="4" w:space="0" w:color="auto"/>
              <w:bottom w:val="single" w:sz="4" w:space="0" w:color="auto"/>
              <w:right w:val="single" w:sz="4" w:space="0" w:color="auto"/>
            </w:tcBorders>
            <w:shd w:val="clear" w:color="auto" w:fill="auto"/>
            <w:noWrap/>
            <w:vAlign w:val="center"/>
            <w:hideMark/>
          </w:tcPr>
          <w:p w:rsidR="00DD0D4B" w:rsidRPr="007D3889" w:rsidRDefault="00DD0D4B" w:rsidP="00796333">
            <w:pPr>
              <w:jc w:val="center"/>
              <w:rPr>
                <w:sz w:val="20"/>
                <w:szCs w:val="20"/>
              </w:rPr>
            </w:pPr>
            <w:r w:rsidRPr="007D3889">
              <w:rPr>
                <w:sz w:val="20"/>
                <w:szCs w:val="20"/>
              </w:rPr>
              <w:t>Sept 10, 2015</w:t>
            </w:r>
          </w:p>
        </w:tc>
        <w:tc>
          <w:tcPr>
            <w:tcW w:w="1783" w:type="dxa"/>
            <w:tcBorders>
              <w:top w:val="nil"/>
              <w:left w:val="nil"/>
              <w:bottom w:val="single" w:sz="4" w:space="0" w:color="auto"/>
              <w:right w:val="single" w:sz="4" w:space="0" w:color="auto"/>
            </w:tcBorders>
            <w:shd w:val="clear" w:color="auto" w:fill="auto"/>
            <w:noWrap/>
            <w:vAlign w:val="center"/>
            <w:hideMark/>
          </w:tcPr>
          <w:p w:rsidR="00DD0D4B" w:rsidRPr="007D3889" w:rsidRDefault="00DD0D4B" w:rsidP="00796333">
            <w:pPr>
              <w:jc w:val="center"/>
              <w:rPr>
                <w:color w:val="000000"/>
                <w:sz w:val="20"/>
                <w:szCs w:val="20"/>
              </w:rPr>
            </w:pPr>
            <w:r w:rsidRPr="007D3889">
              <w:rPr>
                <w:color w:val="000000"/>
                <w:sz w:val="20"/>
                <w:szCs w:val="20"/>
              </w:rPr>
              <w:t>3.0</w:t>
            </w:r>
          </w:p>
        </w:tc>
        <w:tc>
          <w:tcPr>
            <w:tcW w:w="1869" w:type="dxa"/>
            <w:tcBorders>
              <w:top w:val="nil"/>
              <w:left w:val="nil"/>
              <w:bottom w:val="single" w:sz="4" w:space="0" w:color="auto"/>
              <w:right w:val="single" w:sz="4" w:space="0" w:color="auto"/>
            </w:tcBorders>
            <w:shd w:val="clear" w:color="auto" w:fill="auto"/>
            <w:noWrap/>
            <w:vAlign w:val="center"/>
            <w:hideMark/>
          </w:tcPr>
          <w:p w:rsidR="00DD0D4B" w:rsidRPr="007D3889" w:rsidRDefault="00DD0D4B" w:rsidP="00796333">
            <w:pPr>
              <w:jc w:val="center"/>
              <w:rPr>
                <w:color w:val="000000"/>
                <w:sz w:val="20"/>
                <w:szCs w:val="20"/>
              </w:rPr>
            </w:pPr>
            <w:r w:rsidRPr="007D3889">
              <w:rPr>
                <w:color w:val="000000"/>
                <w:sz w:val="20"/>
                <w:szCs w:val="20"/>
              </w:rPr>
              <w:t>2.5</w:t>
            </w:r>
          </w:p>
        </w:tc>
        <w:tc>
          <w:tcPr>
            <w:tcW w:w="1397" w:type="dxa"/>
            <w:tcBorders>
              <w:top w:val="nil"/>
              <w:left w:val="nil"/>
              <w:bottom w:val="single" w:sz="4" w:space="0" w:color="auto"/>
              <w:right w:val="single" w:sz="4" w:space="0" w:color="auto"/>
            </w:tcBorders>
            <w:shd w:val="clear" w:color="auto" w:fill="auto"/>
            <w:noWrap/>
            <w:vAlign w:val="center"/>
            <w:hideMark/>
          </w:tcPr>
          <w:p w:rsidR="00DD0D4B" w:rsidRPr="007D3889" w:rsidRDefault="00DD0D4B" w:rsidP="00796333">
            <w:pPr>
              <w:jc w:val="center"/>
              <w:rPr>
                <w:color w:val="000000"/>
                <w:sz w:val="20"/>
                <w:szCs w:val="20"/>
              </w:rPr>
            </w:pPr>
            <w:r w:rsidRPr="007D3889">
              <w:rPr>
                <w:color w:val="000000"/>
                <w:sz w:val="20"/>
                <w:szCs w:val="20"/>
              </w:rPr>
              <w:t>-0.5</w:t>
            </w:r>
          </w:p>
        </w:tc>
        <w:tc>
          <w:tcPr>
            <w:tcW w:w="1193" w:type="dxa"/>
            <w:tcBorders>
              <w:top w:val="nil"/>
              <w:left w:val="nil"/>
              <w:bottom w:val="single" w:sz="4" w:space="0" w:color="auto"/>
              <w:right w:val="single" w:sz="4" w:space="0" w:color="auto"/>
            </w:tcBorders>
            <w:shd w:val="clear" w:color="auto" w:fill="auto"/>
            <w:noWrap/>
            <w:vAlign w:val="center"/>
            <w:hideMark/>
          </w:tcPr>
          <w:p w:rsidR="00DD0D4B" w:rsidRPr="007D3889" w:rsidRDefault="00DD0D4B" w:rsidP="00796333">
            <w:pPr>
              <w:jc w:val="center"/>
              <w:rPr>
                <w:color w:val="000000"/>
                <w:sz w:val="20"/>
                <w:szCs w:val="20"/>
              </w:rPr>
            </w:pPr>
            <w:r w:rsidRPr="007D3889">
              <w:rPr>
                <w:color w:val="000000"/>
                <w:sz w:val="20"/>
                <w:szCs w:val="20"/>
              </w:rPr>
              <w:t>85.2</w:t>
            </w:r>
          </w:p>
        </w:tc>
      </w:tr>
      <w:tr w:rsidR="00DD0D4B" w:rsidRPr="000F1985" w:rsidTr="00796333">
        <w:trPr>
          <w:trHeight w:val="300"/>
          <w:jc w:val="center"/>
        </w:trPr>
        <w:tc>
          <w:tcPr>
            <w:tcW w:w="1724" w:type="dxa"/>
            <w:tcBorders>
              <w:top w:val="nil"/>
              <w:left w:val="single" w:sz="4" w:space="0" w:color="auto"/>
              <w:bottom w:val="single" w:sz="4" w:space="0" w:color="auto"/>
              <w:right w:val="single" w:sz="4" w:space="0" w:color="auto"/>
            </w:tcBorders>
            <w:shd w:val="clear" w:color="auto" w:fill="auto"/>
            <w:noWrap/>
            <w:vAlign w:val="center"/>
            <w:hideMark/>
          </w:tcPr>
          <w:p w:rsidR="00DD0D4B" w:rsidRPr="007D3889" w:rsidRDefault="00DD0D4B" w:rsidP="00796333">
            <w:pPr>
              <w:jc w:val="center"/>
              <w:rPr>
                <w:sz w:val="20"/>
                <w:szCs w:val="20"/>
              </w:rPr>
            </w:pPr>
            <w:r w:rsidRPr="007D3889">
              <w:rPr>
                <w:sz w:val="20"/>
                <w:szCs w:val="20"/>
              </w:rPr>
              <w:t>Sept 11, 2015</w:t>
            </w:r>
          </w:p>
        </w:tc>
        <w:tc>
          <w:tcPr>
            <w:tcW w:w="1783" w:type="dxa"/>
            <w:tcBorders>
              <w:top w:val="nil"/>
              <w:left w:val="nil"/>
              <w:bottom w:val="single" w:sz="4" w:space="0" w:color="auto"/>
              <w:right w:val="single" w:sz="4" w:space="0" w:color="auto"/>
            </w:tcBorders>
            <w:shd w:val="clear" w:color="auto" w:fill="auto"/>
            <w:noWrap/>
            <w:vAlign w:val="center"/>
            <w:hideMark/>
          </w:tcPr>
          <w:p w:rsidR="00DD0D4B" w:rsidRPr="007D3889" w:rsidRDefault="00DD0D4B" w:rsidP="00796333">
            <w:pPr>
              <w:jc w:val="center"/>
              <w:rPr>
                <w:color w:val="000000"/>
                <w:sz w:val="20"/>
                <w:szCs w:val="20"/>
              </w:rPr>
            </w:pPr>
            <w:r w:rsidRPr="007D3889">
              <w:rPr>
                <w:color w:val="000000"/>
                <w:sz w:val="20"/>
                <w:szCs w:val="20"/>
              </w:rPr>
              <w:t>2.8</w:t>
            </w:r>
          </w:p>
        </w:tc>
        <w:tc>
          <w:tcPr>
            <w:tcW w:w="1869" w:type="dxa"/>
            <w:tcBorders>
              <w:top w:val="nil"/>
              <w:left w:val="nil"/>
              <w:bottom w:val="single" w:sz="4" w:space="0" w:color="auto"/>
              <w:right w:val="single" w:sz="4" w:space="0" w:color="auto"/>
            </w:tcBorders>
            <w:shd w:val="clear" w:color="auto" w:fill="auto"/>
            <w:noWrap/>
            <w:vAlign w:val="center"/>
            <w:hideMark/>
          </w:tcPr>
          <w:p w:rsidR="00DD0D4B" w:rsidRPr="007D3889" w:rsidRDefault="00DD0D4B" w:rsidP="00796333">
            <w:pPr>
              <w:jc w:val="center"/>
              <w:rPr>
                <w:color w:val="000000"/>
                <w:sz w:val="20"/>
                <w:szCs w:val="20"/>
              </w:rPr>
            </w:pPr>
            <w:r w:rsidRPr="007D3889">
              <w:rPr>
                <w:color w:val="000000"/>
                <w:sz w:val="20"/>
                <w:szCs w:val="20"/>
              </w:rPr>
              <w:t>2.2</w:t>
            </w:r>
          </w:p>
        </w:tc>
        <w:tc>
          <w:tcPr>
            <w:tcW w:w="1397" w:type="dxa"/>
            <w:tcBorders>
              <w:top w:val="nil"/>
              <w:left w:val="nil"/>
              <w:bottom w:val="single" w:sz="4" w:space="0" w:color="auto"/>
              <w:right w:val="single" w:sz="4" w:space="0" w:color="auto"/>
            </w:tcBorders>
            <w:shd w:val="clear" w:color="auto" w:fill="auto"/>
            <w:noWrap/>
            <w:vAlign w:val="center"/>
            <w:hideMark/>
          </w:tcPr>
          <w:p w:rsidR="00DD0D4B" w:rsidRPr="007D3889" w:rsidRDefault="00DD0D4B" w:rsidP="00796333">
            <w:pPr>
              <w:jc w:val="center"/>
              <w:rPr>
                <w:color w:val="000000"/>
                <w:sz w:val="20"/>
                <w:szCs w:val="20"/>
              </w:rPr>
            </w:pPr>
            <w:r w:rsidRPr="007D3889">
              <w:rPr>
                <w:color w:val="000000"/>
                <w:sz w:val="20"/>
                <w:szCs w:val="20"/>
              </w:rPr>
              <w:t>-0.5</w:t>
            </w:r>
          </w:p>
        </w:tc>
        <w:tc>
          <w:tcPr>
            <w:tcW w:w="1193" w:type="dxa"/>
            <w:tcBorders>
              <w:top w:val="nil"/>
              <w:left w:val="nil"/>
              <w:bottom w:val="single" w:sz="4" w:space="0" w:color="auto"/>
              <w:right w:val="single" w:sz="4" w:space="0" w:color="auto"/>
            </w:tcBorders>
            <w:shd w:val="clear" w:color="auto" w:fill="auto"/>
            <w:noWrap/>
            <w:vAlign w:val="center"/>
            <w:hideMark/>
          </w:tcPr>
          <w:p w:rsidR="00DD0D4B" w:rsidRPr="007D3889" w:rsidRDefault="00DD0D4B" w:rsidP="00796333">
            <w:pPr>
              <w:jc w:val="center"/>
              <w:rPr>
                <w:color w:val="000000"/>
                <w:sz w:val="20"/>
                <w:szCs w:val="20"/>
              </w:rPr>
            </w:pPr>
            <w:r w:rsidRPr="007D3889">
              <w:rPr>
                <w:color w:val="000000"/>
                <w:sz w:val="20"/>
                <w:szCs w:val="20"/>
              </w:rPr>
              <w:t>82.6</w:t>
            </w:r>
          </w:p>
        </w:tc>
      </w:tr>
      <w:bookmarkEnd w:id="304"/>
    </w:tbl>
    <w:p w:rsidR="00DD0D4B" w:rsidRDefault="00DD0D4B" w:rsidP="00FB6F31">
      <w:pPr>
        <w:pStyle w:val="BodyParagraph"/>
        <w:spacing w:after="0" w:line="276" w:lineRule="auto"/>
        <w:ind w:firstLine="360"/>
        <w:rPr>
          <w:rFonts w:ascii="Times New Roman" w:hAnsi="Times New Roman"/>
          <w:sz w:val="24"/>
          <w:szCs w:val="24"/>
        </w:rPr>
      </w:pPr>
    </w:p>
    <w:p w:rsidR="001E57C9" w:rsidRDefault="001E57C9" w:rsidP="00FB6F31">
      <w:pPr>
        <w:pStyle w:val="BodyParagraph"/>
        <w:spacing w:after="0" w:line="276" w:lineRule="auto"/>
        <w:ind w:firstLine="360"/>
        <w:rPr>
          <w:rFonts w:ascii="Times New Roman" w:hAnsi="Times New Roman"/>
          <w:sz w:val="24"/>
          <w:szCs w:val="24"/>
        </w:rPr>
      </w:pPr>
    </w:p>
    <w:p w:rsidR="00DD0D4B" w:rsidRPr="007D3889" w:rsidRDefault="007D3889" w:rsidP="00FB6F31">
      <w:pPr>
        <w:pStyle w:val="Heading3"/>
        <w:spacing w:before="0" w:after="0" w:line="276" w:lineRule="auto"/>
        <w:ind w:left="0" w:firstLine="0"/>
        <w:rPr>
          <w:rFonts w:ascii="Times New Roman" w:hAnsi="Times New Roman" w:cs="Times New Roman"/>
        </w:rPr>
      </w:pPr>
      <w:bookmarkStart w:id="305" w:name="_Toc411938072"/>
      <w:bookmarkStart w:id="306" w:name="_Toc413592768"/>
      <w:bookmarkStart w:id="307" w:name="_Toc414535058"/>
      <w:bookmarkStart w:id="308" w:name="_Toc415585938"/>
      <w:bookmarkStart w:id="309" w:name="_Toc415749053"/>
      <w:bookmarkStart w:id="310" w:name="_Toc447179863"/>
      <w:r w:rsidRPr="007D3889">
        <w:rPr>
          <w:rFonts w:ascii="Times New Roman" w:hAnsi="Times New Roman" w:cs="Times New Roman"/>
        </w:rPr>
        <w:t xml:space="preserve">Commercial Thermostat </w:t>
      </w:r>
      <w:r w:rsidR="00DD0D4B" w:rsidRPr="007D3889">
        <w:rPr>
          <w:rFonts w:ascii="Times New Roman" w:hAnsi="Times New Roman" w:cs="Times New Roman"/>
        </w:rPr>
        <w:t>Estimating Ex</w:t>
      </w:r>
      <w:r w:rsidR="00FB6F31">
        <w:rPr>
          <w:rFonts w:ascii="Times New Roman" w:hAnsi="Times New Roman" w:cs="Times New Roman"/>
        </w:rPr>
        <w:t>-</w:t>
      </w:r>
      <w:r w:rsidR="00DD0D4B" w:rsidRPr="007D3889">
        <w:rPr>
          <w:rFonts w:ascii="Times New Roman" w:hAnsi="Times New Roman" w:cs="Times New Roman"/>
        </w:rPr>
        <w:t>Ante Weather Conditions</w:t>
      </w:r>
      <w:bookmarkEnd w:id="305"/>
      <w:bookmarkEnd w:id="306"/>
      <w:bookmarkEnd w:id="307"/>
      <w:bookmarkEnd w:id="308"/>
      <w:bookmarkEnd w:id="309"/>
      <w:bookmarkEnd w:id="310"/>
    </w:p>
    <w:p w:rsidR="00DD0D4B" w:rsidRDefault="00DD0D4B" w:rsidP="00FB6F31">
      <w:pPr>
        <w:pStyle w:val="BodyParagraph"/>
        <w:spacing w:after="0" w:line="276" w:lineRule="auto"/>
        <w:ind w:firstLine="360"/>
        <w:rPr>
          <w:rFonts w:ascii="Times New Roman" w:hAnsi="Times New Roman"/>
          <w:sz w:val="24"/>
          <w:szCs w:val="24"/>
        </w:rPr>
      </w:pPr>
    </w:p>
    <w:p w:rsidR="00DD0D4B" w:rsidRPr="00B777EF" w:rsidRDefault="00DD0D4B" w:rsidP="00FB6F31">
      <w:pPr>
        <w:pStyle w:val="BodyParaAfterTableFigure"/>
        <w:spacing w:before="0"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The CPUC Load Impact Protocols</w:t>
      </w:r>
      <w:r w:rsidRPr="00B777EF">
        <w:rPr>
          <w:rStyle w:val="FootnoteReference"/>
          <w:rFonts w:ascii="Times New Roman" w:hAnsi="Times New Roman"/>
          <w:color w:val="000000" w:themeColor="text1"/>
          <w:sz w:val="24"/>
          <w:szCs w:val="24"/>
        </w:rPr>
        <w:footnoteReference w:id="24"/>
      </w:r>
      <w:r w:rsidRPr="00B777EF">
        <w:rPr>
          <w:rFonts w:ascii="Times New Roman" w:hAnsi="Times New Roman"/>
          <w:color w:val="000000" w:themeColor="text1"/>
          <w:sz w:val="24"/>
          <w:szCs w:val="24"/>
        </w:rPr>
        <w:t xml:space="preserve"> require that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load impacts be estimated assuming weather conditions associated with both normal and extreme utility operating conditions. Normal conditions are defined as those that would be expected to occur once every 2 years (1-in-2 conditions) and extreme conditions are those that would be expected to occur once every 10 years (1-in-10 conditions). Since 2008, the IOUs have based the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weather conditions on system operating conditions specific to each individual utility. However,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weather conditions could alternatively reflect 1-in-2 and 1-in-10 year operating conditions for the California Independent System Operator (CAISO) rather than the operating conditions for each IOU. While the protocols are silent on this issue, a letter from the CPUC Energy Division to the IOUs dated October 21, 2014 directed the utilities to provide impact estimates under two sets of </w:t>
      </w:r>
      <w:r w:rsidRPr="00B777EF">
        <w:rPr>
          <w:rFonts w:ascii="Times New Roman" w:hAnsi="Times New Roman"/>
          <w:color w:val="000000" w:themeColor="text1"/>
          <w:sz w:val="24"/>
          <w:szCs w:val="24"/>
        </w:rPr>
        <w:lastRenderedPageBreak/>
        <w:t xml:space="preserve">operating conditions starting with the April 1, 2015 filings: one reflecting operating conditions for each IOU and one reflecting operating conditions for the CAISO system. </w:t>
      </w:r>
    </w:p>
    <w:p w:rsidR="00DD0D4B" w:rsidRPr="00B777EF" w:rsidRDefault="00DD0D4B" w:rsidP="00DD0D4B">
      <w:pPr>
        <w:pStyle w:val="BodyParaAfterTableFigure"/>
        <w:spacing w:before="0" w:after="0" w:line="276" w:lineRule="auto"/>
        <w:ind w:firstLine="360"/>
        <w:rPr>
          <w:rFonts w:ascii="Times New Roman" w:hAnsi="Times New Roman"/>
          <w:color w:val="000000" w:themeColor="text1"/>
          <w:sz w:val="24"/>
          <w:szCs w:val="24"/>
        </w:rPr>
      </w:pPr>
    </w:p>
    <w:p w:rsidR="00DD0D4B" w:rsidRPr="00B777EF" w:rsidRDefault="00DD0D4B" w:rsidP="00DD0D4B">
      <w:pPr>
        <w:pStyle w:val="BodyParaAfterTableFigure"/>
        <w:spacing w:before="0"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In order to meet this new requirement, California’s IOUs contracted with Nexant to develop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weather conditions based on the peaking conditions for each utility and for the CAISO system. The previous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weather conditions for each utility were developed in 2009 and were updated this year along with the development of the new CAISO based conditions. Both sets of estimates used a common methodology, which is documented in a report delivered to the IOUs.</w:t>
      </w:r>
      <w:r w:rsidRPr="00B777EF">
        <w:rPr>
          <w:rStyle w:val="FootnoteReference"/>
          <w:rFonts w:ascii="Times New Roman" w:hAnsi="Times New Roman"/>
          <w:color w:val="000000" w:themeColor="text1"/>
          <w:sz w:val="24"/>
          <w:szCs w:val="24"/>
        </w:rPr>
        <w:footnoteReference w:id="25"/>
      </w:r>
    </w:p>
    <w:p w:rsidR="00DD0D4B" w:rsidRPr="00B777EF" w:rsidRDefault="00DD0D4B" w:rsidP="00DD0D4B">
      <w:pPr>
        <w:pStyle w:val="BodyParaAfterTableFigure"/>
        <w:spacing w:before="0" w:after="0" w:line="276" w:lineRule="auto"/>
        <w:ind w:firstLine="360"/>
        <w:rPr>
          <w:rFonts w:ascii="Times New Roman" w:hAnsi="Times New Roman"/>
          <w:color w:val="000000" w:themeColor="text1"/>
          <w:sz w:val="24"/>
          <w:szCs w:val="24"/>
        </w:rPr>
      </w:pPr>
    </w:p>
    <w:p w:rsidR="00DD0D4B" w:rsidRPr="00B777EF" w:rsidRDefault="001E57C9" w:rsidP="00DD0D4B">
      <w:pPr>
        <w:pStyle w:val="BodyParaAfterTableFigure"/>
        <w:spacing w:before="0" w:after="0" w:line="276" w:lineRule="auto"/>
        <w:ind w:firstLine="360"/>
        <w:rPr>
          <w:rFonts w:ascii="Times New Roman" w:hAnsi="Times New Roman"/>
          <w:color w:val="000000" w:themeColor="text1"/>
          <w:sz w:val="24"/>
          <w:szCs w:val="24"/>
        </w:rPr>
      </w:pPr>
      <w:r w:rsidRPr="001E57C9">
        <w:rPr>
          <w:rFonts w:ascii="Times New Roman" w:hAnsi="Times New Roman"/>
          <w:color w:val="000000" w:themeColor="text1"/>
          <w:sz w:val="22"/>
        </w:rPr>
        <w:t>Table 10-8</w:t>
      </w:r>
      <w:r>
        <w:rPr>
          <w:rFonts w:ascii="Times New Roman" w:hAnsi="Times New Roman"/>
          <w:color w:val="000000" w:themeColor="text1"/>
          <w:sz w:val="24"/>
          <w:szCs w:val="24"/>
        </w:rPr>
        <w:t xml:space="preserve"> </w:t>
      </w:r>
      <w:r w:rsidR="00DD0D4B" w:rsidRPr="00B777EF">
        <w:rPr>
          <w:rFonts w:ascii="Times New Roman" w:hAnsi="Times New Roman"/>
          <w:color w:val="000000" w:themeColor="text1"/>
          <w:sz w:val="24"/>
          <w:szCs w:val="24"/>
        </w:rPr>
        <w:t xml:space="preserve">shows the value for mean17 for the typical event day and the monthly system peak day under the four sets of weather for which load impacts are estimated. As seen, there are small differences in weather conditions based on SDG&amp;E peak conditions and CAISO peak conditions, for normal and extreme weather. The CAISO-based conditions on the typical event day are slightly higher in a 1-in-2 weather year and lower in a 1-in-10 weather year. </w:t>
      </w:r>
    </w:p>
    <w:p w:rsidR="00DD0D4B" w:rsidRPr="00712917" w:rsidRDefault="00DD0D4B" w:rsidP="00DD0D4B">
      <w:pPr>
        <w:pStyle w:val="BodyParagraph"/>
        <w:spacing w:after="0" w:line="276" w:lineRule="auto"/>
        <w:rPr>
          <w:rFonts w:ascii="Times New Roman" w:hAnsi="Times New Roman"/>
          <w:sz w:val="24"/>
          <w:szCs w:val="24"/>
        </w:rPr>
      </w:pPr>
    </w:p>
    <w:p w:rsidR="00DD0D4B" w:rsidRPr="00FB6F31" w:rsidRDefault="00DD0D4B" w:rsidP="00FB6F31">
      <w:pPr>
        <w:spacing w:after="120"/>
        <w:jc w:val="center"/>
        <w:rPr>
          <w:b/>
          <w:sz w:val="22"/>
          <w:szCs w:val="22"/>
        </w:rPr>
      </w:pPr>
      <w:bookmarkStart w:id="311" w:name="_Ref445991994"/>
      <w:r w:rsidRPr="00FB6F31">
        <w:rPr>
          <w:b/>
          <w:sz w:val="22"/>
          <w:szCs w:val="22"/>
        </w:rPr>
        <w:t xml:space="preserve">Table </w:t>
      </w:r>
      <w:r w:rsidRPr="00FB6F31">
        <w:rPr>
          <w:b/>
          <w:sz w:val="22"/>
          <w:szCs w:val="22"/>
        </w:rPr>
        <w:fldChar w:fldCharType="begin"/>
      </w:r>
      <w:r w:rsidRPr="00FB6F31">
        <w:rPr>
          <w:b/>
          <w:sz w:val="22"/>
          <w:szCs w:val="22"/>
        </w:rPr>
        <w:instrText xml:space="preserve"> STYLEREF 1 \s </w:instrText>
      </w:r>
      <w:r w:rsidRPr="00FB6F31">
        <w:rPr>
          <w:b/>
          <w:sz w:val="22"/>
          <w:szCs w:val="22"/>
        </w:rPr>
        <w:fldChar w:fldCharType="separate"/>
      </w:r>
      <w:r w:rsidR="008A6A2B">
        <w:rPr>
          <w:b/>
          <w:noProof/>
          <w:sz w:val="22"/>
          <w:szCs w:val="22"/>
        </w:rPr>
        <w:t>10</w:t>
      </w:r>
      <w:r w:rsidRPr="00FB6F31">
        <w:rPr>
          <w:b/>
          <w:sz w:val="22"/>
          <w:szCs w:val="22"/>
        </w:rPr>
        <w:fldChar w:fldCharType="end"/>
      </w:r>
      <w:r w:rsidRPr="00FB6F31">
        <w:rPr>
          <w:b/>
          <w:sz w:val="22"/>
          <w:szCs w:val="22"/>
        </w:rPr>
        <w:noBreakHyphen/>
      </w:r>
      <w:r w:rsidRPr="00FB6F31">
        <w:rPr>
          <w:b/>
          <w:sz w:val="22"/>
          <w:szCs w:val="22"/>
        </w:rPr>
        <w:fldChar w:fldCharType="begin"/>
      </w:r>
      <w:r w:rsidRPr="00FB6F31">
        <w:rPr>
          <w:b/>
          <w:sz w:val="22"/>
          <w:szCs w:val="22"/>
        </w:rPr>
        <w:instrText xml:space="preserve"> SEQ Table \* ARABIC \s 1 </w:instrText>
      </w:r>
      <w:r w:rsidRPr="00FB6F31">
        <w:rPr>
          <w:b/>
          <w:sz w:val="22"/>
          <w:szCs w:val="22"/>
        </w:rPr>
        <w:fldChar w:fldCharType="separate"/>
      </w:r>
      <w:r w:rsidR="008A6A2B">
        <w:rPr>
          <w:b/>
          <w:noProof/>
          <w:sz w:val="22"/>
          <w:szCs w:val="22"/>
        </w:rPr>
        <w:t>8</w:t>
      </w:r>
      <w:r w:rsidRPr="00FB6F31">
        <w:rPr>
          <w:b/>
          <w:sz w:val="22"/>
          <w:szCs w:val="22"/>
        </w:rPr>
        <w:fldChar w:fldCharType="end"/>
      </w:r>
      <w:bookmarkEnd w:id="311"/>
      <w:r w:rsidR="0024252A">
        <w:rPr>
          <w:b/>
          <w:sz w:val="22"/>
          <w:szCs w:val="22"/>
        </w:rPr>
        <w:t>:</w:t>
      </w:r>
      <w:r w:rsidRPr="00FB6F31">
        <w:rPr>
          <w:b/>
          <w:sz w:val="22"/>
          <w:szCs w:val="22"/>
        </w:rPr>
        <w:t> </w:t>
      </w:r>
      <w:r w:rsidR="008C46A8">
        <w:rPr>
          <w:b/>
          <w:sz w:val="22"/>
          <w:szCs w:val="22"/>
        </w:rPr>
        <w:t>Ex-Ante</w:t>
      </w:r>
      <w:r w:rsidRPr="00FB6F31">
        <w:rPr>
          <w:b/>
          <w:sz w:val="22"/>
          <w:szCs w:val="22"/>
        </w:rPr>
        <w:t xml:space="preserve"> Weather Values (</w:t>
      </w:r>
      <w:r w:rsidRPr="00FB6F31">
        <w:rPr>
          <w:b/>
          <w:i/>
          <w:sz w:val="22"/>
          <w:szCs w:val="22"/>
        </w:rPr>
        <w:t>mean17</w:t>
      </w:r>
      <w:r w:rsidRPr="00FB6F31">
        <w:rPr>
          <w:b/>
          <w:sz w:val="22"/>
          <w:szCs w:val="22"/>
        </w:rPr>
        <w:t>, °F)</w:t>
      </w:r>
    </w:p>
    <w:tbl>
      <w:tblPr>
        <w:tblW w:w="6220" w:type="dxa"/>
        <w:jc w:val="center"/>
        <w:tblLook w:val="04A0" w:firstRow="1" w:lastRow="0" w:firstColumn="1" w:lastColumn="0" w:noHBand="0" w:noVBand="1"/>
      </w:tblPr>
      <w:tblGrid>
        <w:gridCol w:w="2380"/>
        <w:gridCol w:w="960"/>
        <w:gridCol w:w="960"/>
        <w:gridCol w:w="960"/>
        <w:gridCol w:w="960"/>
      </w:tblGrid>
      <w:tr w:rsidR="00DD0D4B" w:rsidRPr="00712917" w:rsidTr="00796333">
        <w:trPr>
          <w:trHeight w:val="510"/>
          <w:jc w:val="center"/>
        </w:trPr>
        <w:tc>
          <w:tcPr>
            <w:tcW w:w="2380" w:type="dxa"/>
            <w:vMerge w:val="restart"/>
            <w:tcBorders>
              <w:top w:val="single" w:sz="8" w:space="0" w:color="auto"/>
              <w:left w:val="single" w:sz="8" w:space="0" w:color="auto"/>
              <w:bottom w:val="nil"/>
              <w:right w:val="single" w:sz="8" w:space="0" w:color="FFFFFF"/>
            </w:tcBorders>
            <w:shd w:val="clear" w:color="auto" w:fill="1F497D" w:themeFill="text2"/>
            <w:vAlign w:val="center"/>
            <w:hideMark/>
          </w:tcPr>
          <w:p w:rsidR="00DD0D4B" w:rsidRPr="0024639A" w:rsidRDefault="00DD0D4B" w:rsidP="00796333">
            <w:pPr>
              <w:pStyle w:val="TableHeader"/>
              <w:rPr>
                <w:rFonts w:ascii="Times New Roman" w:hAnsi="Times New Roman"/>
                <w:sz w:val="22"/>
              </w:rPr>
            </w:pPr>
            <w:r w:rsidRPr="0024639A">
              <w:rPr>
                <w:rFonts w:ascii="Times New Roman" w:hAnsi="Times New Roman"/>
                <w:sz w:val="22"/>
              </w:rPr>
              <w:t>Day Type</w:t>
            </w:r>
          </w:p>
        </w:tc>
        <w:tc>
          <w:tcPr>
            <w:tcW w:w="1920" w:type="dxa"/>
            <w:gridSpan w:val="2"/>
            <w:tcBorders>
              <w:top w:val="single" w:sz="8" w:space="0" w:color="auto"/>
              <w:left w:val="nil"/>
              <w:bottom w:val="single" w:sz="8" w:space="0" w:color="FFFFFF"/>
              <w:right w:val="single" w:sz="8" w:space="0" w:color="FFFFFF"/>
            </w:tcBorders>
            <w:shd w:val="clear" w:color="auto" w:fill="1F497D" w:themeFill="text2"/>
            <w:vAlign w:val="center"/>
            <w:hideMark/>
          </w:tcPr>
          <w:p w:rsidR="00DD0D4B" w:rsidRPr="0024639A" w:rsidRDefault="00DD0D4B" w:rsidP="00796333">
            <w:pPr>
              <w:pStyle w:val="TableHeader"/>
              <w:rPr>
                <w:rFonts w:ascii="Times New Roman" w:hAnsi="Times New Roman"/>
                <w:sz w:val="22"/>
              </w:rPr>
            </w:pPr>
            <w:r w:rsidRPr="0024639A">
              <w:rPr>
                <w:rFonts w:ascii="Times New Roman" w:hAnsi="Times New Roman"/>
                <w:sz w:val="22"/>
              </w:rPr>
              <w:t>SDG&amp;E Based Weather (°F)</w:t>
            </w:r>
          </w:p>
        </w:tc>
        <w:tc>
          <w:tcPr>
            <w:tcW w:w="1920" w:type="dxa"/>
            <w:gridSpan w:val="2"/>
            <w:tcBorders>
              <w:top w:val="single" w:sz="8" w:space="0" w:color="auto"/>
              <w:left w:val="nil"/>
              <w:bottom w:val="single" w:sz="8" w:space="0" w:color="FFFFFF"/>
              <w:right w:val="single" w:sz="8" w:space="0" w:color="000000"/>
            </w:tcBorders>
            <w:shd w:val="clear" w:color="auto" w:fill="1F497D" w:themeFill="text2"/>
            <w:vAlign w:val="center"/>
            <w:hideMark/>
          </w:tcPr>
          <w:p w:rsidR="00DD0D4B" w:rsidRPr="0024639A" w:rsidRDefault="00DD0D4B" w:rsidP="00796333">
            <w:pPr>
              <w:pStyle w:val="TableHeader"/>
              <w:rPr>
                <w:rFonts w:ascii="Times New Roman" w:hAnsi="Times New Roman"/>
                <w:sz w:val="22"/>
              </w:rPr>
            </w:pPr>
            <w:r w:rsidRPr="0024639A">
              <w:rPr>
                <w:rFonts w:ascii="Times New Roman" w:hAnsi="Times New Roman"/>
                <w:sz w:val="22"/>
              </w:rPr>
              <w:t>CAISO Based Weather (°F)</w:t>
            </w:r>
          </w:p>
        </w:tc>
      </w:tr>
      <w:tr w:rsidR="00DD0D4B" w:rsidRPr="00712917" w:rsidTr="00796333">
        <w:trPr>
          <w:trHeight w:val="300"/>
          <w:jc w:val="center"/>
        </w:trPr>
        <w:tc>
          <w:tcPr>
            <w:tcW w:w="2380" w:type="dxa"/>
            <w:vMerge/>
            <w:tcBorders>
              <w:top w:val="single" w:sz="8" w:space="0" w:color="auto"/>
              <w:left w:val="single" w:sz="8" w:space="0" w:color="auto"/>
              <w:bottom w:val="nil"/>
              <w:right w:val="single" w:sz="8" w:space="0" w:color="FFFFFF"/>
            </w:tcBorders>
            <w:shd w:val="clear" w:color="auto" w:fill="1F497D" w:themeFill="text2"/>
            <w:vAlign w:val="center"/>
            <w:hideMark/>
          </w:tcPr>
          <w:p w:rsidR="00DD0D4B" w:rsidRPr="0024639A" w:rsidRDefault="00DD0D4B" w:rsidP="00796333">
            <w:pPr>
              <w:pStyle w:val="TableHeader"/>
              <w:rPr>
                <w:rFonts w:ascii="Times New Roman" w:hAnsi="Times New Roman"/>
                <w:sz w:val="22"/>
              </w:rPr>
            </w:pPr>
          </w:p>
        </w:tc>
        <w:tc>
          <w:tcPr>
            <w:tcW w:w="960" w:type="dxa"/>
            <w:tcBorders>
              <w:top w:val="nil"/>
              <w:left w:val="nil"/>
              <w:bottom w:val="nil"/>
              <w:right w:val="single" w:sz="8" w:space="0" w:color="FFFFFF"/>
            </w:tcBorders>
            <w:shd w:val="clear" w:color="auto" w:fill="1F497D" w:themeFill="text2"/>
            <w:vAlign w:val="center"/>
            <w:hideMark/>
          </w:tcPr>
          <w:p w:rsidR="00DD0D4B" w:rsidRPr="0024639A" w:rsidRDefault="00DD0D4B" w:rsidP="00796333">
            <w:pPr>
              <w:pStyle w:val="TableHeader"/>
              <w:rPr>
                <w:rFonts w:ascii="Times New Roman" w:hAnsi="Times New Roman"/>
                <w:sz w:val="22"/>
              </w:rPr>
            </w:pPr>
            <w:r w:rsidRPr="0024639A">
              <w:rPr>
                <w:rFonts w:ascii="Times New Roman" w:hAnsi="Times New Roman"/>
                <w:sz w:val="22"/>
              </w:rPr>
              <w:t>1-in-2</w:t>
            </w:r>
          </w:p>
        </w:tc>
        <w:tc>
          <w:tcPr>
            <w:tcW w:w="960" w:type="dxa"/>
            <w:tcBorders>
              <w:top w:val="nil"/>
              <w:left w:val="nil"/>
              <w:bottom w:val="nil"/>
              <w:right w:val="single" w:sz="8" w:space="0" w:color="FFFFFF"/>
            </w:tcBorders>
            <w:shd w:val="clear" w:color="auto" w:fill="1F497D" w:themeFill="text2"/>
            <w:vAlign w:val="center"/>
            <w:hideMark/>
          </w:tcPr>
          <w:p w:rsidR="00DD0D4B" w:rsidRPr="0024639A" w:rsidRDefault="00DD0D4B" w:rsidP="00796333">
            <w:pPr>
              <w:pStyle w:val="TableHeader"/>
              <w:rPr>
                <w:rFonts w:ascii="Times New Roman" w:hAnsi="Times New Roman"/>
                <w:sz w:val="22"/>
              </w:rPr>
            </w:pPr>
            <w:r w:rsidRPr="0024639A">
              <w:rPr>
                <w:rFonts w:ascii="Times New Roman" w:hAnsi="Times New Roman"/>
                <w:sz w:val="22"/>
              </w:rPr>
              <w:t>1-in-10</w:t>
            </w:r>
          </w:p>
        </w:tc>
        <w:tc>
          <w:tcPr>
            <w:tcW w:w="960" w:type="dxa"/>
            <w:tcBorders>
              <w:top w:val="nil"/>
              <w:left w:val="nil"/>
              <w:bottom w:val="nil"/>
              <w:right w:val="single" w:sz="8" w:space="0" w:color="FFFFFF"/>
            </w:tcBorders>
            <w:shd w:val="clear" w:color="auto" w:fill="1F497D" w:themeFill="text2"/>
            <w:vAlign w:val="center"/>
            <w:hideMark/>
          </w:tcPr>
          <w:p w:rsidR="00DD0D4B" w:rsidRPr="0024639A" w:rsidRDefault="00DD0D4B" w:rsidP="00796333">
            <w:pPr>
              <w:pStyle w:val="TableHeader"/>
              <w:rPr>
                <w:rFonts w:ascii="Times New Roman" w:hAnsi="Times New Roman"/>
                <w:sz w:val="22"/>
              </w:rPr>
            </w:pPr>
            <w:r w:rsidRPr="0024639A">
              <w:rPr>
                <w:rFonts w:ascii="Times New Roman" w:hAnsi="Times New Roman"/>
                <w:sz w:val="22"/>
              </w:rPr>
              <w:t>1-in-2</w:t>
            </w:r>
          </w:p>
        </w:tc>
        <w:tc>
          <w:tcPr>
            <w:tcW w:w="960" w:type="dxa"/>
            <w:tcBorders>
              <w:top w:val="nil"/>
              <w:left w:val="nil"/>
              <w:bottom w:val="nil"/>
              <w:right w:val="single" w:sz="8" w:space="0" w:color="auto"/>
            </w:tcBorders>
            <w:shd w:val="clear" w:color="auto" w:fill="1F497D" w:themeFill="text2"/>
            <w:vAlign w:val="center"/>
            <w:hideMark/>
          </w:tcPr>
          <w:p w:rsidR="00DD0D4B" w:rsidRPr="0024639A" w:rsidRDefault="00DD0D4B" w:rsidP="00796333">
            <w:pPr>
              <w:pStyle w:val="TableHeader"/>
              <w:rPr>
                <w:rFonts w:ascii="Times New Roman" w:hAnsi="Times New Roman"/>
                <w:sz w:val="22"/>
              </w:rPr>
            </w:pPr>
            <w:r w:rsidRPr="0024639A">
              <w:rPr>
                <w:rFonts w:ascii="Times New Roman" w:hAnsi="Times New Roman"/>
                <w:sz w:val="22"/>
              </w:rPr>
              <w:t>1-in-10</w:t>
            </w:r>
          </w:p>
        </w:tc>
      </w:tr>
      <w:tr w:rsidR="00DD0D4B" w:rsidRPr="00712917" w:rsidTr="00796333">
        <w:trPr>
          <w:trHeight w:val="300"/>
          <w:jc w:val="center"/>
        </w:trPr>
        <w:tc>
          <w:tcPr>
            <w:tcW w:w="2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Typical Event Day</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72.4</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77.2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73.0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75.7</w:t>
            </w:r>
          </w:p>
        </w:tc>
      </w:tr>
      <w:tr w:rsidR="00DD0D4B" w:rsidRPr="00712917" w:rsidTr="00796333">
        <w:trPr>
          <w:trHeight w:val="300"/>
          <w:jc w:val="center"/>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January Peak Day</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52.6</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49.1</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52.4</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47.5</w:t>
            </w:r>
          </w:p>
        </w:tc>
      </w:tr>
      <w:tr w:rsidR="00DD0D4B" w:rsidRPr="00712917" w:rsidTr="00796333">
        <w:trPr>
          <w:trHeight w:val="300"/>
          <w:jc w:val="center"/>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February Peak Day</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53.9</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54.2</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55.0</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55.2</w:t>
            </w:r>
          </w:p>
        </w:tc>
      </w:tr>
      <w:tr w:rsidR="00DD0D4B" w:rsidRPr="00712917" w:rsidTr="00796333">
        <w:trPr>
          <w:trHeight w:val="300"/>
          <w:jc w:val="center"/>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March Peak Day</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56.4</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64.8</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55.0</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66.6</w:t>
            </w:r>
          </w:p>
        </w:tc>
      </w:tr>
      <w:tr w:rsidR="00DD0D4B" w:rsidRPr="00712917" w:rsidTr="00796333">
        <w:trPr>
          <w:trHeight w:val="300"/>
          <w:jc w:val="center"/>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April Peak Day</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65.6</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74.3</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64.2</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73.9</w:t>
            </w:r>
          </w:p>
        </w:tc>
      </w:tr>
      <w:tr w:rsidR="00DD0D4B" w:rsidRPr="00712917" w:rsidTr="00796333">
        <w:trPr>
          <w:trHeight w:val="300"/>
          <w:jc w:val="center"/>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May Peak Day</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67.6</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75.7</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64.4</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72.7</w:t>
            </w:r>
          </w:p>
        </w:tc>
      </w:tr>
      <w:tr w:rsidR="00DD0D4B" w:rsidRPr="00712917" w:rsidTr="00796333">
        <w:trPr>
          <w:trHeight w:val="300"/>
          <w:jc w:val="center"/>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June Peak Day</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68.1</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73.0</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68.6</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72.8</w:t>
            </w:r>
          </w:p>
        </w:tc>
      </w:tr>
      <w:tr w:rsidR="00DD0D4B" w:rsidRPr="00712917" w:rsidTr="00796333">
        <w:trPr>
          <w:trHeight w:val="300"/>
          <w:jc w:val="center"/>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July Peak Day</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71.7</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77.7</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71.5</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bookmarkStart w:id="312" w:name="RANGE!F11"/>
            <w:r w:rsidRPr="00F86F4A">
              <w:rPr>
                <w:rFonts w:ascii="Times New Roman" w:hAnsi="Times New Roman"/>
                <w:sz w:val="20"/>
                <w:szCs w:val="20"/>
              </w:rPr>
              <w:t>7</w:t>
            </w:r>
            <w:bookmarkEnd w:id="312"/>
            <w:r w:rsidRPr="00F86F4A">
              <w:rPr>
                <w:rFonts w:ascii="Times New Roman" w:hAnsi="Times New Roman"/>
                <w:sz w:val="20"/>
                <w:szCs w:val="20"/>
              </w:rPr>
              <w:t>3.5</w:t>
            </w:r>
          </w:p>
        </w:tc>
      </w:tr>
      <w:tr w:rsidR="00DD0D4B" w:rsidRPr="00712917" w:rsidTr="00796333">
        <w:trPr>
          <w:trHeight w:val="300"/>
          <w:jc w:val="center"/>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August Peak Day</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74.9</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78.4</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75.8</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76.4</w:t>
            </w:r>
          </w:p>
        </w:tc>
      </w:tr>
      <w:tr w:rsidR="00DD0D4B" w:rsidRPr="00712917" w:rsidTr="00796333">
        <w:trPr>
          <w:trHeight w:val="300"/>
          <w:jc w:val="center"/>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September Peak Day</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74.9</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79.8</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76.1</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80.3</w:t>
            </w:r>
          </w:p>
        </w:tc>
      </w:tr>
      <w:tr w:rsidR="00DD0D4B" w:rsidRPr="00712917" w:rsidTr="00796333">
        <w:trPr>
          <w:trHeight w:val="300"/>
          <w:jc w:val="center"/>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October Peak Day</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70.7</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75.8</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68.3</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74.6</w:t>
            </w:r>
          </w:p>
        </w:tc>
      </w:tr>
      <w:tr w:rsidR="00DD0D4B" w:rsidRPr="00712917" w:rsidTr="00796333">
        <w:trPr>
          <w:trHeight w:val="300"/>
          <w:jc w:val="center"/>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November Peak Day</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64.1</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72.5</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63.0</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69.6</w:t>
            </w:r>
          </w:p>
        </w:tc>
      </w:tr>
      <w:tr w:rsidR="00DD0D4B" w:rsidRPr="00712917" w:rsidTr="00796333">
        <w:trPr>
          <w:trHeight w:val="300"/>
          <w:jc w:val="center"/>
        </w:trPr>
        <w:tc>
          <w:tcPr>
            <w:tcW w:w="2380" w:type="dxa"/>
            <w:tcBorders>
              <w:top w:val="nil"/>
              <w:left w:val="single" w:sz="4" w:space="0" w:color="auto"/>
              <w:bottom w:val="single" w:sz="4" w:space="0" w:color="auto"/>
              <w:right w:val="single" w:sz="4" w:space="0" w:color="auto"/>
            </w:tcBorders>
            <w:shd w:val="clear" w:color="auto" w:fill="auto"/>
            <w:vAlign w:val="center"/>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December Peak Day</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55.5</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51.1</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56.9</w:t>
            </w:r>
          </w:p>
        </w:tc>
        <w:tc>
          <w:tcPr>
            <w:tcW w:w="960" w:type="dxa"/>
            <w:tcBorders>
              <w:top w:val="nil"/>
              <w:left w:val="nil"/>
              <w:bottom w:val="single" w:sz="4" w:space="0" w:color="auto"/>
              <w:right w:val="single" w:sz="4" w:space="0" w:color="auto"/>
            </w:tcBorders>
            <w:shd w:val="clear" w:color="auto" w:fill="auto"/>
            <w:noWrap/>
            <w:vAlign w:val="bottom"/>
            <w:hideMark/>
          </w:tcPr>
          <w:p w:rsidR="00DD0D4B" w:rsidRPr="00F86F4A" w:rsidRDefault="00DD0D4B" w:rsidP="00796333">
            <w:pPr>
              <w:pStyle w:val="TableText"/>
              <w:jc w:val="center"/>
              <w:rPr>
                <w:rFonts w:ascii="Times New Roman" w:hAnsi="Times New Roman"/>
                <w:sz w:val="20"/>
                <w:szCs w:val="20"/>
              </w:rPr>
            </w:pPr>
            <w:r w:rsidRPr="00F86F4A">
              <w:rPr>
                <w:rFonts w:ascii="Times New Roman" w:hAnsi="Times New Roman"/>
                <w:sz w:val="20"/>
                <w:szCs w:val="20"/>
              </w:rPr>
              <w:t>51.1</w:t>
            </w:r>
          </w:p>
        </w:tc>
      </w:tr>
    </w:tbl>
    <w:p w:rsidR="001E57C9" w:rsidRDefault="001E57C9" w:rsidP="0024252A">
      <w:bookmarkStart w:id="313" w:name="_Toc413592769"/>
      <w:bookmarkStart w:id="314" w:name="_Toc413592770"/>
      <w:bookmarkStart w:id="315" w:name="_Toc414535059"/>
      <w:bookmarkStart w:id="316" w:name="_Toc415585939"/>
      <w:bookmarkStart w:id="317" w:name="_Toc415749054"/>
      <w:bookmarkEnd w:id="313"/>
    </w:p>
    <w:p w:rsidR="001E57C9" w:rsidRPr="001E57C9" w:rsidRDefault="001E57C9" w:rsidP="001E57C9"/>
    <w:p w:rsidR="00DD0D4B" w:rsidRPr="0079525F" w:rsidRDefault="001F1158" w:rsidP="00FB6F31">
      <w:pPr>
        <w:pStyle w:val="Heading3"/>
        <w:spacing w:before="0" w:after="0" w:line="276" w:lineRule="auto"/>
        <w:ind w:left="0" w:firstLine="0"/>
        <w:rPr>
          <w:rFonts w:ascii="Times New Roman" w:hAnsi="Times New Roman" w:cs="Times New Roman"/>
        </w:rPr>
      </w:pPr>
      <w:bookmarkStart w:id="318" w:name="_Toc447179864"/>
      <w:r>
        <w:rPr>
          <w:rFonts w:ascii="Times New Roman" w:hAnsi="Times New Roman" w:cs="Times New Roman"/>
        </w:rPr>
        <w:lastRenderedPageBreak/>
        <w:t xml:space="preserve">Commercial Thermostat </w:t>
      </w:r>
      <w:r w:rsidR="00DD0D4B" w:rsidRPr="0079525F">
        <w:rPr>
          <w:rFonts w:ascii="Times New Roman" w:hAnsi="Times New Roman" w:cs="Times New Roman"/>
        </w:rPr>
        <w:t>Ex</w:t>
      </w:r>
      <w:r w:rsidR="00FB6F31">
        <w:rPr>
          <w:rFonts w:ascii="Times New Roman" w:hAnsi="Times New Roman" w:cs="Times New Roman"/>
        </w:rPr>
        <w:t>-</w:t>
      </w:r>
      <w:r w:rsidR="00DD0D4B" w:rsidRPr="0079525F">
        <w:rPr>
          <w:rFonts w:ascii="Times New Roman" w:hAnsi="Times New Roman" w:cs="Times New Roman"/>
        </w:rPr>
        <w:t xml:space="preserve">Ante Load Impact </w:t>
      </w:r>
      <w:bookmarkEnd w:id="314"/>
      <w:bookmarkEnd w:id="315"/>
      <w:bookmarkEnd w:id="316"/>
      <w:bookmarkEnd w:id="317"/>
      <w:r w:rsidR="00FB6F31">
        <w:rPr>
          <w:rFonts w:ascii="Times New Roman" w:hAnsi="Times New Roman" w:cs="Times New Roman"/>
        </w:rPr>
        <w:t>Estimates</w:t>
      </w:r>
      <w:bookmarkEnd w:id="318"/>
    </w:p>
    <w:p w:rsidR="00DD0D4B" w:rsidRDefault="00DD0D4B" w:rsidP="00FB6F31">
      <w:pPr>
        <w:pStyle w:val="BodyParagraph"/>
        <w:spacing w:after="0" w:line="276" w:lineRule="auto"/>
        <w:ind w:firstLine="360"/>
        <w:rPr>
          <w:rFonts w:ascii="Times New Roman" w:hAnsi="Times New Roman"/>
          <w:sz w:val="24"/>
          <w:szCs w:val="24"/>
        </w:rPr>
      </w:pPr>
    </w:p>
    <w:p w:rsidR="00DD0D4B" w:rsidRPr="00B777EF" w:rsidRDefault="00DD0D4B" w:rsidP="00FB6F31">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 xml:space="preserve">Aggregate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estimates combine these average estimates with projections of program enrollment provided by SDG&amp;E. Per-thermostat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estimates also combine the average customer estimates with projections of the average number of thermostats, which is expected to remain around 9 thermostats per customer. Currently, there are nearly 2,526 customers enrolled. This number is expected to increase to 2,689 customers in August 2016, 2,891 customers in August 2017, and remain constant at 2,951 from 2018 through 2026.</w:t>
      </w:r>
    </w:p>
    <w:p w:rsidR="00DD0D4B" w:rsidRPr="00B777EF" w:rsidRDefault="00DD0D4B" w:rsidP="00FB6F31">
      <w:pPr>
        <w:pStyle w:val="BodyParagraph"/>
        <w:spacing w:after="0" w:line="276" w:lineRule="auto"/>
        <w:ind w:firstLine="360"/>
        <w:rPr>
          <w:color w:val="000000" w:themeColor="text1"/>
        </w:rPr>
      </w:pPr>
    </w:p>
    <w:p w:rsidR="00DD0D4B" w:rsidRPr="00B777EF" w:rsidRDefault="001E57C9" w:rsidP="00FB6F31">
      <w:pPr>
        <w:pStyle w:val="BodyParaAfterTableFigure"/>
        <w:spacing w:before="0" w:after="0" w:line="276" w:lineRule="auto"/>
        <w:ind w:firstLine="360"/>
        <w:rPr>
          <w:rFonts w:ascii="Times New Roman" w:hAnsi="Times New Roman"/>
          <w:color w:val="000000" w:themeColor="text1"/>
          <w:sz w:val="24"/>
          <w:szCs w:val="24"/>
        </w:rPr>
      </w:pPr>
      <w:r w:rsidRPr="001E57C9">
        <w:rPr>
          <w:rFonts w:ascii="Times New Roman" w:hAnsi="Times New Roman"/>
          <w:color w:val="000000" w:themeColor="text1"/>
          <w:sz w:val="22"/>
        </w:rPr>
        <w:t>Table 10-9</w:t>
      </w:r>
      <w:r>
        <w:rPr>
          <w:rFonts w:ascii="Times New Roman" w:hAnsi="Times New Roman"/>
          <w:color w:val="000000" w:themeColor="text1"/>
          <w:sz w:val="24"/>
          <w:szCs w:val="24"/>
        </w:rPr>
        <w:t xml:space="preserve"> </w:t>
      </w:r>
      <w:r w:rsidR="00DD0D4B" w:rsidRPr="00B777EF">
        <w:rPr>
          <w:rFonts w:ascii="Times New Roman" w:hAnsi="Times New Roman"/>
          <w:color w:val="000000" w:themeColor="text1"/>
          <w:sz w:val="24"/>
          <w:szCs w:val="24"/>
        </w:rPr>
        <w:t xml:space="preserve">summarizes the 2018-2026 </w:t>
      </w:r>
      <w:r w:rsidR="008C46A8" w:rsidRPr="00B777EF">
        <w:rPr>
          <w:rFonts w:ascii="Times New Roman" w:hAnsi="Times New Roman"/>
          <w:color w:val="000000" w:themeColor="text1"/>
          <w:sz w:val="24"/>
          <w:szCs w:val="24"/>
        </w:rPr>
        <w:t>ex-ante</w:t>
      </w:r>
      <w:r w:rsidR="00DD0D4B" w:rsidRPr="00B777EF">
        <w:rPr>
          <w:rFonts w:ascii="Times New Roman" w:hAnsi="Times New Roman"/>
          <w:color w:val="000000" w:themeColor="text1"/>
          <w:sz w:val="24"/>
          <w:szCs w:val="24"/>
        </w:rPr>
        <w:t xml:space="preserve"> load impact estimates by weather year and day type. The third and sixth columns in the table show the average hourly </w:t>
      </w:r>
      <w:r w:rsidR="008C46A8" w:rsidRPr="00B777EF">
        <w:rPr>
          <w:rFonts w:ascii="Times New Roman" w:hAnsi="Times New Roman"/>
          <w:color w:val="000000" w:themeColor="text1"/>
          <w:sz w:val="24"/>
          <w:szCs w:val="24"/>
        </w:rPr>
        <w:t>ex-ante</w:t>
      </w:r>
      <w:r w:rsidR="00DD0D4B" w:rsidRPr="00B777EF">
        <w:rPr>
          <w:rFonts w:ascii="Times New Roman" w:hAnsi="Times New Roman"/>
          <w:color w:val="000000" w:themeColor="text1"/>
          <w:sz w:val="24"/>
          <w:szCs w:val="24"/>
        </w:rPr>
        <w:t xml:space="preserve"> load impact per thermostat (kW) over the event period from 1 to 6 PM for each type of weather, followed by the per-customer impact (kW) and the aggregate impact (MW). The first set of rows corresponds to 1-in-2 year weather conditions while the second set covers 1-in-10 year weather conditions. The highest impacts consistently occur on September peak days under both SDG&amp;E and CAISO weather conditions, with aggregate impacts of 4.1 MW in a 1-in-10 year and around 3.0 MW in a 1-in-2 year.</w:t>
      </w:r>
    </w:p>
    <w:p w:rsidR="001E57C9" w:rsidRDefault="001E57C9">
      <w:pPr>
        <w:rPr>
          <w:rFonts w:ascii="Arial" w:hAnsi="Arial"/>
          <w:sz w:val="20"/>
          <w:szCs w:val="22"/>
        </w:rPr>
      </w:pPr>
      <w:r>
        <w:br w:type="page"/>
      </w:r>
    </w:p>
    <w:p w:rsidR="00DD0D4B" w:rsidRPr="00F36C92" w:rsidRDefault="00DD0D4B" w:rsidP="00DD0D4B">
      <w:pPr>
        <w:pStyle w:val="BodyParagraph"/>
        <w:spacing w:after="0"/>
      </w:pPr>
    </w:p>
    <w:p w:rsidR="00DD0D4B" w:rsidRPr="00F36C92" w:rsidRDefault="00DD0D4B" w:rsidP="00FB6F31">
      <w:pPr>
        <w:pStyle w:val="Caption"/>
        <w:spacing w:after="120"/>
        <w:jc w:val="center"/>
        <w:rPr>
          <w:sz w:val="22"/>
          <w:szCs w:val="22"/>
        </w:rPr>
      </w:pPr>
      <w:bookmarkStart w:id="319" w:name="_Ref445992036"/>
      <w:r w:rsidRPr="00F36C92">
        <w:rPr>
          <w:sz w:val="22"/>
          <w:szCs w:val="22"/>
        </w:rPr>
        <w:t xml:space="preserve">Table </w:t>
      </w:r>
      <w:r w:rsidRPr="00F36C92">
        <w:rPr>
          <w:sz w:val="22"/>
          <w:szCs w:val="22"/>
        </w:rPr>
        <w:fldChar w:fldCharType="begin"/>
      </w:r>
      <w:r w:rsidRPr="00F36C92">
        <w:rPr>
          <w:sz w:val="22"/>
          <w:szCs w:val="22"/>
        </w:rPr>
        <w:instrText xml:space="preserve"> STYLEREF 1 \s </w:instrText>
      </w:r>
      <w:r w:rsidRPr="00F36C92">
        <w:rPr>
          <w:sz w:val="22"/>
          <w:szCs w:val="22"/>
        </w:rPr>
        <w:fldChar w:fldCharType="separate"/>
      </w:r>
      <w:r w:rsidR="008A6A2B">
        <w:rPr>
          <w:noProof/>
          <w:sz w:val="22"/>
          <w:szCs w:val="22"/>
        </w:rPr>
        <w:t>10</w:t>
      </w:r>
      <w:r w:rsidRPr="00F36C92">
        <w:rPr>
          <w:noProof/>
          <w:sz w:val="22"/>
          <w:szCs w:val="22"/>
        </w:rPr>
        <w:fldChar w:fldCharType="end"/>
      </w:r>
      <w:r w:rsidRPr="00F36C92">
        <w:rPr>
          <w:sz w:val="22"/>
          <w:szCs w:val="22"/>
        </w:rPr>
        <w:noBreakHyphen/>
      </w:r>
      <w:r w:rsidRPr="00F36C92">
        <w:rPr>
          <w:sz w:val="22"/>
          <w:szCs w:val="22"/>
        </w:rPr>
        <w:fldChar w:fldCharType="begin"/>
      </w:r>
      <w:r w:rsidRPr="00F36C92">
        <w:rPr>
          <w:sz w:val="22"/>
          <w:szCs w:val="22"/>
        </w:rPr>
        <w:instrText xml:space="preserve"> SEQ Table \* ARABIC \s 1 </w:instrText>
      </w:r>
      <w:r w:rsidRPr="00F36C92">
        <w:rPr>
          <w:sz w:val="22"/>
          <w:szCs w:val="22"/>
        </w:rPr>
        <w:fldChar w:fldCharType="separate"/>
      </w:r>
      <w:r w:rsidR="008A6A2B">
        <w:rPr>
          <w:noProof/>
          <w:sz w:val="22"/>
          <w:szCs w:val="22"/>
        </w:rPr>
        <w:t>9</w:t>
      </w:r>
      <w:r w:rsidRPr="00F36C92">
        <w:rPr>
          <w:noProof/>
          <w:sz w:val="22"/>
          <w:szCs w:val="22"/>
        </w:rPr>
        <w:fldChar w:fldCharType="end"/>
      </w:r>
      <w:bookmarkEnd w:id="319"/>
      <w:r w:rsidR="001F1158">
        <w:rPr>
          <w:noProof/>
          <w:sz w:val="22"/>
          <w:szCs w:val="22"/>
        </w:rPr>
        <w:t>:</w:t>
      </w:r>
      <w:r w:rsidRPr="00F36C92">
        <w:rPr>
          <w:sz w:val="22"/>
          <w:szCs w:val="22"/>
        </w:rPr>
        <w:t xml:space="preserve"> 2018-2026 </w:t>
      </w:r>
      <w:r w:rsidR="008C46A8">
        <w:rPr>
          <w:sz w:val="22"/>
          <w:szCs w:val="22"/>
        </w:rPr>
        <w:t>Ex-Ante</w:t>
      </w:r>
      <w:r w:rsidRPr="00F36C92">
        <w:rPr>
          <w:sz w:val="22"/>
          <w:szCs w:val="22"/>
        </w:rPr>
        <w:t xml:space="preserve"> Load Impact Estimates by Weather Year and Day Type </w:t>
      </w:r>
      <w:r w:rsidRPr="00F36C92">
        <w:rPr>
          <w:sz w:val="22"/>
          <w:szCs w:val="22"/>
        </w:rPr>
        <w:br/>
        <w:t>(kW per Customer, Aggregate MW, and kW per Thermostat)</w:t>
      </w:r>
    </w:p>
    <w:tbl>
      <w:tblPr>
        <w:tblW w:w="9276" w:type="dxa"/>
        <w:jc w:val="center"/>
        <w:tblInd w:w="-1117" w:type="dxa"/>
        <w:tblLayout w:type="fixed"/>
        <w:tblLook w:val="04A0" w:firstRow="1" w:lastRow="0" w:firstColumn="1" w:lastColumn="0" w:noHBand="0" w:noVBand="1"/>
      </w:tblPr>
      <w:tblGrid>
        <w:gridCol w:w="973"/>
        <w:gridCol w:w="1360"/>
        <w:gridCol w:w="1251"/>
        <w:gridCol w:w="1139"/>
        <w:gridCol w:w="1170"/>
        <w:gridCol w:w="1226"/>
        <w:gridCol w:w="1063"/>
        <w:gridCol w:w="1094"/>
      </w:tblGrid>
      <w:tr w:rsidR="00DD0D4B" w:rsidRPr="0058137F" w:rsidTr="00490C98">
        <w:trPr>
          <w:trHeight w:val="250"/>
          <w:tblHeader/>
          <w:jc w:val="center"/>
        </w:trPr>
        <w:tc>
          <w:tcPr>
            <w:tcW w:w="973" w:type="dxa"/>
            <w:vMerge w:val="restart"/>
            <w:tcBorders>
              <w:top w:val="single" w:sz="8" w:space="0" w:color="auto"/>
              <w:left w:val="single" w:sz="8" w:space="0" w:color="auto"/>
              <w:bottom w:val="single" w:sz="8" w:space="0" w:color="000000"/>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r w:rsidRPr="0096251D">
              <w:rPr>
                <w:rFonts w:ascii="Times New Roman" w:hAnsi="Times New Roman"/>
                <w:szCs w:val="20"/>
              </w:rPr>
              <w:t>Weather Year</w:t>
            </w:r>
          </w:p>
        </w:tc>
        <w:tc>
          <w:tcPr>
            <w:tcW w:w="1360" w:type="dxa"/>
            <w:vMerge w:val="restart"/>
            <w:tcBorders>
              <w:top w:val="single" w:sz="8" w:space="0" w:color="auto"/>
              <w:left w:val="single" w:sz="8" w:space="0" w:color="FFFFFF"/>
              <w:bottom w:val="single" w:sz="8" w:space="0" w:color="000000"/>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r w:rsidRPr="0096251D">
              <w:rPr>
                <w:rFonts w:ascii="Times New Roman" w:hAnsi="Times New Roman"/>
                <w:szCs w:val="20"/>
              </w:rPr>
              <w:t>Day Type</w:t>
            </w:r>
          </w:p>
        </w:tc>
        <w:tc>
          <w:tcPr>
            <w:tcW w:w="3560" w:type="dxa"/>
            <w:gridSpan w:val="3"/>
            <w:tcBorders>
              <w:top w:val="single" w:sz="8" w:space="0" w:color="auto"/>
              <w:left w:val="nil"/>
              <w:bottom w:val="single" w:sz="8" w:space="0" w:color="FFFFFF"/>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r w:rsidRPr="0096251D">
              <w:rPr>
                <w:rFonts w:ascii="Times New Roman" w:hAnsi="Times New Roman"/>
                <w:szCs w:val="20"/>
              </w:rPr>
              <w:t>SDG&amp;E Mean Hourly Impacts (2-6 PM)</w:t>
            </w:r>
          </w:p>
        </w:tc>
        <w:tc>
          <w:tcPr>
            <w:tcW w:w="3383" w:type="dxa"/>
            <w:gridSpan w:val="3"/>
            <w:tcBorders>
              <w:top w:val="single" w:sz="8" w:space="0" w:color="auto"/>
              <w:left w:val="nil"/>
              <w:bottom w:val="single" w:sz="8" w:space="0" w:color="FFFFFF"/>
              <w:right w:val="single" w:sz="8" w:space="0" w:color="000000"/>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r w:rsidRPr="0096251D">
              <w:rPr>
                <w:rFonts w:ascii="Times New Roman" w:hAnsi="Times New Roman"/>
                <w:szCs w:val="20"/>
              </w:rPr>
              <w:t>CAISO Mean Hourly Impacts (2-6 PM)</w:t>
            </w:r>
          </w:p>
        </w:tc>
      </w:tr>
      <w:tr w:rsidR="00DD0D4B" w:rsidRPr="0058137F" w:rsidTr="00490C98">
        <w:trPr>
          <w:trHeight w:val="574"/>
          <w:tblHeader/>
          <w:jc w:val="center"/>
        </w:trPr>
        <w:tc>
          <w:tcPr>
            <w:tcW w:w="973" w:type="dxa"/>
            <w:vMerge/>
            <w:tcBorders>
              <w:top w:val="single" w:sz="8" w:space="0" w:color="auto"/>
              <w:left w:val="single" w:sz="8" w:space="0" w:color="auto"/>
              <w:bottom w:val="single" w:sz="8" w:space="0" w:color="000000"/>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p>
        </w:tc>
        <w:tc>
          <w:tcPr>
            <w:tcW w:w="1360" w:type="dxa"/>
            <w:vMerge/>
            <w:tcBorders>
              <w:top w:val="single" w:sz="8" w:space="0" w:color="auto"/>
              <w:left w:val="single" w:sz="8" w:space="0" w:color="FFFFFF"/>
              <w:bottom w:val="single" w:sz="8" w:space="0" w:color="000000"/>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p>
        </w:tc>
        <w:tc>
          <w:tcPr>
            <w:tcW w:w="1251" w:type="dxa"/>
            <w:tcBorders>
              <w:top w:val="nil"/>
              <w:left w:val="nil"/>
              <w:bottom w:val="single" w:sz="8" w:space="0" w:color="FFFFFF"/>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r w:rsidRPr="0096251D">
              <w:rPr>
                <w:rFonts w:ascii="Times New Roman" w:hAnsi="Times New Roman"/>
                <w:szCs w:val="20"/>
              </w:rPr>
              <w:t>Per Thermostat</w:t>
            </w:r>
          </w:p>
        </w:tc>
        <w:tc>
          <w:tcPr>
            <w:tcW w:w="1139" w:type="dxa"/>
            <w:tcBorders>
              <w:top w:val="nil"/>
              <w:left w:val="nil"/>
              <w:bottom w:val="single" w:sz="8" w:space="0" w:color="FFFFFF"/>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r w:rsidRPr="0096251D">
              <w:rPr>
                <w:rFonts w:ascii="Times New Roman" w:hAnsi="Times New Roman"/>
                <w:szCs w:val="20"/>
              </w:rPr>
              <w:t>Per Customer</w:t>
            </w:r>
          </w:p>
        </w:tc>
        <w:tc>
          <w:tcPr>
            <w:tcW w:w="1170" w:type="dxa"/>
            <w:tcBorders>
              <w:top w:val="nil"/>
              <w:left w:val="nil"/>
              <w:bottom w:val="single" w:sz="8" w:space="0" w:color="FFFFFF"/>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r w:rsidRPr="0096251D">
              <w:rPr>
                <w:rFonts w:ascii="Times New Roman" w:hAnsi="Times New Roman"/>
                <w:szCs w:val="20"/>
              </w:rPr>
              <w:t>Aggregate</w:t>
            </w:r>
          </w:p>
        </w:tc>
        <w:tc>
          <w:tcPr>
            <w:tcW w:w="1226" w:type="dxa"/>
            <w:tcBorders>
              <w:top w:val="nil"/>
              <w:left w:val="nil"/>
              <w:bottom w:val="single" w:sz="8" w:space="0" w:color="FFFFFF"/>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r w:rsidRPr="0096251D">
              <w:rPr>
                <w:rFonts w:ascii="Times New Roman" w:hAnsi="Times New Roman"/>
                <w:szCs w:val="20"/>
              </w:rPr>
              <w:t>Per Thermostat</w:t>
            </w:r>
          </w:p>
        </w:tc>
        <w:tc>
          <w:tcPr>
            <w:tcW w:w="1063" w:type="dxa"/>
            <w:tcBorders>
              <w:top w:val="nil"/>
              <w:left w:val="nil"/>
              <w:bottom w:val="single" w:sz="8" w:space="0" w:color="FFFFFF"/>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r w:rsidRPr="0096251D">
              <w:rPr>
                <w:rFonts w:ascii="Times New Roman" w:hAnsi="Times New Roman"/>
                <w:szCs w:val="20"/>
              </w:rPr>
              <w:t>Per Customer</w:t>
            </w:r>
          </w:p>
        </w:tc>
        <w:tc>
          <w:tcPr>
            <w:tcW w:w="1094" w:type="dxa"/>
            <w:tcBorders>
              <w:top w:val="nil"/>
              <w:left w:val="nil"/>
              <w:bottom w:val="single" w:sz="8" w:space="0" w:color="FFFFFF"/>
              <w:right w:val="single" w:sz="8" w:space="0" w:color="auto"/>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r w:rsidRPr="0096251D">
              <w:rPr>
                <w:rFonts w:ascii="Times New Roman" w:hAnsi="Times New Roman"/>
                <w:szCs w:val="20"/>
              </w:rPr>
              <w:t>Aggregate</w:t>
            </w:r>
          </w:p>
        </w:tc>
      </w:tr>
      <w:tr w:rsidR="00DD0D4B" w:rsidRPr="0058137F" w:rsidTr="00490C98">
        <w:trPr>
          <w:trHeight w:val="241"/>
          <w:tblHeader/>
          <w:jc w:val="center"/>
        </w:trPr>
        <w:tc>
          <w:tcPr>
            <w:tcW w:w="973" w:type="dxa"/>
            <w:vMerge/>
            <w:tcBorders>
              <w:top w:val="single" w:sz="8" w:space="0" w:color="auto"/>
              <w:left w:val="single" w:sz="8" w:space="0" w:color="auto"/>
              <w:bottom w:val="single" w:sz="8" w:space="0" w:color="000000"/>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p>
        </w:tc>
        <w:tc>
          <w:tcPr>
            <w:tcW w:w="1360" w:type="dxa"/>
            <w:vMerge/>
            <w:tcBorders>
              <w:top w:val="single" w:sz="8" w:space="0" w:color="auto"/>
              <w:left w:val="single" w:sz="8" w:space="0" w:color="FFFFFF"/>
              <w:bottom w:val="single" w:sz="8" w:space="0" w:color="000000"/>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p>
        </w:tc>
        <w:tc>
          <w:tcPr>
            <w:tcW w:w="1251" w:type="dxa"/>
            <w:tcBorders>
              <w:top w:val="nil"/>
              <w:left w:val="nil"/>
              <w:bottom w:val="single" w:sz="8" w:space="0" w:color="auto"/>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r w:rsidRPr="0096251D">
              <w:rPr>
                <w:rFonts w:ascii="Times New Roman" w:hAnsi="Times New Roman"/>
                <w:szCs w:val="20"/>
              </w:rPr>
              <w:t>(kW)</w:t>
            </w:r>
          </w:p>
        </w:tc>
        <w:tc>
          <w:tcPr>
            <w:tcW w:w="1139" w:type="dxa"/>
            <w:tcBorders>
              <w:top w:val="nil"/>
              <w:left w:val="nil"/>
              <w:bottom w:val="single" w:sz="8" w:space="0" w:color="auto"/>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r w:rsidRPr="0096251D">
              <w:rPr>
                <w:rFonts w:ascii="Times New Roman" w:hAnsi="Times New Roman"/>
                <w:szCs w:val="20"/>
              </w:rPr>
              <w:t>(kW)</w:t>
            </w:r>
          </w:p>
        </w:tc>
        <w:tc>
          <w:tcPr>
            <w:tcW w:w="1170" w:type="dxa"/>
            <w:tcBorders>
              <w:top w:val="nil"/>
              <w:left w:val="nil"/>
              <w:bottom w:val="single" w:sz="8" w:space="0" w:color="auto"/>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r w:rsidRPr="0096251D">
              <w:rPr>
                <w:rFonts w:ascii="Times New Roman" w:hAnsi="Times New Roman"/>
                <w:szCs w:val="20"/>
              </w:rPr>
              <w:t>(MW)</w:t>
            </w:r>
          </w:p>
        </w:tc>
        <w:tc>
          <w:tcPr>
            <w:tcW w:w="1226" w:type="dxa"/>
            <w:tcBorders>
              <w:top w:val="nil"/>
              <w:left w:val="nil"/>
              <w:bottom w:val="single" w:sz="8" w:space="0" w:color="auto"/>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r w:rsidRPr="0096251D">
              <w:rPr>
                <w:rFonts w:ascii="Times New Roman" w:hAnsi="Times New Roman"/>
                <w:szCs w:val="20"/>
              </w:rPr>
              <w:t>(kW)</w:t>
            </w:r>
          </w:p>
        </w:tc>
        <w:tc>
          <w:tcPr>
            <w:tcW w:w="1063" w:type="dxa"/>
            <w:tcBorders>
              <w:top w:val="nil"/>
              <w:left w:val="nil"/>
              <w:bottom w:val="single" w:sz="8" w:space="0" w:color="auto"/>
              <w:right w:val="single" w:sz="8" w:space="0" w:color="FFFFFF"/>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r w:rsidRPr="0096251D">
              <w:rPr>
                <w:rFonts w:ascii="Times New Roman" w:hAnsi="Times New Roman"/>
                <w:szCs w:val="20"/>
              </w:rPr>
              <w:t>(kW)</w:t>
            </w:r>
          </w:p>
        </w:tc>
        <w:tc>
          <w:tcPr>
            <w:tcW w:w="1094" w:type="dxa"/>
            <w:tcBorders>
              <w:top w:val="nil"/>
              <w:left w:val="nil"/>
              <w:bottom w:val="single" w:sz="8" w:space="0" w:color="auto"/>
              <w:right w:val="single" w:sz="8" w:space="0" w:color="auto"/>
            </w:tcBorders>
            <w:shd w:val="clear" w:color="auto" w:fill="1F497D" w:themeFill="text2"/>
            <w:vAlign w:val="center"/>
            <w:hideMark/>
          </w:tcPr>
          <w:p w:rsidR="00DD0D4B" w:rsidRPr="0096251D" w:rsidRDefault="00DD0D4B" w:rsidP="00796333">
            <w:pPr>
              <w:pStyle w:val="TableHeader"/>
              <w:spacing w:before="60" w:after="60"/>
              <w:rPr>
                <w:rFonts w:ascii="Times New Roman" w:hAnsi="Times New Roman"/>
                <w:szCs w:val="20"/>
              </w:rPr>
            </w:pPr>
            <w:r w:rsidRPr="0096251D">
              <w:rPr>
                <w:rFonts w:ascii="Times New Roman" w:hAnsi="Times New Roman"/>
                <w:szCs w:val="20"/>
              </w:rPr>
              <w:t>(MW)</w:t>
            </w:r>
          </w:p>
        </w:tc>
      </w:tr>
      <w:tr w:rsidR="00DD0D4B" w:rsidRPr="0058137F" w:rsidTr="00490C98">
        <w:trPr>
          <w:trHeight w:val="223"/>
          <w:jc w:val="center"/>
        </w:trPr>
        <w:tc>
          <w:tcPr>
            <w:tcW w:w="9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D0D4B" w:rsidRPr="00054990" w:rsidRDefault="00DD0D4B" w:rsidP="00796333">
            <w:pPr>
              <w:pStyle w:val="TableText"/>
              <w:contextualSpacing/>
              <w:jc w:val="center"/>
              <w:rPr>
                <w:rFonts w:ascii="Times New Roman" w:hAnsi="Times New Roman"/>
                <w:sz w:val="20"/>
                <w:szCs w:val="20"/>
              </w:rPr>
            </w:pPr>
            <w:r w:rsidRPr="00054990">
              <w:rPr>
                <w:rFonts w:ascii="Times New Roman" w:hAnsi="Times New Roman"/>
                <w:sz w:val="20"/>
                <w:szCs w:val="20"/>
              </w:rPr>
              <w:t>1-in-2</w:t>
            </w: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054990" w:rsidRDefault="00DD0D4B" w:rsidP="00490C98">
            <w:pPr>
              <w:pStyle w:val="TableText"/>
              <w:contextualSpacing/>
              <w:rPr>
                <w:rFonts w:ascii="Times New Roman" w:hAnsi="Times New Roman"/>
                <w:sz w:val="20"/>
                <w:szCs w:val="20"/>
              </w:rPr>
            </w:pPr>
            <w:r w:rsidRPr="00054990">
              <w:rPr>
                <w:rFonts w:ascii="Times New Roman" w:hAnsi="Times New Roman"/>
                <w:sz w:val="20"/>
                <w:szCs w:val="20"/>
              </w:rPr>
              <w:t>Typical Event Day</w:t>
            </w:r>
          </w:p>
        </w:tc>
        <w:tc>
          <w:tcPr>
            <w:tcW w:w="1251"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0.15</w:t>
            </w:r>
          </w:p>
        </w:tc>
        <w:tc>
          <w:tcPr>
            <w:tcW w:w="1139"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0.8</w:t>
            </w:r>
          </w:p>
        </w:tc>
        <w:tc>
          <w:tcPr>
            <w:tcW w:w="1170"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2.4</w:t>
            </w:r>
          </w:p>
        </w:tc>
        <w:tc>
          <w:tcPr>
            <w:tcW w:w="1226"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0.15</w:t>
            </w:r>
          </w:p>
        </w:tc>
        <w:tc>
          <w:tcPr>
            <w:tcW w:w="1063"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0.9</w:t>
            </w:r>
          </w:p>
        </w:tc>
        <w:tc>
          <w:tcPr>
            <w:tcW w:w="1094"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2.6</w:t>
            </w:r>
          </w:p>
        </w:tc>
      </w:tr>
      <w:tr w:rsidR="00DD0D4B" w:rsidRPr="0058137F" w:rsidTr="00490C98">
        <w:trPr>
          <w:trHeight w:val="170"/>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054990" w:rsidRDefault="00DD0D4B" w:rsidP="00796333">
            <w:pPr>
              <w:pStyle w:val="TableText"/>
              <w:contextualSpacing/>
              <w:jc w:val="center"/>
              <w:rPr>
                <w:rFonts w:ascii="Times New Roman" w:hAnsi="Times New Roman"/>
                <w:sz w:val="20"/>
                <w:szCs w:val="20"/>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054990" w:rsidRDefault="00DD0D4B" w:rsidP="00490C98">
            <w:pPr>
              <w:pStyle w:val="TableText"/>
              <w:contextualSpacing/>
              <w:rPr>
                <w:rFonts w:ascii="Times New Roman" w:hAnsi="Times New Roman"/>
                <w:sz w:val="20"/>
                <w:szCs w:val="20"/>
              </w:rPr>
            </w:pPr>
            <w:r w:rsidRPr="00054990">
              <w:rPr>
                <w:rFonts w:ascii="Times New Roman" w:hAnsi="Times New Roman"/>
                <w:sz w:val="20"/>
                <w:szCs w:val="20"/>
              </w:rPr>
              <w:t>January Monthly Peak</w:t>
            </w:r>
          </w:p>
        </w:tc>
        <w:tc>
          <w:tcPr>
            <w:tcW w:w="1251"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0.00</w:t>
            </w:r>
          </w:p>
        </w:tc>
        <w:tc>
          <w:tcPr>
            <w:tcW w:w="1139"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w:t>
            </w:r>
          </w:p>
        </w:tc>
        <w:tc>
          <w:tcPr>
            <w:tcW w:w="1170"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w:t>
            </w:r>
          </w:p>
        </w:tc>
        <w:tc>
          <w:tcPr>
            <w:tcW w:w="1226"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0.00</w:t>
            </w:r>
          </w:p>
        </w:tc>
        <w:tc>
          <w:tcPr>
            <w:tcW w:w="1063"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w:t>
            </w:r>
          </w:p>
        </w:tc>
        <w:tc>
          <w:tcPr>
            <w:tcW w:w="1094"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w:t>
            </w:r>
          </w:p>
        </w:tc>
      </w:tr>
      <w:tr w:rsidR="00DD0D4B" w:rsidRPr="0058137F" w:rsidTr="00490C98">
        <w:trPr>
          <w:trHeight w:val="215"/>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054990" w:rsidRDefault="00DD0D4B" w:rsidP="00796333">
            <w:pPr>
              <w:pStyle w:val="TableText"/>
              <w:contextualSpacing/>
              <w:jc w:val="center"/>
              <w:rPr>
                <w:rFonts w:ascii="Times New Roman" w:hAnsi="Times New Roman"/>
                <w:sz w:val="20"/>
                <w:szCs w:val="20"/>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054990" w:rsidRDefault="00DD0D4B" w:rsidP="00490C98">
            <w:pPr>
              <w:pStyle w:val="TableText"/>
              <w:contextualSpacing/>
              <w:rPr>
                <w:rFonts w:ascii="Times New Roman" w:hAnsi="Times New Roman"/>
                <w:sz w:val="20"/>
                <w:szCs w:val="20"/>
              </w:rPr>
            </w:pPr>
            <w:r w:rsidRPr="00054990">
              <w:rPr>
                <w:rFonts w:ascii="Times New Roman" w:hAnsi="Times New Roman"/>
                <w:sz w:val="20"/>
                <w:szCs w:val="20"/>
              </w:rPr>
              <w:t>February Monthly Peak</w:t>
            </w:r>
          </w:p>
        </w:tc>
        <w:tc>
          <w:tcPr>
            <w:tcW w:w="1251"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0.00</w:t>
            </w:r>
          </w:p>
        </w:tc>
        <w:tc>
          <w:tcPr>
            <w:tcW w:w="1139"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w:t>
            </w:r>
          </w:p>
        </w:tc>
        <w:tc>
          <w:tcPr>
            <w:tcW w:w="1170"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w:t>
            </w:r>
          </w:p>
        </w:tc>
        <w:tc>
          <w:tcPr>
            <w:tcW w:w="1226"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0.00</w:t>
            </w:r>
          </w:p>
        </w:tc>
        <w:tc>
          <w:tcPr>
            <w:tcW w:w="1063"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w:t>
            </w:r>
          </w:p>
        </w:tc>
        <w:tc>
          <w:tcPr>
            <w:tcW w:w="1094"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w:t>
            </w:r>
          </w:p>
        </w:tc>
      </w:tr>
      <w:tr w:rsidR="00DD0D4B" w:rsidRPr="0058137F" w:rsidTr="00490C98">
        <w:trPr>
          <w:trHeight w:val="89"/>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054990" w:rsidRDefault="00DD0D4B" w:rsidP="00796333">
            <w:pPr>
              <w:pStyle w:val="TableText"/>
              <w:contextualSpacing/>
              <w:jc w:val="center"/>
              <w:rPr>
                <w:rFonts w:ascii="Times New Roman" w:hAnsi="Times New Roman"/>
                <w:sz w:val="20"/>
                <w:szCs w:val="20"/>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054990" w:rsidRDefault="00DD0D4B" w:rsidP="00490C98">
            <w:pPr>
              <w:pStyle w:val="TableText"/>
              <w:contextualSpacing/>
              <w:rPr>
                <w:rFonts w:ascii="Times New Roman" w:hAnsi="Times New Roman"/>
                <w:sz w:val="20"/>
                <w:szCs w:val="20"/>
              </w:rPr>
            </w:pPr>
            <w:r w:rsidRPr="00054990">
              <w:rPr>
                <w:rFonts w:ascii="Times New Roman" w:hAnsi="Times New Roman"/>
                <w:sz w:val="20"/>
                <w:szCs w:val="20"/>
              </w:rPr>
              <w:t>March Monthly Peak</w:t>
            </w:r>
          </w:p>
        </w:tc>
        <w:tc>
          <w:tcPr>
            <w:tcW w:w="1251"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0.00</w:t>
            </w:r>
          </w:p>
        </w:tc>
        <w:tc>
          <w:tcPr>
            <w:tcW w:w="1139"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w:t>
            </w:r>
          </w:p>
        </w:tc>
        <w:tc>
          <w:tcPr>
            <w:tcW w:w="1170"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w:t>
            </w:r>
          </w:p>
        </w:tc>
        <w:tc>
          <w:tcPr>
            <w:tcW w:w="1226"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0.00</w:t>
            </w:r>
          </w:p>
        </w:tc>
        <w:tc>
          <w:tcPr>
            <w:tcW w:w="1063"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w:t>
            </w:r>
          </w:p>
        </w:tc>
        <w:tc>
          <w:tcPr>
            <w:tcW w:w="1094"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w:t>
            </w:r>
          </w:p>
        </w:tc>
      </w:tr>
      <w:tr w:rsidR="00DD0D4B" w:rsidRPr="0058137F" w:rsidTr="00490C98">
        <w:trPr>
          <w:trHeight w:val="134"/>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054990" w:rsidRDefault="00DD0D4B" w:rsidP="00796333">
            <w:pPr>
              <w:pStyle w:val="TableText"/>
              <w:contextualSpacing/>
              <w:jc w:val="center"/>
              <w:rPr>
                <w:rFonts w:ascii="Times New Roman" w:hAnsi="Times New Roman"/>
                <w:sz w:val="20"/>
                <w:szCs w:val="20"/>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054990" w:rsidRDefault="00DD0D4B" w:rsidP="00490C98">
            <w:pPr>
              <w:pStyle w:val="TableText"/>
              <w:contextualSpacing/>
              <w:rPr>
                <w:rFonts w:ascii="Times New Roman" w:hAnsi="Times New Roman"/>
                <w:sz w:val="20"/>
                <w:szCs w:val="20"/>
              </w:rPr>
            </w:pPr>
            <w:r w:rsidRPr="00054990">
              <w:rPr>
                <w:rFonts w:ascii="Times New Roman" w:hAnsi="Times New Roman"/>
                <w:sz w:val="20"/>
                <w:szCs w:val="20"/>
              </w:rPr>
              <w:t>April Monthly Peak</w:t>
            </w:r>
          </w:p>
        </w:tc>
        <w:tc>
          <w:tcPr>
            <w:tcW w:w="1251"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0.06</w:t>
            </w:r>
          </w:p>
        </w:tc>
        <w:tc>
          <w:tcPr>
            <w:tcW w:w="1139"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0.3</w:t>
            </w:r>
          </w:p>
        </w:tc>
        <w:tc>
          <w:tcPr>
            <w:tcW w:w="1170"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1.0</w:t>
            </w:r>
          </w:p>
        </w:tc>
        <w:tc>
          <w:tcPr>
            <w:tcW w:w="1226"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0.04</w:t>
            </w:r>
          </w:p>
        </w:tc>
        <w:tc>
          <w:tcPr>
            <w:tcW w:w="1063"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0.2</w:t>
            </w:r>
          </w:p>
        </w:tc>
        <w:tc>
          <w:tcPr>
            <w:tcW w:w="1094"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0.7</w:t>
            </w:r>
          </w:p>
        </w:tc>
      </w:tr>
      <w:tr w:rsidR="00DD0D4B" w:rsidRPr="0058137F" w:rsidTr="00490C98">
        <w:trPr>
          <w:trHeight w:val="197"/>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054990" w:rsidRDefault="00DD0D4B" w:rsidP="00796333">
            <w:pPr>
              <w:pStyle w:val="TableText"/>
              <w:contextualSpacing/>
              <w:jc w:val="center"/>
              <w:rPr>
                <w:rFonts w:ascii="Times New Roman" w:hAnsi="Times New Roman"/>
                <w:sz w:val="20"/>
                <w:szCs w:val="20"/>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054990" w:rsidRDefault="00DD0D4B" w:rsidP="00490C98">
            <w:pPr>
              <w:pStyle w:val="TableText"/>
              <w:contextualSpacing/>
              <w:rPr>
                <w:rFonts w:ascii="Times New Roman" w:hAnsi="Times New Roman"/>
                <w:sz w:val="20"/>
                <w:szCs w:val="20"/>
              </w:rPr>
            </w:pPr>
            <w:r w:rsidRPr="00054990">
              <w:rPr>
                <w:rFonts w:ascii="Times New Roman" w:hAnsi="Times New Roman"/>
                <w:sz w:val="20"/>
                <w:szCs w:val="20"/>
              </w:rPr>
              <w:t>May Monthly Peak</w:t>
            </w:r>
          </w:p>
        </w:tc>
        <w:tc>
          <w:tcPr>
            <w:tcW w:w="1251"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0.09</w:t>
            </w:r>
          </w:p>
        </w:tc>
        <w:tc>
          <w:tcPr>
            <w:tcW w:w="1139"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0.5</w:t>
            </w:r>
          </w:p>
        </w:tc>
        <w:tc>
          <w:tcPr>
            <w:tcW w:w="1170"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1.5</w:t>
            </w:r>
          </w:p>
        </w:tc>
        <w:tc>
          <w:tcPr>
            <w:tcW w:w="1226"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0.05</w:t>
            </w:r>
          </w:p>
        </w:tc>
        <w:tc>
          <w:tcPr>
            <w:tcW w:w="1063"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0.3</w:t>
            </w:r>
          </w:p>
        </w:tc>
        <w:tc>
          <w:tcPr>
            <w:tcW w:w="1094"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0.8</w:t>
            </w:r>
          </w:p>
        </w:tc>
      </w:tr>
      <w:tr w:rsidR="00DD0D4B" w:rsidRPr="0058137F" w:rsidTr="00490C98">
        <w:trPr>
          <w:trHeight w:val="242"/>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054990" w:rsidRDefault="00DD0D4B" w:rsidP="00796333">
            <w:pPr>
              <w:pStyle w:val="TableText"/>
              <w:contextualSpacing/>
              <w:jc w:val="center"/>
              <w:rPr>
                <w:rFonts w:ascii="Times New Roman" w:hAnsi="Times New Roman"/>
                <w:sz w:val="20"/>
                <w:szCs w:val="20"/>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054990" w:rsidRDefault="00DD0D4B" w:rsidP="00490C98">
            <w:pPr>
              <w:pStyle w:val="TableText"/>
              <w:contextualSpacing/>
              <w:rPr>
                <w:rFonts w:ascii="Times New Roman" w:hAnsi="Times New Roman"/>
                <w:sz w:val="20"/>
                <w:szCs w:val="20"/>
              </w:rPr>
            </w:pPr>
            <w:r w:rsidRPr="00054990">
              <w:rPr>
                <w:rFonts w:ascii="Times New Roman" w:hAnsi="Times New Roman"/>
                <w:sz w:val="20"/>
                <w:szCs w:val="20"/>
              </w:rPr>
              <w:t>June Monthly Peak</w:t>
            </w:r>
          </w:p>
        </w:tc>
        <w:tc>
          <w:tcPr>
            <w:tcW w:w="1251"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0.09</w:t>
            </w:r>
          </w:p>
        </w:tc>
        <w:tc>
          <w:tcPr>
            <w:tcW w:w="1139"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0.5</w:t>
            </w:r>
          </w:p>
        </w:tc>
        <w:tc>
          <w:tcPr>
            <w:tcW w:w="1170"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1.5</w:t>
            </w:r>
          </w:p>
        </w:tc>
        <w:tc>
          <w:tcPr>
            <w:tcW w:w="1226"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0.10</w:t>
            </w:r>
          </w:p>
        </w:tc>
        <w:tc>
          <w:tcPr>
            <w:tcW w:w="1063"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0.6</w:t>
            </w:r>
          </w:p>
        </w:tc>
        <w:tc>
          <w:tcPr>
            <w:tcW w:w="1094"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1.7</w:t>
            </w:r>
          </w:p>
        </w:tc>
      </w:tr>
      <w:tr w:rsidR="00DD0D4B" w:rsidRPr="0058137F" w:rsidTr="00490C98">
        <w:trPr>
          <w:trHeight w:val="197"/>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054990" w:rsidRDefault="00DD0D4B" w:rsidP="00796333">
            <w:pPr>
              <w:pStyle w:val="TableText"/>
              <w:contextualSpacing/>
              <w:jc w:val="center"/>
              <w:rPr>
                <w:rFonts w:ascii="Times New Roman" w:hAnsi="Times New Roman"/>
                <w:sz w:val="20"/>
                <w:szCs w:val="20"/>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054990" w:rsidRDefault="00DD0D4B" w:rsidP="00490C98">
            <w:pPr>
              <w:pStyle w:val="TableText"/>
              <w:contextualSpacing/>
              <w:rPr>
                <w:rFonts w:ascii="Times New Roman" w:hAnsi="Times New Roman"/>
                <w:sz w:val="20"/>
                <w:szCs w:val="20"/>
              </w:rPr>
            </w:pPr>
            <w:r w:rsidRPr="00054990">
              <w:rPr>
                <w:rFonts w:ascii="Times New Roman" w:hAnsi="Times New Roman"/>
                <w:sz w:val="20"/>
                <w:szCs w:val="20"/>
              </w:rPr>
              <w:t>July Monthly Peak</w:t>
            </w:r>
          </w:p>
        </w:tc>
        <w:tc>
          <w:tcPr>
            <w:tcW w:w="1251"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0.14</w:t>
            </w:r>
          </w:p>
        </w:tc>
        <w:tc>
          <w:tcPr>
            <w:tcW w:w="1139"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0.8</w:t>
            </w:r>
          </w:p>
        </w:tc>
        <w:tc>
          <w:tcPr>
            <w:tcW w:w="1170"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2.3</w:t>
            </w:r>
          </w:p>
        </w:tc>
        <w:tc>
          <w:tcPr>
            <w:tcW w:w="1226"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0.13</w:t>
            </w:r>
          </w:p>
        </w:tc>
        <w:tc>
          <w:tcPr>
            <w:tcW w:w="1063"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0.8</w:t>
            </w:r>
          </w:p>
        </w:tc>
        <w:tc>
          <w:tcPr>
            <w:tcW w:w="1094"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2.2</w:t>
            </w:r>
          </w:p>
        </w:tc>
      </w:tr>
      <w:tr w:rsidR="00DD0D4B" w:rsidRPr="0058137F" w:rsidTr="00490C98">
        <w:trPr>
          <w:trHeight w:val="152"/>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054990" w:rsidRDefault="00DD0D4B" w:rsidP="00796333">
            <w:pPr>
              <w:pStyle w:val="TableText"/>
              <w:contextualSpacing/>
              <w:jc w:val="center"/>
              <w:rPr>
                <w:rFonts w:ascii="Times New Roman" w:hAnsi="Times New Roman"/>
                <w:sz w:val="20"/>
                <w:szCs w:val="20"/>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054990" w:rsidRDefault="00DD0D4B" w:rsidP="00490C98">
            <w:pPr>
              <w:pStyle w:val="TableText"/>
              <w:contextualSpacing/>
              <w:rPr>
                <w:rFonts w:ascii="Times New Roman" w:hAnsi="Times New Roman"/>
                <w:sz w:val="20"/>
                <w:szCs w:val="20"/>
              </w:rPr>
            </w:pPr>
            <w:r w:rsidRPr="00054990">
              <w:rPr>
                <w:rFonts w:ascii="Times New Roman" w:hAnsi="Times New Roman"/>
                <w:sz w:val="20"/>
                <w:szCs w:val="20"/>
              </w:rPr>
              <w:t>August Monthly Peak</w:t>
            </w:r>
          </w:p>
        </w:tc>
        <w:tc>
          <w:tcPr>
            <w:tcW w:w="1251"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0.18</w:t>
            </w:r>
          </w:p>
        </w:tc>
        <w:tc>
          <w:tcPr>
            <w:tcW w:w="1139"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1.0</w:t>
            </w:r>
          </w:p>
        </w:tc>
        <w:tc>
          <w:tcPr>
            <w:tcW w:w="1170"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2.9</w:t>
            </w:r>
          </w:p>
        </w:tc>
        <w:tc>
          <w:tcPr>
            <w:tcW w:w="1226"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0.19</w:t>
            </w:r>
          </w:p>
        </w:tc>
        <w:tc>
          <w:tcPr>
            <w:tcW w:w="1063"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1.1</w:t>
            </w:r>
          </w:p>
        </w:tc>
        <w:tc>
          <w:tcPr>
            <w:tcW w:w="1094"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3.2</w:t>
            </w:r>
          </w:p>
        </w:tc>
      </w:tr>
      <w:tr w:rsidR="00DD0D4B" w:rsidRPr="0058137F" w:rsidTr="00490C98">
        <w:trPr>
          <w:trHeight w:val="125"/>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054990" w:rsidRDefault="00DD0D4B" w:rsidP="00796333">
            <w:pPr>
              <w:pStyle w:val="TableText"/>
              <w:contextualSpacing/>
              <w:jc w:val="center"/>
              <w:rPr>
                <w:rFonts w:ascii="Times New Roman" w:hAnsi="Times New Roman"/>
                <w:sz w:val="20"/>
                <w:szCs w:val="20"/>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054990" w:rsidRDefault="00DD0D4B" w:rsidP="00490C98">
            <w:pPr>
              <w:pStyle w:val="TableText"/>
              <w:contextualSpacing/>
              <w:rPr>
                <w:rFonts w:ascii="Times New Roman" w:hAnsi="Times New Roman"/>
                <w:sz w:val="20"/>
                <w:szCs w:val="20"/>
              </w:rPr>
            </w:pPr>
            <w:r w:rsidRPr="00054990">
              <w:rPr>
                <w:rFonts w:ascii="Times New Roman" w:hAnsi="Times New Roman"/>
                <w:sz w:val="20"/>
                <w:szCs w:val="20"/>
              </w:rPr>
              <w:t>September Monthly Peak</w:t>
            </w:r>
          </w:p>
        </w:tc>
        <w:tc>
          <w:tcPr>
            <w:tcW w:w="1251"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0.18</w:t>
            </w:r>
          </w:p>
        </w:tc>
        <w:tc>
          <w:tcPr>
            <w:tcW w:w="1139"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1.0</w:t>
            </w:r>
          </w:p>
        </w:tc>
        <w:tc>
          <w:tcPr>
            <w:tcW w:w="1170"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3.0</w:t>
            </w:r>
          </w:p>
        </w:tc>
        <w:tc>
          <w:tcPr>
            <w:tcW w:w="1226"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0.19</w:t>
            </w:r>
          </w:p>
        </w:tc>
        <w:tc>
          <w:tcPr>
            <w:tcW w:w="1063"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1.1</w:t>
            </w:r>
          </w:p>
        </w:tc>
        <w:tc>
          <w:tcPr>
            <w:tcW w:w="1094"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3.2</w:t>
            </w:r>
          </w:p>
        </w:tc>
      </w:tr>
      <w:tr w:rsidR="00DD0D4B" w:rsidRPr="0058137F" w:rsidTr="00490C98">
        <w:trPr>
          <w:trHeight w:val="89"/>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054990" w:rsidRDefault="00DD0D4B" w:rsidP="00796333">
            <w:pPr>
              <w:pStyle w:val="TableText"/>
              <w:contextualSpacing/>
              <w:jc w:val="center"/>
              <w:rPr>
                <w:rFonts w:ascii="Times New Roman" w:hAnsi="Times New Roman"/>
                <w:sz w:val="20"/>
                <w:szCs w:val="20"/>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054990" w:rsidRDefault="00DD0D4B" w:rsidP="00490C98">
            <w:pPr>
              <w:pStyle w:val="TableText"/>
              <w:contextualSpacing/>
              <w:rPr>
                <w:rFonts w:ascii="Times New Roman" w:hAnsi="Times New Roman"/>
                <w:sz w:val="20"/>
                <w:szCs w:val="20"/>
              </w:rPr>
            </w:pPr>
            <w:r w:rsidRPr="00054990">
              <w:rPr>
                <w:rFonts w:ascii="Times New Roman" w:hAnsi="Times New Roman"/>
                <w:sz w:val="20"/>
                <w:szCs w:val="20"/>
              </w:rPr>
              <w:t>October Monthly Peak</w:t>
            </w:r>
          </w:p>
        </w:tc>
        <w:tc>
          <w:tcPr>
            <w:tcW w:w="1251"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0.13</w:t>
            </w:r>
          </w:p>
        </w:tc>
        <w:tc>
          <w:tcPr>
            <w:tcW w:w="1139"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0.7</w:t>
            </w:r>
          </w:p>
        </w:tc>
        <w:tc>
          <w:tcPr>
            <w:tcW w:w="1170"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2.1</w:t>
            </w:r>
          </w:p>
        </w:tc>
        <w:tc>
          <w:tcPr>
            <w:tcW w:w="1226"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0.09</w:t>
            </w:r>
          </w:p>
        </w:tc>
        <w:tc>
          <w:tcPr>
            <w:tcW w:w="1063"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0.5</w:t>
            </w:r>
          </w:p>
        </w:tc>
        <w:tc>
          <w:tcPr>
            <w:tcW w:w="1094"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1.6</w:t>
            </w:r>
          </w:p>
        </w:tc>
      </w:tr>
      <w:tr w:rsidR="00DD0D4B" w:rsidRPr="0058137F" w:rsidTr="00490C98">
        <w:trPr>
          <w:trHeight w:val="134"/>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054990" w:rsidRDefault="00DD0D4B" w:rsidP="00796333">
            <w:pPr>
              <w:pStyle w:val="TableText"/>
              <w:contextualSpacing/>
              <w:jc w:val="center"/>
              <w:rPr>
                <w:rFonts w:ascii="Times New Roman" w:hAnsi="Times New Roman"/>
                <w:sz w:val="20"/>
                <w:szCs w:val="20"/>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054990" w:rsidRDefault="00DD0D4B" w:rsidP="00490C98">
            <w:pPr>
              <w:pStyle w:val="TableText"/>
              <w:contextualSpacing/>
              <w:rPr>
                <w:rFonts w:ascii="Times New Roman" w:hAnsi="Times New Roman"/>
                <w:sz w:val="20"/>
                <w:szCs w:val="20"/>
              </w:rPr>
            </w:pPr>
            <w:r w:rsidRPr="00054990">
              <w:rPr>
                <w:rFonts w:ascii="Times New Roman" w:hAnsi="Times New Roman"/>
                <w:sz w:val="20"/>
                <w:szCs w:val="20"/>
              </w:rPr>
              <w:t>November Monthly Peak</w:t>
            </w:r>
          </w:p>
        </w:tc>
        <w:tc>
          <w:tcPr>
            <w:tcW w:w="1251"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0.04</w:t>
            </w:r>
          </w:p>
        </w:tc>
        <w:tc>
          <w:tcPr>
            <w:tcW w:w="1139"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0.2</w:t>
            </w:r>
          </w:p>
        </w:tc>
        <w:tc>
          <w:tcPr>
            <w:tcW w:w="1170"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0.7</w:t>
            </w:r>
          </w:p>
        </w:tc>
        <w:tc>
          <w:tcPr>
            <w:tcW w:w="1226"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0.03</w:t>
            </w:r>
          </w:p>
        </w:tc>
        <w:tc>
          <w:tcPr>
            <w:tcW w:w="1063"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0.2</w:t>
            </w:r>
          </w:p>
        </w:tc>
        <w:tc>
          <w:tcPr>
            <w:tcW w:w="1094"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0.5</w:t>
            </w:r>
          </w:p>
        </w:tc>
      </w:tr>
      <w:tr w:rsidR="00DD0D4B" w:rsidRPr="0058137F" w:rsidTr="00490C98">
        <w:trPr>
          <w:trHeight w:val="179"/>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054990" w:rsidRDefault="00DD0D4B" w:rsidP="00796333">
            <w:pPr>
              <w:pStyle w:val="TableText"/>
              <w:contextualSpacing/>
              <w:jc w:val="center"/>
              <w:rPr>
                <w:rFonts w:ascii="Times New Roman" w:hAnsi="Times New Roman"/>
                <w:sz w:val="20"/>
                <w:szCs w:val="20"/>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054990" w:rsidRDefault="00DD0D4B" w:rsidP="00E739D4">
            <w:pPr>
              <w:pStyle w:val="TableText"/>
              <w:contextualSpacing/>
              <w:rPr>
                <w:rFonts w:ascii="Times New Roman" w:hAnsi="Times New Roman"/>
                <w:sz w:val="20"/>
                <w:szCs w:val="20"/>
              </w:rPr>
            </w:pPr>
            <w:r w:rsidRPr="00054990">
              <w:rPr>
                <w:rFonts w:ascii="Times New Roman" w:hAnsi="Times New Roman"/>
                <w:sz w:val="20"/>
                <w:szCs w:val="20"/>
              </w:rPr>
              <w:t>December Monthly Peak</w:t>
            </w:r>
          </w:p>
        </w:tc>
        <w:tc>
          <w:tcPr>
            <w:tcW w:w="1251"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0.00</w:t>
            </w:r>
          </w:p>
        </w:tc>
        <w:tc>
          <w:tcPr>
            <w:tcW w:w="1139"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w:t>
            </w:r>
          </w:p>
        </w:tc>
        <w:tc>
          <w:tcPr>
            <w:tcW w:w="1170"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w:t>
            </w:r>
          </w:p>
        </w:tc>
        <w:tc>
          <w:tcPr>
            <w:tcW w:w="1226"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0.00</w:t>
            </w:r>
          </w:p>
        </w:tc>
        <w:tc>
          <w:tcPr>
            <w:tcW w:w="1063"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w:t>
            </w:r>
          </w:p>
        </w:tc>
        <w:tc>
          <w:tcPr>
            <w:tcW w:w="1094" w:type="dxa"/>
            <w:tcBorders>
              <w:top w:val="nil"/>
              <w:left w:val="nil"/>
              <w:bottom w:val="single" w:sz="4" w:space="0" w:color="auto"/>
              <w:right w:val="single" w:sz="4" w:space="0" w:color="auto"/>
            </w:tcBorders>
            <w:shd w:val="clear" w:color="auto" w:fill="auto"/>
            <w:noWrap/>
            <w:hideMark/>
          </w:tcPr>
          <w:p w:rsidR="00DD0D4B" w:rsidRPr="00FB6F31" w:rsidRDefault="00DD0D4B" w:rsidP="00796333">
            <w:pPr>
              <w:jc w:val="center"/>
              <w:rPr>
                <w:color w:val="000000" w:themeColor="text1"/>
                <w:sz w:val="20"/>
                <w:szCs w:val="20"/>
              </w:rPr>
            </w:pPr>
            <w:r w:rsidRPr="00FB6F31">
              <w:rPr>
                <w:color w:val="000000" w:themeColor="text1"/>
                <w:sz w:val="20"/>
                <w:szCs w:val="20"/>
              </w:rPr>
              <w:t>0.0</w:t>
            </w:r>
          </w:p>
        </w:tc>
      </w:tr>
      <w:tr w:rsidR="00DD0D4B" w:rsidRPr="0058137F" w:rsidTr="00490C98">
        <w:trPr>
          <w:trHeight w:val="134"/>
          <w:jc w:val="center"/>
        </w:trPr>
        <w:tc>
          <w:tcPr>
            <w:tcW w:w="9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D0D4B" w:rsidRPr="00E739D4" w:rsidRDefault="00DD0D4B" w:rsidP="00796333">
            <w:pPr>
              <w:pStyle w:val="TableText"/>
              <w:keepNext/>
              <w:contextualSpacing/>
              <w:jc w:val="center"/>
              <w:rPr>
                <w:rFonts w:ascii="Times New Roman" w:hAnsi="Times New Roman"/>
                <w:szCs w:val="18"/>
              </w:rPr>
            </w:pPr>
            <w:r w:rsidRPr="00E739D4">
              <w:rPr>
                <w:rFonts w:ascii="Times New Roman" w:hAnsi="Times New Roman"/>
                <w:szCs w:val="18"/>
              </w:rPr>
              <w:lastRenderedPageBreak/>
              <w:t>1-in-10</w:t>
            </w: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E739D4" w:rsidRDefault="00DD0D4B" w:rsidP="00E739D4">
            <w:pPr>
              <w:pStyle w:val="TableText"/>
              <w:keepNext/>
              <w:contextualSpacing/>
              <w:rPr>
                <w:rFonts w:ascii="Times New Roman" w:hAnsi="Times New Roman"/>
                <w:szCs w:val="18"/>
              </w:rPr>
            </w:pPr>
            <w:r w:rsidRPr="00E739D4">
              <w:rPr>
                <w:rFonts w:ascii="Times New Roman" w:hAnsi="Times New Roman"/>
                <w:szCs w:val="18"/>
              </w:rPr>
              <w:t>Typical Event Day</w:t>
            </w:r>
          </w:p>
        </w:tc>
        <w:tc>
          <w:tcPr>
            <w:tcW w:w="1251"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0.21</w:t>
            </w:r>
          </w:p>
        </w:tc>
        <w:tc>
          <w:tcPr>
            <w:tcW w:w="1139"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1.2</w:t>
            </w:r>
          </w:p>
        </w:tc>
        <w:tc>
          <w:tcPr>
            <w:tcW w:w="1170"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3.5</w:t>
            </w:r>
          </w:p>
        </w:tc>
        <w:tc>
          <w:tcPr>
            <w:tcW w:w="1226"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0.19</w:t>
            </w:r>
          </w:p>
        </w:tc>
        <w:tc>
          <w:tcPr>
            <w:tcW w:w="1063"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1.1</w:t>
            </w:r>
          </w:p>
        </w:tc>
        <w:tc>
          <w:tcPr>
            <w:tcW w:w="1094"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3.2</w:t>
            </w:r>
          </w:p>
        </w:tc>
      </w:tr>
      <w:tr w:rsidR="00DD0D4B" w:rsidRPr="0058137F" w:rsidTr="00490C98">
        <w:trPr>
          <w:trHeight w:val="188"/>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E739D4" w:rsidRDefault="00DD0D4B" w:rsidP="00796333">
            <w:pPr>
              <w:pStyle w:val="TableText"/>
              <w:keepNext/>
              <w:contextualSpacing/>
              <w:jc w:val="center"/>
              <w:rPr>
                <w:rFonts w:ascii="Times New Roman" w:hAnsi="Times New Roman"/>
                <w:szCs w:val="18"/>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E739D4" w:rsidRDefault="00DD0D4B" w:rsidP="00E739D4">
            <w:pPr>
              <w:pStyle w:val="TableText"/>
              <w:keepNext/>
              <w:contextualSpacing/>
              <w:rPr>
                <w:rFonts w:ascii="Times New Roman" w:hAnsi="Times New Roman"/>
                <w:szCs w:val="18"/>
              </w:rPr>
            </w:pPr>
            <w:r w:rsidRPr="00E739D4">
              <w:rPr>
                <w:rFonts w:ascii="Times New Roman" w:hAnsi="Times New Roman"/>
                <w:szCs w:val="18"/>
              </w:rPr>
              <w:t>January Monthly Peak</w:t>
            </w:r>
          </w:p>
        </w:tc>
        <w:tc>
          <w:tcPr>
            <w:tcW w:w="1251"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0.00</w:t>
            </w:r>
          </w:p>
        </w:tc>
        <w:tc>
          <w:tcPr>
            <w:tcW w:w="1139"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w:t>
            </w:r>
          </w:p>
        </w:tc>
        <w:tc>
          <w:tcPr>
            <w:tcW w:w="1170"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w:t>
            </w:r>
          </w:p>
        </w:tc>
        <w:tc>
          <w:tcPr>
            <w:tcW w:w="1226"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0.00</w:t>
            </w:r>
          </w:p>
        </w:tc>
        <w:tc>
          <w:tcPr>
            <w:tcW w:w="1063"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w:t>
            </w:r>
          </w:p>
        </w:tc>
        <w:tc>
          <w:tcPr>
            <w:tcW w:w="1094"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w:t>
            </w:r>
          </w:p>
        </w:tc>
      </w:tr>
      <w:tr w:rsidR="00DD0D4B" w:rsidRPr="0058137F" w:rsidTr="00490C98">
        <w:trPr>
          <w:trHeight w:val="152"/>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E739D4" w:rsidRDefault="00DD0D4B" w:rsidP="00796333">
            <w:pPr>
              <w:pStyle w:val="TableText"/>
              <w:keepNext/>
              <w:contextualSpacing/>
              <w:jc w:val="center"/>
              <w:rPr>
                <w:rFonts w:ascii="Times New Roman" w:hAnsi="Times New Roman"/>
                <w:szCs w:val="18"/>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E739D4" w:rsidRDefault="00DD0D4B" w:rsidP="00E739D4">
            <w:pPr>
              <w:pStyle w:val="TableText"/>
              <w:keepNext/>
              <w:contextualSpacing/>
              <w:rPr>
                <w:rFonts w:ascii="Times New Roman" w:hAnsi="Times New Roman"/>
                <w:szCs w:val="18"/>
              </w:rPr>
            </w:pPr>
            <w:r w:rsidRPr="00E739D4">
              <w:rPr>
                <w:rFonts w:ascii="Times New Roman" w:hAnsi="Times New Roman"/>
                <w:szCs w:val="18"/>
              </w:rPr>
              <w:t>February Monthly Peak</w:t>
            </w:r>
          </w:p>
        </w:tc>
        <w:tc>
          <w:tcPr>
            <w:tcW w:w="1251"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0.00</w:t>
            </w:r>
          </w:p>
        </w:tc>
        <w:tc>
          <w:tcPr>
            <w:tcW w:w="1139"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w:t>
            </w:r>
          </w:p>
        </w:tc>
        <w:tc>
          <w:tcPr>
            <w:tcW w:w="1170"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w:t>
            </w:r>
          </w:p>
        </w:tc>
        <w:tc>
          <w:tcPr>
            <w:tcW w:w="1226"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0.00</w:t>
            </w:r>
          </w:p>
        </w:tc>
        <w:tc>
          <w:tcPr>
            <w:tcW w:w="1063"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w:t>
            </w:r>
          </w:p>
        </w:tc>
        <w:tc>
          <w:tcPr>
            <w:tcW w:w="1094"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w:t>
            </w:r>
          </w:p>
        </w:tc>
      </w:tr>
      <w:tr w:rsidR="00DD0D4B" w:rsidRPr="0058137F" w:rsidTr="00490C98">
        <w:trPr>
          <w:trHeight w:val="116"/>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E739D4" w:rsidRDefault="00DD0D4B" w:rsidP="00796333">
            <w:pPr>
              <w:pStyle w:val="TableText"/>
              <w:keepNext/>
              <w:contextualSpacing/>
              <w:jc w:val="center"/>
              <w:rPr>
                <w:rFonts w:ascii="Times New Roman" w:hAnsi="Times New Roman"/>
                <w:szCs w:val="18"/>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E739D4" w:rsidRDefault="00DD0D4B" w:rsidP="00E739D4">
            <w:pPr>
              <w:pStyle w:val="TableText"/>
              <w:keepNext/>
              <w:contextualSpacing/>
              <w:rPr>
                <w:rFonts w:ascii="Times New Roman" w:hAnsi="Times New Roman"/>
                <w:szCs w:val="18"/>
              </w:rPr>
            </w:pPr>
            <w:r w:rsidRPr="00E739D4">
              <w:rPr>
                <w:rFonts w:ascii="Times New Roman" w:hAnsi="Times New Roman"/>
                <w:szCs w:val="18"/>
              </w:rPr>
              <w:t>March Monthly Peak</w:t>
            </w:r>
          </w:p>
        </w:tc>
        <w:tc>
          <w:tcPr>
            <w:tcW w:w="1251"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0.05</w:t>
            </w:r>
          </w:p>
        </w:tc>
        <w:tc>
          <w:tcPr>
            <w:tcW w:w="1139"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0.3</w:t>
            </w:r>
          </w:p>
        </w:tc>
        <w:tc>
          <w:tcPr>
            <w:tcW w:w="1170"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0.8</w:t>
            </w:r>
          </w:p>
        </w:tc>
        <w:tc>
          <w:tcPr>
            <w:tcW w:w="1226"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0.07</w:t>
            </w:r>
          </w:p>
        </w:tc>
        <w:tc>
          <w:tcPr>
            <w:tcW w:w="1063"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0.4</w:t>
            </w:r>
          </w:p>
        </w:tc>
        <w:tc>
          <w:tcPr>
            <w:tcW w:w="1094"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1.2</w:t>
            </w:r>
          </w:p>
        </w:tc>
      </w:tr>
      <w:tr w:rsidR="00DD0D4B" w:rsidRPr="0058137F" w:rsidTr="00490C98">
        <w:trPr>
          <w:trHeight w:val="161"/>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E739D4" w:rsidRDefault="00DD0D4B" w:rsidP="00796333">
            <w:pPr>
              <w:pStyle w:val="TableText"/>
              <w:keepNext/>
              <w:contextualSpacing/>
              <w:jc w:val="center"/>
              <w:rPr>
                <w:rFonts w:ascii="Times New Roman" w:hAnsi="Times New Roman"/>
                <w:szCs w:val="18"/>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E739D4" w:rsidRDefault="00DD0D4B" w:rsidP="00E739D4">
            <w:pPr>
              <w:pStyle w:val="TableText"/>
              <w:keepNext/>
              <w:contextualSpacing/>
              <w:rPr>
                <w:rFonts w:ascii="Times New Roman" w:hAnsi="Times New Roman"/>
                <w:szCs w:val="18"/>
              </w:rPr>
            </w:pPr>
            <w:r w:rsidRPr="00E739D4">
              <w:rPr>
                <w:rFonts w:ascii="Times New Roman" w:hAnsi="Times New Roman"/>
                <w:szCs w:val="18"/>
              </w:rPr>
              <w:t>April Monthly Peak</w:t>
            </w:r>
          </w:p>
        </w:tc>
        <w:tc>
          <w:tcPr>
            <w:tcW w:w="1251"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0.17</w:t>
            </w:r>
          </w:p>
        </w:tc>
        <w:tc>
          <w:tcPr>
            <w:tcW w:w="1139"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1.0</w:t>
            </w:r>
          </w:p>
        </w:tc>
        <w:tc>
          <w:tcPr>
            <w:tcW w:w="1170"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2.8</w:t>
            </w:r>
          </w:p>
        </w:tc>
        <w:tc>
          <w:tcPr>
            <w:tcW w:w="1226"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0.16</w:t>
            </w:r>
          </w:p>
        </w:tc>
        <w:tc>
          <w:tcPr>
            <w:tcW w:w="1063"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0.9</w:t>
            </w:r>
          </w:p>
        </w:tc>
        <w:tc>
          <w:tcPr>
            <w:tcW w:w="1094"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2.7</w:t>
            </w:r>
          </w:p>
        </w:tc>
      </w:tr>
      <w:tr w:rsidR="00DD0D4B" w:rsidRPr="0058137F" w:rsidTr="00490C98">
        <w:trPr>
          <w:trHeight w:val="206"/>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E739D4" w:rsidRDefault="00DD0D4B" w:rsidP="00796333">
            <w:pPr>
              <w:pStyle w:val="TableText"/>
              <w:keepNext/>
              <w:contextualSpacing/>
              <w:jc w:val="center"/>
              <w:rPr>
                <w:rFonts w:ascii="Times New Roman" w:hAnsi="Times New Roman"/>
                <w:szCs w:val="18"/>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E739D4" w:rsidRDefault="00DD0D4B" w:rsidP="00E739D4">
            <w:pPr>
              <w:pStyle w:val="TableText"/>
              <w:keepNext/>
              <w:contextualSpacing/>
              <w:rPr>
                <w:rFonts w:ascii="Times New Roman" w:hAnsi="Times New Roman"/>
                <w:szCs w:val="18"/>
              </w:rPr>
            </w:pPr>
            <w:r w:rsidRPr="00E739D4">
              <w:rPr>
                <w:rFonts w:ascii="Times New Roman" w:hAnsi="Times New Roman"/>
                <w:szCs w:val="18"/>
              </w:rPr>
              <w:t>May Monthly Peak</w:t>
            </w:r>
          </w:p>
        </w:tc>
        <w:tc>
          <w:tcPr>
            <w:tcW w:w="1251"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0.19</w:t>
            </w:r>
          </w:p>
        </w:tc>
        <w:tc>
          <w:tcPr>
            <w:tcW w:w="1139"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1.1</w:t>
            </w:r>
          </w:p>
        </w:tc>
        <w:tc>
          <w:tcPr>
            <w:tcW w:w="1170"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3.1</w:t>
            </w:r>
          </w:p>
        </w:tc>
        <w:tc>
          <w:tcPr>
            <w:tcW w:w="1226"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0.15</w:t>
            </w:r>
          </w:p>
        </w:tc>
        <w:tc>
          <w:tcPr>
            <w:tcW w:w="1063"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0.9</w:t>
            </w:r>
          </w:p>
        </w:tc>
        <w:tc>
          <w:tcPr>
            <w:tcW w:w="1094"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2.5</w:t>
            </w:r>
          </w:p>
        </w:tc>
      </w:tr>
      <w:tr w:rsidR="00DD0D4B" w:rsidRPr="0058137F" w:rsidTr="00490C98">
        <w:trPr>
          <w:trHeight w:val="170"/>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E739D4" w:rsidRDefault="00DD0D4B" w:rsidP="00796333">
            <w:pPr>
              <w:pStyle w:val="TableText"/>
              <w:keepNext/>
              <w:contextualSpacing/>
              <w:jc w:val="center"/>
              <w:rPr>
                <w:rFonts w:ascii="Times New Roman" w:hAnsi="Times New Roman"/>
                <w:szCs w:val="18"/>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E739D4" w:rsidRDefault="00DD0D4B" w:rsidP="00E739D4">
            <w:pPr>
              <w:pStyle w:val="TableText"/>
              <w:keepNext/>
              <w:contextualSpacing/>
              <w:rPr>
                <w:rFonts w:ascii="Times New Roman" w:hAnsi="Times New Roman"/>
                <w:szCs w:val="18"/>
              </w:rPr>
            </w:pPr>
            <w:r w:rsidRPr="00E739D4">
              <w:rPr>
                <w:rFonts w:ascii="Times New Roman" w:hAnsi="Times New Roman"/>
                <w:szCs w:val="18"/>
              </w:rPr>
              <w:t>June Monthly Peak</w:t>
            </w:r>
          </w:p>
        </w:tc>
        <w:tc>
          <w:tcPr>
            <w:tcW w:w="1251"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0.15</w:t>
            </w:r>
          </w:p>
        </w:tc>
        <w:tc>
          <w:tcPr>
            <w:tcW w:w="1139"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0.9</w:t>
            </w:r>
          </w:p>
        </w:tc>
        <w:tc>
          <w:tcPr>
            <w:tcW w:w="1170"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2.6</w:t>
            </w:r>
          </w:p>
        </w:tc>
        <w:tc>
          <w:tcPr>
            <w:tcW w:w="1226"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0.15</w:t>
            </w:r>
          </w:p>
        </w:tc>
        <w:tc>
          <w:tcPr>
            <w:tcW w:w="1063"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0.9</w:t>
            </w:r>
          </w:p>
        </w:tc>
        <w:tc>
          <w:tcPr>
            <w:tcW w:w="1094"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2.5</w:t>
            </w:r>
          </w:p>
        </w:tc>
      </w:tr>
      <w:tr w:rsidR="00DD0D4B" w:rsidRPr="0058137F" w:rsidTr="00490C98">
        <w:trPr>
          <w:trHeight w:val="224"/>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E739D4" w:rsidRDefault="00DD0D4B" w:rsidP="00796333">
            <w:pPr>
              <w:pStyle w:val="TableText"/>
              <w:keepNext/>
              <w:contextualSpacing/>
              <w:jc w:val="center"/>
              <w:rPr>
                <w:rFonts w:ascii="Times New Roman" w:hAnsi="Times New Roman"/>
                <w:szCs w:val="18"/>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E739D4" w:rsidRDefault="00DD0D4B" w:rsidP="00E739D4">
            <w:pPr>
              <w:pStyle w:val="TableText"/>
              <w:keepNext/>
              <w:contextualSpacing/>
              <w:rPr>
                <w:rFonts w:ascii="Times New Roman" w:hAnsi="Times New Roman"/>
                <w:szCs w:val="18"/>
              </w:rPr>
            </w:pPr>
            <w:r w:rsidRPr="00E739D4">
              <w:rPr>
                <w:rFonts w:ascii="Times New Roman" w:hAnsi="Times New Roman"/>
                <w:szCs w:val="18"/>
              </w:rPr>
              <w:t>July Monthly Peak</w:t>
            </w:r>
          </w:p>
        </w:tc>
        <w:tc>
          <w:tcPr>
            <w:tcW w:w="1251"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0.21</w:t>
            </w:r>
          </w:p>
        </w:tc>
        <w:tc>
          <w:tcPr>
            <w:tcW w:w="1139"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1.2</w:t>
            </w:r>
          </w:p>
        </w:tc>
        <w:tc>
          <w:tcPr>
            <w:tcW w:w="1170"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3.6</w:t>
            </w:r>
          </w:p>
        </w:tc>
        <w:tc>
          <w:tcPr>
            <w:tcW w:w="1226"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0.16</w:t>
            </w:r>
          </w:p>
        </w:tc>
        <w:tc>
          <w:tcPr>
            <w:tcW w:w="1063"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0.9</w:t>
            </w:r>
          </w:p>
        </w:tc>
        <w:tc>
          <w:tcPr>
            <w:tcW w:w="1094"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2.7</w:t>
            </w:r>
          </w:p>
        </w:tc>
      </w:tr>
      <w:tr w:rsidR="00DD0D4B" w:rsidRPr="0058137F" w:rsidTr="00490C98">
        <w:trPr>
          <w:trHeight w:val="188"/>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E739D4" w:rsidRDefault="00DD0D4B" w:rsidP="00796333">
            <w:pPr>
              <w:pStyle w:val="TableText"/>
              <w:keepNext/>
              <w:contextualSpacing/>
              <w:jc w:val="center"/>
              <w:rPr>
                <w:rFonts w:ascii="Times New Roman" w:hAnsi="Times New Roman"/>
                <w:szCs w:val="18"/>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E739D4" w:rsidRDefault="00DD0D4B" w:rsidP="00E739D4">
            <w:pPr>
              <w:pStyle w:val="TableText"/>
              <w:keepNext/>
              <w:contextualSpacing/>
              <w:rPr>
                <w:rFonts w:ascii="Times New Roman" w:hAnsi="Times New Roman"/>
                <w:szCs w:val="18"/>
              </w:rPr>
            </w:pPr>
            <w:r w:rsidRPr="00E739D4">
              <w:rPr>
                <w:rFonts w:ascii="Times New Roman" w:hAnsi="Times New Roman"/>
                <w:szCs w:val="18"/>
              </w:rPr>
              <w:t>August Monthly Peak</w:t>
            </w:r>
          </w:p>
        </w:tc>
        <w:tc>
          <w:tcPr>
            <w:tcW w:w="1251"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0.22</w:t>
            </w:r>
          </w:p>
        </w:tc>
        <w:tc>
          <w:tcPr>
            <w:tcW w:w="1139"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1.3</w:t>
            </w:r>
          </w:p>
        </w:tc>
        <w:tc>
          <w:tcPr>
            <w:tcW w:w="1170"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3.7</w:t>
            </w:r>
          </w:p>
        </w:tc>
        <w:tc>
          <w:tcPr>
            <w:tcW w:w="1226"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0.20</w:t>
            </w:r>
          </w:p>
        </w:tc>
        <w:tc>
          <w:tcPr>
            <w:tcW w:w="1063"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1.1</w:t>
            </w:r>
          </w:p>
        </w:tc>
        <w:tc>
          <w:tcPr>
            <w:tcW w:w="1094"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3.3</w:t>
            </w:r>
          </w:p>
        </w:tc>
      </w:tr>
      <w:tr w:rsidR="00DD0D4B" w:rsidRPr="0058137F" w:rsidTr="00490C98">
        <w:trPr>
          <w:trHeight w:val="233"/>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E739D4" w:rsidRDefault="00DD0D4B" w:rsidP="00796333">
            <w:pPr>
              <w:pStyle w:val="TableText"/>
              <w:keepNext/>
              <w:contextualSpacing/>
              <w:jc w:val="center"/>
              <w:rPr>
                <w:rFonts w:ascii="Times New Roman" w:hAnsi="Times New Roman"/>
                <w:szCs w:val="18"/>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E739D4" w:rsidRDefault="00DD0D4B" w:rsidP="00E739D4">
            <w:pPr>
              <w:pStyle w:val="TableText"/>
              <w:keepNext/>
              <w:contextualSpacing/>
              <w:rPr>
                <w:rFonts w:ascii="Times New Roman" w:hAnsi="Times New Roman"/>
                <w:szCs w:val="18"/>
              </w:rPr>
            </w:pPr>
            <w:r w:rsidRPr="00E739D4">
              <w:rPr>
                <w:rFonts w:ascii="Times New Roman" w:hAnsi="Times New Roman"/>
                <w:szCs w:val="18"/>
              </w:rPr>
              <w:t>September Monthly Peak</w:t>
            </w:r>
          </w:p>
        </w:tc>
        <w:tc>
          <w:tcPr>
            <w:tcW w:w="1251"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0.24</w:t>
            </w:r>
          </w:p>
        </w:tc>
        <w:tc>
          <w:tcPr>
            <w:tcW w:w="1139"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1.4</w:t>
            </w:r>
          </w:p>
        </w:tc>
        <w:tc>
          <w:tcPr>
            <w:tcW w:w="1170"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4.1</w:t>
            </w:r>
          </w:p>
        </w:tc>
        <w:tc>
          <w:tcPr>
            <w:tcW w:w="1226"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0.25</w:t>
            </w:r>
          </w:p>
        </w:tc>
        <w:tc>
          <w:tcPr>
            <w:tcW w:w="1063"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1.4</w:t>
            </w:r>
          </w:p>
        </w:tc>
        <w:tc>
          <w:tcPr>
            <w:tcW w:w="1094"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4.1</w:t>
            </w:r>
          </w:p>
        </w:tc>
      </w:tr>
      <w:tr w:rsidR="00DD0D4B" w:rsidRPr="0058137F" w:rsidTr="00490C98">
        <w:trPr>
          <w:trHeight w:val="98"/>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E739D4" w:rsidRDefault="00DD0D4B" w:rsidP="00796333">
            <w:pPr>
              <w:pStyle w:val="TableText"/>
              <w:keepNext/>
              <w:contextualSpacing/>
              <w:jc w:val="center"/>
              <w:rPr>
                <w:rFonts w:ascii="Times New Roman" w:hAnsi="Times New Roman"/>
                <w:szCs w:val="18"/>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E739D4" w:rsidRDefault="00DD0D4B" w:rsidP="00E739D4">
            <w:pPr>
              <w:pStyle w:val="TableText"/>
              <w:keepNext/>
              <w:contextualSpacing/>
              <w:rPr>
                <w:rFonts w:ascii="Times New Roman" w:hAnsi="Times New Roman"/>
                <w:szCs w:val="18"/>
              </w:rPr>
            </w:pPr>
            <w:r w:rsidRPr="00E739D4">
              <w:rPr>
                <w:rFonts w:ascii="Times New Roman" w:hAnsi="Times New Roman"/>
                <w:szCs w:val="18"/>
              </w:rPr>
              <w:t>October Monthly Peak</w:t>
            </w:r>
          </w:p>
        </w:tc>
        <w:tc>
          <w:tcPr>
            <w:tcW w:w="1251"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0.19</w:t>
            </w:r>
          </w:p>
        </w:tc>
        <w:tc>
          <w:tcPr>
            <w:tcW w:w="1139"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1.1</w:t>
            </w:r>
          </w:p>
        </w:tc>
        <w:tc>
          <w:tcPr>
            <w:tcW w:w="1170"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3.2</w:t>
            </w:r>
          </w:p>
        </w:tc>
        <w:tc>
          <w:tcPr>
            <w:tcW w:w="1226"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0.17</w:t>
            </w:r>
          </w:p>
        </w:tc>
        <w:tc>
          <w:tcPr>
            <w:tcW w:w="1063"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1.0</w:t>
            </w:r>
          </w:p>
        </w:tc>
        <w:tc>
          <w:tcPr>
            <w:tcW w:w="1094"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2.9</w:t>
            </w:r>
          </w:p>
        </w:tc>
      </w:tr>
      <w:tr w:rsidR="00DD0D4B" w:rsidRPr="0058137F" w:rsidTr="00490C98">
        <w:trPr>
          <w:trHeight w:val="170"/>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E739D4" w:rsidRDefault="00DD0D4B" w:rsidP="00796333">
            <w:pPr>
              <w:pStyle w:val="TableText"/>
              <w:keepNext/>
              <w:contextualSpacing/>
              <w:jc w:val="center"/>
              <w:rPr>
                <w:rFonts w:ascii="Times New Roman" w:hAnsi="Times New Roman"/>
                <w:szCs w:val="18"/>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E739D4" w:rsidRDefault="00DD0D4B" w:rsidP="00E739D4">
            <w:pPr>
              <w:pStyle w:val="TableText"/>
              <w:keepNext/>
              <w:contextualSpacing/>
              <w:rPr>
                <w:rFonts w:ascii="Times New Roman" w:hAnsi="Times New Roman"/>
                <w:szCs w:val="18"/>
              </w:rPr>
            </w:pPr>
            <w:r w:rsidRPr="00E739D4">
              <w:rPr>
                <w:rFonts w:ascii="Times New Roman" w:hAnsi="Times New Roman"/>
                <w:szCs w:val="18"/>
              </w:rPr>
              <w:t>November Monthly Peak</w:t>
            </w:r>
          </w:p>
        </w:tc>
        <w:tc>
          <w:tcPr>
            <w:tcW w:w="1251"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0.15</w:t>
            </w:r>
          </w:p>
        </w:tc>
        <w:tc>
          <w:tcPr>
            <w:tcW w:w="1139"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0.8</w:t>
            </w:r>
          </w:p>
        </w:tc>
        <w:tc>
          <w:tcPr>
            <w:tcW w:w="1170"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2.4</w:t>
            </w:r>
          </w:p>
        </w:tc>
        <w:tc>
          <w:tcPr>
            <w:tcW w:w="1226"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0.11</w:t>
            </w:r>
          </w:p>
        </w:tc>
        <w:tc>
          <w:tcPr>
            <w:tcW w:w="1063"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0.6</w:t>
            </w:r>
          </w:p>
        </w:tc>
        <w:tc>
          <w:tcPr>
            <w:tcW w:w="1094"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1.8</w:t>
            </w:r>
          </w:p>
        </w:tc>
      </w:tr>
      <w:tr w:rsidR="00DD0D4B" w:rsidRPr="0058137F" w:rsidTr="00490C98">
        <w:trPr>
          <w:trHeight w:val="233"/>
          <w:jc w:val="center"/>
        </w:trPr>
        <w:tc>
          <w:tcPr>
            <w:tcW w:w="973" w:type="dxa"/>
            <w:vMerge/>
            <w:tcBorders>
              <w:top w:val="nil"/>
              <w:left w:val="single" w:sz="4" w:space="0" w:color="auto"/>
              <w:bottom w:val="single" w:sz="4" w:space="0" w:color="auto"/>
              <w:right w:val="single" w:sz="4" w:space="0" w:color="auto"/>
            </w:tcBorders>
            <w:vAlign w:val="center"/>
            <w:hideMark/>
          </w:tcPr>
          <w:p w:rsidR="00DD0D4B" w:rsidRPr="00E739D4" w:rsidRDefault="00DD0D4B" w:rsidP="00796333">
            <w:pPr>
              <w:pStyle w:val="TableText"/>
              <w:contextualSpacing/>
              <w:jc w:val="center"/>
              <w:rPr>
                <w:rFonts w:ascii="Times New Roman" w:hAnsi="Times New Roman"/>
                <w:szCs w:val="18"/>
              </w:rPr>
            </w:pPr>
          </w:p>
        </w:tc>
        <w:tc>
          <w:tcPr>
            <w:tcW w:w="1360" w:type="dxa"/>
            <w:tcBorders>
              <w:top w:val="nil"/>
              <w:left w:val="nil"/>
              <w:bottom w:val="single" w:sz="4" w:space="0" w:color="auto"/>
              <w:right w:val="single" w:sz="4" w:space="0" w:color="auto"/>
            </w:tcBorders>
            <w:shd w:val="clear" w:color="auto" w:fill="auto"/>
            <w:noWrap/>
            <w:vAlign w:val="center"/>
            <w:hideMark/>
          </w:tcPr>
          <w:p w:rsidR="00DD0D4B" w:rsidRPr="00E739D4" w:rsidRDefault="00DD0D4B" w:rsidP="00E739D4">
            <w:pPr>
              <w:pStyle w:val="TableText"/>
              <w:contextualSpacing/>
              <w:rPr>
                <w:rFonts w:ascii="Times New Roman" w:hAnsi="Times New Roman"/>
                <w:szCs w:val="18"/>
              </w:rPr>
            </w:pPr>
            <w:r w:rsidRPr="00E739D4">
              <w:rPr>
                <w:rFonts w:ascii="Times New Roman" w:hAnsi="Times New Roman"/>
                <w:szCs w:val="18"/>
              </w:rPr>
              <w:t>December Monthly Peak</w:t>
            </w:r>
          </w:p>
        </w:tc>
        <w:tc>
          <w:tcPr>
            <w:tcW w:w="1251"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0.00</w:t>
            </w:r>
          </w:p>
        </w:tc>
        <w:tc>
          <w:tcPr>
            <w:tcW w:w="1139"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w:t>
            </w:r>
          </w:p>
        </w:tc>
        <w:tc>
          <w:tcPr>
            <w:tcW w:w="1170"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w:t>
            </w:r>
          </w:p>
        </w:tc>
        <w:tc>
          <w:tcPr>
            <w:tcW w:w="1226"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0.00</w:t>
            </w:r>
          </w:p>
        </w:tc>
        <w:tc>
          <w:tcPr>
            <w:tcW w:w="1063"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w:t>
            </w:r>
          </w:p>
        </w:tc>
        <w:tc>
          <w:tcPr>
            <w:tcW w:w="1094" w:type="dxa"/>
            <w:tcBorders>
              <w:top w:val="nil"/>
              <w:left w:val="nil"/>
              <w:bottom w:val="single" w:sz="4" w:space="0" w:color="auto"/>
              <w:right w:val="single" w:sz="4" w:space="0" w:color="auto"/>
            </w:tcBorders>
            <w:shd w:val="clear" w:color="auto" w:fill="auto"/>
            <w:noWrap/>
            <w:hideMark/>
          </w:tcPr>
          <w:p w:rsidR="00DD0D4B" w:rsidRPr="00E739D4" w:rsidRDefault="00DD0D4B" w:rsidP="00796333">
            <w:pPr>
              <w:jc w:val="center"/>
              <w:rPr>
                <w:sz w:val="18"/>
                <w:szCs w:val="18"/>
              </w:rPr>
            </w:pPr>
            <w:r w:rsidRPr="00E739D4">
              <w:rPr>
                <w:sz w:val="18"/>
                <w:szCs w:val="18"/>
              </w:rPr>
              <w:t>0.0</w:t>
            </w:r>
          </w:p>
        </w:tc>
      </w:tr>
    </w:tbl>
    <w:p w:rsidR="00DD0D4B" w:rsidRDefault="00DD0D4B" w:rsidP="00FB6F31">
      <w:pPr>
        <w:pStyle w:val="BodyParagraph"/>
        <w:spacing w:after="0" w:line="276" w:lineRule="auto"/>
      </w:pPr>
    </w:p>
    <w:p w:rsidR="00DD0D4B" w:rsidRPr="0079525F" w:rsidRDefault="00FB6F31" w:rsidP="00FB6F31">
      <w:pPr>
        <w:pStyle w:val="Heading2"/>
        <w:spacing w:before="0" w:after="0" w:line="276" w:lineRule="auto"/>
        <w:ind w:left="0" w:hanging="540"/>
        <w:rPr>
          <w:rFonts w:ascii="Times New Roman" w:hAnsi="Times New Roman" w:cs="Times New Roman"/>
        </w:rPr>
      </w:pPr>
      <w:bookmarkStart w:id="320" w:name="_Toc372883584"/>
      <w:bookmarkStart w:id="321" w:name="_Toc413592771"/>
      <w:bookmarkStart w:id="322" w:name="_Toc414535060"/>
      <w:bookmarkStart w:id="323" w:name="_Toc415585940"/>
      <w:bookmarkStart w:id="324" w:name="_Toc415749055"/>
      <w:bookmarkStart w:id="325" w:name="_Toc447179865"/>
      <w:r>
        <w:rPr>
          <w:rFonts w:ascii="Times New Roman" w:hAnsi="Times New Roman" w:cs="Times New Roman"/>
        </w:rPr>
        <w:t>Commercial Thermostat Comparison b</w:t>
      </w:r>
      <w:r w:rsidR="00DD0D4B" w:rsidRPr="0079525F">
        <w:rPr>
          <w:rFonts w:ascii="Times New Roman" w:hAnsi="Times New Roman" w:cs="Times New Roman"/>
        </w:rPr>
        <w:t>etween Ex</w:t>
      </w:r>
      <w:r>
        <w:rPr>
          <w:rFonts w:ascii="Times New Roman" w:hAnsi="Times New Roman" w:cs="Times New Roman"/>
        </w:rPr>
        <w:t>-</w:t>
      </w:r>
      <w:r w:rsidR="00DD0D4B" w:rsidRPr="0079525F">
        <w:rPr>
          <w:rFonts w:ascii="Times New Roman" w:hAnsi="Times New Roman" w:cs="Times New Roman"/>
        </w:rPr>
        <w:t>Post and Ex</w:t>
      </w:r>
      <w:r>
        <w:rPr>
          <w:rFonts w:ascii="Times New Roman" w:hAnsi="Times New Roman" w:cs="Times New Roman"/>
        </w:rPr>
        <w:t>-</w:t>
      </w:r>
      <w:r w:rsidR="00DD0D4B" w:rsidRPr="0079525F">
        <w:rPr>
          <w:rFonts w:ascii="Times New Roman" w:hAnsi="Times New Roman" w:cs="Times New Roman"/>
        </w:rPr>
        <w:t>Ante Estimates</w:t>
      </w:r>
      <w:bookmarkEnd w:id="320"/>
      <w:bookmarkEnd w:id="321"/>
      <w:bookmarkEnd w:id="322"/>
      <w:bookmarkEnd w:id="323"/>
      <w:bookmarkEnd w:id="324"/>
      <w:bookmarkEnd w:id="325"/>
    </w:p>
    <w:p w:rsidR="00DD0D4B" w:rsidRDefault="00DD0D4B" w:rsidP="00DD0D4B">
      <w:pPr>
        <w:pStyle w:val="BodyParagraph"/>
        <w:spacing w:after="0" w:line="276" w:lineRule="auto"/>
        <w:ind w:firstLine="360"/>
      </w:pPr>
    </w:p>
    <w:p w:rsidR="00DD0D4B" w:rsidRPr="00B777EF" w:rsidRDefault="00DD0D4B" w:rsidP="00FB6F31">
      <w:pPr>
        <w:pStyle w:val="BodyParagraph"/>
        <w:spacing w:after="0" w:line="276" w:lineRule="auto"/>
        <w:ind w:firstLine="360"/>
        <w:rPr>
          <w:rFonts w:ascii="Times New Roman" w:hAnsi="Times New Roman"/>
          <w:color w:val="000000" w:themeColor="text1"/>
          <w:sz w:val="24"/>
          <w:szCs w:val="24"/>
        </w:rPr>
      </w:pPr>
      <w:r w:rsidRPr="00B777EF">
        <w:rPr>
          <w:rFonts w:ascii="Times New Roman" w:hAnsi="Times New Roman"/>
          <w:color w:val="000000" w:themeColor="text1"/>
          <w:sz w:val="24"/>
          <w:szCs w:val="24"/>
        </w:rPr>
        <w:t>The ex</w:t>
      </w:r>
      <w:r w:rsidR="00FB6F31" w:rsidRPr="00B777EF">
        <w:rPr>
          <w:rFonts w:ascii="Times New Roman" w:hAnsi="Times New Roman"/>
          <w:color w:val="000000" w:themeColor="text1"/>
          <w:sz w:val="24"/>
          <w:szCs w:val="24"/>
        </w:rPr>
        <w:t>-</w:t>
      </w:r>
      <w:r w:rsidRPr="00B777EF">
        <w:rPr>
          <w:rFonts w:ascii="Times New Roman" w:hAnsi="Times New Roman"/>
          <w:color w:val="000000" w:themeColor="text1"/>
          <w:sz w:val="24"/>
          <w:szCs w:val="24"/>
        </w:rPr>
        <w:t xml:space="preserve">post estimates presented in Section </w:t>
      </w:r>
      <w:r w:rsidRPr="00B777EF">
        <w:rPr>
          <w:rFonts w:ascii="Times New Roman" w:hAnsi="Times New Roman"/>
          <w:color w:val="000000" w:themeColor="text1"/>
          <w:sz w:val="24"/>
          <w:szCs w:val="24"/>
        </w:rPr>
        <w:fldChar w:fldCharType="begin"/>
      </w:r>
      <w:r w:rsidRPr="00B777EF">
        <w:rPr>
          <w:rFonts w:ascii="Times New Roman" w:hAnsi="Times New Roman"/>
          <w:color w:val="000000" w:themeColor="text1"/>
          <w:sz w:val="24"/>
          <w:szCs w:val="24"/>
        </w:rPr>
        <w:instrText xml:space="preserve"> REF _Ref446338023 \r \h </w:instrText>
      </w:r>
      <w:r w:rsidRPr="00B777EF">
        <w:rPr>
          <w:rFonts w:ascii="Times New Roman" w:hAnsi="Times New Roman"/>
          <w:color w:val="000000" w:themeColor="text1"/>
          <w:sz w:val="24"/>
          <w:szCs w:val="24"/>
        </w:rPr>
      </w:r>
      <w:r w:rsidRPr="00B777EF">
        <w:rPr>
          <w:rFonts w:ascii="Times New Roman" w:hAnsi="Times New Roman"/>
          <w:color w:val="000000" w:themeColor="text1"/>
          <w:sz w:val="24"/>
          <w:szCs w:val="24"/>
        </w:rPr>
        <w:fldChar w:fldCharType="separate"/>
      </w:r>
      <w:r w:rsidR="008A6A2B">
        <w:rPr>
          <w:rFonts w:ascii="Times New Roman" w:hAnsi="Times New Roman"/>
          <w:color w:val="000000" w:themeColor="text1"/>
          <w:sz w:val="24"/>
          <w:szCs w:val="24"/>
        </w:rPr>
        <w:t>10.3</w:t>
      </w:r>
      <w:r w:rsidRPr="00B777EF">
        <w:rPr>
          <w:rFonts w:ascii="Times New Roman" w:hAnsi="Times New Roman"/>
          <w:color w:val="000000" w:themeColor="text1"/>
          <w:sz w:val="24"/>
          <w:szCs w:val="24"/>
        </w:rPr>
        <w:fldChar w:fldCharType="end"/>
      </w:r>
      <w:r w:rsidRPr="00B777EF">
        <w:rPr>
          <w:rFonts w:ascii="Times New Roman" w:hAnsi="Times New Roman"/>
          <w:color w:val="000000" w:themeColor="text1"/>
          <w:sz w:val="24"/>
          <w:szCs w:val="24"/>
        </w:rPr>
        <w:t xml:space="preserve"> and the ex</w:t>
      </w:r>
      <w:r w:rsidR="00FB6F31" w:rsidRPr="00B777EF">
        <w:rPr>
          <w:rFonts w:ascii="Times New Roman" w:hAnsi="Times New Roman"/>
          <w:color w:val="000000" w:themeColor="text1"/>
          <w:sz w:val="24"/>
          <w:szCs w:val="24"/>
        </w:rPr>
        <w:t>-</w:t>
      </w:r>
      <w:r w:rsidRPr="00B777EF">
        <w:rPr>
          <w:rFonts w:ascii="Times New Roman" w:hAnsi="Times New Roman"/>
          <w:color w:val="000000" w:themeColor="text1"/>
          <w:sz w:val="24"/>
          <w:szCs w:val="24"/>
        </w:rPr>
        <w:t xml:space="preserve">ante estimates presented above differ for a number of reasons, including differences in weather, enrollment, and estimation methodology. This section discusses the impact of each of these factors on the difference between </w:t>
      </w:r>
      <w:r w:rsidR="008C46A8" w:rsidRPr="00B777EF">
        <w:rPr>
          <w:rFonts w:ascii="Times New Roman" w:hAnsi="Times New Roman"/>
          <w:color w:val="000000" w:themeColor="text1"/>
          <w:sz w:val="24"/>
          <w:szCs w:val="24"/>
        </w:rPr>
        <w:t>ex-post</w:t>
      </w:r>
      <w:r w:rsidRPr="00B777EF">
        <w:rPr>
          <w:rFonts w:ascii="Times New Roman" w:hAnsi="Times New Roman"/>
          <w:color w:val="000000" w:themeColor="text1"/>
          <w:sz w:val="24"/>
          <w:szCs w:val="24"/>
        </w:rPr>
        <w:t xml:space="preserve"> and </w:t>
      </w:r>
      <w:r w:rsidR="008C46A8" w:rsidRPr="00B777EF">
        <w:rPr>
          <w:rFonts w:ascii="Times New Roman" w:hAnsi="Times New Roman"/>
          <w:color w:val="000000" w:themeColor="text1"/>
          <w:sz w:val="24"/>
          <w:szCs w:val="24"/>
        </w:rPr>
        <w:t>ex-ante</w:t>
      </w:r>
      <w:r w:rsidRPr="00B777EF">
        <w:rPr>
          <w:rFonts w:ascii="Times New Roman" w:hAnsi="Times New Roman"/>
          <w:color w:val="000000" w:themeColor="text1"/>
          <w:sz w:val="24"/>
          <w:szCs w:val="24"/>
        </w:rPr>
        <w:t xml:space="preserve"> impact estimates.</w:t>
      </w:r>
    </w:p>
    <w:p w:rsidR="00DD0D4B" w:rsidRPr="00B777EF" w:rsidRDefault="00DD0D4B" w:rsidP="00FB6F31">
      <w:pPr>
        <w:pStyle w:val="BodyParagraph"/>
        <w:spacing w:after="0" w:line="276" w:lineRule="auto"/>
        <w:ind w:firstLine="360"/>
        <w:rPr>
          <w:rFonts w:ascii="Times New Roman" w:hAnsi="Times New Roman"/>
          <w:color w:val="000000" w:themeColor="text1"/>
          <w:sz w:val="24"/>
          <w:szCs w:val="24"/>
        </w:rPr>
      </w:pPr>
    </w:p>
    <w:p w:rsidR="00DD0D4B" w:rsidRPr="00B777EF" w:rsidRDefault="001E57C9" w:rsidP="00FB6F31">
      <w:pPr>
        <w:pStyle w:val="BodyParagraph"/>
        <w:spacing w:after="0" w:line="276" w:lineRule="auto"/>
        <w:ind w:firstLine="360"/>
        <w:rPr>
          <w:rFonts w:ascii="Times New Roman" w:hAnsi="Times New Roman"/>
          <w:color w:val="000000" w:themeColor="text1"/>
          <w:sz w:val="24"/>
          <w:szCs w:val="24"/>
        </w:rPr>
      </w:pPr>
      <w:r w:rsidRPr="001E57C9">
        <w:rPr>
          <w:rFonts w:ascii="Times New Roman" w:hAnsi="Times New Roman"/>
          <w:color w:val="000000" w:themeColor="text1"/>
          <w:sz w:val="22"/>
        </w:rPr>
        <w:t>Table 10-10</w:t>
      </w:r>
      <w:r>
        <w:rPr>
          <w:rFonts w:ascii="Times New Roman" w:hAnsi="Times New Roman"/>
          <w:color w:val="000000" w:themeColor="text1"/>
          <w:sz w:val="24"/>
          <w:szCs w:val="24"/>
        </w:rPr>
        <w:t xml:space="preserve"> </w:t>
      </w:r>
      <w:r w:rsidR="00DD0D4B" w:rsidRPr="00B777EF">
        <w:rPr>
          <w:rFonts w:ascii="Times New Roman" w:hAnsi="Times New Roman"/>
          <w:color w:val="000000" w:themeColor="text1"/>
          <w:sz w:val="24"/>
          <w:szCs w:val="24"/>
        </w:rPr>
        <w:t xml:space="preserve">summarizes the key factors that lead to differences between </w:t>
      </w:r>
      <w:r w:rsidR="008C46A8" w:rsidRPr="00B777EF">
        <w:rPr>
          <w:rFonts w:ascii="Times New Roman" w:hAnsi="Times New Roman"/>
          <w:color w:val="000000" w:themeColor="text1"/>
          <w:sz w:val="24"/>
          <w:szCs w:val="24"/>
        </w:rPr>
        <w:t>ex-post</w:t>
      </w:r>
      <w:r w:rsidR="00DD0D4B" w:rsidRPr="00B777EF">
        <w:rPr>
          <w:rFonts w:ascii="Times New Roman" w:hAnsi="Times New Roman"/>
          <w:color w:val="000000" w:themeColor="text1"/>
          <w:sz w:val="24"/>
          <w:szCs w:val="24"/>
        </w:rPr>
        <w:t xml:space="preserve"> and </w:t>
      </w:r>
      <w:r w:rsidR="008C46A8" w:rsidRPr="00B777EF">
        <w:rPr>
          <w:rFonts w:ascii="Times New Roman" w:hAnsi="Times New Roman"/>
          <w:color w:val="000000" w:themeColor="text1"/>
          <w:sz w:val="24"/>
          <w:szCs w:val="24"/>
        </w:rPr>
        <w:t>ex-ante</w:t>
      </w:r>
      <w:r w:rsidR="00DD0D4B" w:rsidRPr="00B777EF">
        <w:rPr>
          <w:rFonts w:ascii="Times New Roman" w:hAnsi="Times New Roman"/>
          <w:color w:val="000000" w:themeColor="text1"/>
          <w:sz w:val="24"/>
          <w:szCs w:val="24"/>
        </w:rPr>
        <w:t xml:space="preserve"> estimates for the commercial thermostat program and the expected influence that these factors have on the relationship between </w:t>
      </w:r>
      <w:r w:rsidR="008C46A8" w:rsidRPr="00B777EF">
        <w:rPr>
          <w:rFonts w:ascii="Times New Roman" w:hAnsi="Times New Roman"/>
          <w:color w:val="000000" w:themeColor="text1"/>
          <w:sz w:val="24"/>
          <w:szCs w:val="24"/>
        </w:rPr>
        <w:t>ex-post</w:t>
      </w:r>
      <w:r w:rsidR="00DD0D4B" w:rsidRPr="00B777EF">
        <w:rPr>
          <w:rFonts w:ascii="Times New Roman" w:hAnsi="Times New Roman"/>
          <w:color w:val="000000" w:themeColor="text1"/>
          <w:sz w:val="24"/>
          <w:szCs w:val="24"/>
        </w:rPr>
        <w:t xml:space="preserve"> and </w:t>
      </w:r>
      <w:r w:rsidR="008C46A8" w:rsidRPr="00B777EF">
        <w:rPr>
          <w:rFonts w:ascii="Times New Roman" w:hAnsi="Times New Roman"/>
          <w:color w:val="000000" w:themeColor="text1"/>
          <w:sz w:val="24"/>
          <w:szCs w:val="24"/>
        </w:rPr>
        <w:t>ex-ante</w:t>
      </w:r>
      <w:r w:rsidR="00DD0D4B" w:rsidRPr="00B777EF">
        <w:rPr>
          <w:rFonts w:ascii="Times New Roman" w:hAnsi="Times New Roman"/>
          <w:color w:val="000000" w:themeColor="text1"/>
          <w:sz w:val="24"/>
          <w:szCs w:val="24"/>
        </w:rPr>
        <w:t xml:space="preserve"> impacts. Given that the load impacts are quite sensitive to variation in weather, even small changes in mean17 between </w:t>
      </w:r>
      <w:r w:rsidR="008C46A8" w:rsidRPr="00B777EF">
        <w:rPr>
          <w:rFonts w:ascii="Times New Roman" w:hAnsi="Times New Roman"/>
          <w:color w:val="000000" w:themeColor="text1"/>
          <w:sz w:val="24"/>
          <w:szCs w:val="24"/>
        </w:rPr>
        <w:t>ex-post</w:t>
      </w:r>
      <w:r w:rsidR="00DD0D4B" w:rsidRPr="00B777EF">
        <w:rPr>
          <w:rFonts w:ascii="Times New Roman" w:hAnsi="Times New Roman"/>
          <w:color w:val="000000" w:themeColor="text1"/>
          <w:sz w:val="24"/>
          <w:szCs w:val="24"/>
        </w:rPr>
        <w:t xml:space="preserve"> actual and </w:t>
      </w:r>
      <w:r w:rsidR="008C46A8" w:rsidRPr="00B777EF">
        <w:rPr>
          <w:rFonts w:ascii="Times New Roman" w:hAnsi="Times New Roman"/>
          <w:color w:val="000000" w:themeColor="text1"/>
          <w:sz w:val="24"/>
          <w:szCs w:val="24"/>
        </w:rPr>
        <w:t>ex-ante</w:t>
      </w:r>
      <w:r w:rsidR="00DD0D4B" w:rsidRPr="00B777EF">
        <w:rPr>
          <w:rFonts w:ascii="Times New Roman" w:hAnsi="Times New Roman"/>
          <w:color w:val="000000" w:themeColor="text1"/>
          <w:sz w:val="24"/>
          <w:szCs w:val="24"/>
        </w:rPr>
        <w:t xml:space="preserve"> weather conditions can produce relatively large differences in load impacts. Changes in enrollment between the values used for </w:t>
      </w:r>
      <w:r w:rsidR="008C46A8" w:rsidRPr="00B777EF">
        <w:rPr>
          <w:rFonts w:ascii="Times New Roman" w:hAnsi="Times New Roman"/>
          <w:color w:val="000000" w:themeColor="text1"/>
          <w:sz w:val="24"/>
          <w:szCs w:val="24"/>
        </w:rPr>
        <w:t>ex-post</w:t>
      </w:r>
      <w:r w:rsidR="00DD0D4B" w:rsidRPr="00B777EF">
        <w:rPr>
          <w:rFonts w:ascii="Times New Roman" w:hAnsi="Times New Roman"/>
          <w:color w:val="000000" w:themeColor="text1"/>
          <w:sz w:val="24"/>
          <w:szCs w:val="24"/>
        </w:rPr>
        <w:t xml:space="preserve"> estimation and the 2016 enrollment values are expected to increase the aggregate impacts by roughly 6% given the continued projected growth of the program.</w:t>
      </w:r>
    </w:p>
    <w:p w:rsidR="00DD0D4B" w:rsidRDefault="00DD0D4B" w:rsidP="00DD0D4B">
      <w:pPr>
        <w:pStyle w:val="BodyParagraph"/>
        <w:spacing w:after="0" w:line="276" w:lineRule="auto"/>
        <w:ind w:firstLine="360"/>
        <w:rPr>
          <w:rFonts w:ascii="Times New Roman" w:hAnsi="Times New Roman"/>
          <w:sz w:val="24"/>
          <w:szCs w:val="24"/>
        </w:rPr>
      </w:pPr>
    </w:p>
    <w:p w:rsidR="00DD0D4B" w:rsidRPr="00C605E0" w:rsidRDefault="00DD0D4B" w:rsidP="00FB6F31">
      <w:pPr>
        <w:pStyle w:val="Caption"/>
        <w:spacing w:after="120"/>
        <w:jc w:val="center"/>
        <w:rPr>
          <w:sz w:val="22"/>
          <w:szCs w:val="22"/>
        </w:rPr>
      </w:pPr>
      <w:bookmarkStart w:id="326" w:name="_Ref445992082"/>
      <w:r w:rsidRPr="00C605E0">
        <w:rPr>
          <w:sz w:val="22"/>
          <w:szCs w:val="22"/>
        </w:rPr>
        <w:t xml:space="preserve">Table </w:t>
      </w:r>
      <w:r w:rsidRPr="00C605E0">
        <w:rPr>
          <w:sz w:val="22"/>
          <w:szCs w:val="22"/>
        </w:rPr>
        <w:fldChar w:fldCharType="begin"/>
      </w:r>
      <w:r w:rsidRPr="00C605E0">
        <w:rPr>
          <w:sz w:val="22"/>
          <w:szCs w:val="22"/>
        </w:rPr>
        <w:instrText xml:space="preserve"> STYLEREF 1 \s </w:instrText>
      </w:r>
      <w:r w:rsidRPr="00C605E0">
        <w:rPr>
          <w:sz w:val="22"/>
          <w:szCs w:val="22"/>
        </w:rPr>
        <w:fldChar w:fldCharType="separate"/>
      </w:r>
      <w:r w:rsidR="008A6A2B">
        <w:rPr>
          <w:noProof/>
          <w:sz w:val="22"/>
          <w:szCs w:val="22"/>
        </w:rPr>
        <w:t>10</w:t>
      </w:r>
      <w:r w:rsidRPr="00C605E0">
        <w:rPr>
          <w:noProof/>
          <w:sz w:val="22"/>
          <w:szCs w:val="22"/>
        </w:rPr>
        <w:fldChar w:fldCharType="end"/>
      </w:r>
      <w:r w:rsidRPr="00C605E0">
        <w:rPr>
          <w:sz w:val="22"/>
          <w:szCs w:val="22"/>
        </w:rPr>
        <w:noBreakHyphen/>
      </w:r>
      <w:r w:rsidRPr="00C605E0">
        <w:rPr>
          <w:sz w:val="22"/>
          <w:szCs w:val="22"/>
        </w:rPr>
        <w:fldChar w:fldCharType="begin"/>
      </w:r>
      <w:r w:rsidRPr="00C605E0">
        <w:rPr>
          <w:sz w:val="22"/>
          <w:szCs w:val="22"/>
        </w:rPr>
        <w:instrText xml:space="preserve"> SEQ Table \* ARABIC \s 1 </w:instrText>
      </w:r>
      <w:r w:rsidRPr="00C605E0">
        <w:rPr>
          <w:sz w:val="22"/>
          <w:szCs w:val="22"/>
        </w:rPr>
        <w:fldChar w:fldCharType="separate"/>
      </w:r>
      <w:r w:rsidR="008A6A2B">
        <w:rPr>
          <w:noProof/>
          <w:sz w:val="22"/>
          <w:szCs w:val="22"/>
        </w:rPr>
        <w:t>10</w:t>
      </w:r>
      <w:r w:rsidRPr="00C605E0">
        <w:rPr>
          <w:noProof/>
          <w:sz w:val="22"/>
          <w:szCs w:val="22"/>
        </w:rPr>
        <w:fldChar w:fldCharType="end"/>
      </w:r>
      <w:bookmarkEnd w:id="326"/>
      <w:r w:rsidR="001F1158">
        <w:rPr>
          <w:noProof/>
          <w:sz w:val="22"/>
          <w:szCs w:val="22"/>
        </w:rPr>
        <w:t>:</w:t>
      </w:r>
      <w:r w:rsidRPr="00C605E0">
        <w:rPr>
          <w:sz w:val="22"/>
          <w:szCs w:val="22"/>
        </w:rPr>
        <w:t xml:space="preserve"> Summary of Factors Underlying Differences Between Ex</w:t>
      </w:r>
      <w:r w:rsidR="00FB6F31">
        <w:rPr>
          <w:sz w:val="22"/>
          <w:szCs w:val="22"/>
        </w:rPr>
        <w:t>-</w:t>
      </w:r>
      <w:r w:rsidRPr="00C605E0">
        <w:rPr>
          <w:sz w:val="22"/>
          <w:szCs w:val="22"/>
        </w:rPr>
        <w:t>Post and Ex</w:t>
      </w:r>
      <w:r w:rsidR="00FB6F31">
        <w:rPr>
          <w:sz w:val="22"/>
          <w:szCs w:val="22"/>
        </w:rPr>
        <w:t>-</w:t>
      </w:r>
      <w:r w:rsidRPr="00C605E0">
        <w:rPr>
          <w:sz w:val="22"/>
          <w:szCs w:val="22"/>
        </w:rPr>
        <w:t xml:space="preserve">Ante Impacts </w:t>
      </w:r>
      <w:r w:rsidRPr="00C605E0">
        <w:rPr>
          <w:sz w:val="22"/>
          <w:szCs w:val="22"/>
        </w:rPr>
        <w:br/>
        <w:t xml:space="preserve">for the Commercial Thermostat Program for the </w:t>
      </w:r>
      <w:r w:rsidR="008C46A8">
        <w:rPr>
          <w:sz w:val="22"/>
          <w:szCs w:val="22"/>
        </w:rPr>
        <w:t>Ex-Ante</w:t>
      </w:r>
      <w:r w:rsidRPr="00C605E0">
        <w:rPr>
          <w:sz w:val="22"/>
          <w:szCs w:val="22"/>
        </w:rPr>
        <w:t xml:space="preserve"> Typical Event Day</w:t>
      </w:r>
    </w:p>
    <w:tbl>
      <w:tblPr>
        <w:tblW w:w="9344" w:type="dxa"/>
        <w:jc w:val="center"/>
        <w:tblInd w:w="-1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3"/>
        <w:gridCol w:w="2841"/>
        <w:gridCol w:w="2487"/>
        <w:gridCol w:w="2643"/>
      </w:tblGrid>
      <w:tr w:rsidR="00DD0D4B" w:rsidRPr="00C605E0" w:rsidTr="004E705E">
        <w:trPr>
          <w:trHeight w:val="525"/>
          <w:jc w:val="center"/>
        </w:trPr>
        <w:tc>
          <w:tcPr>
            <w:tcW w:w="1373" w:type="dxa"/>
            <w:tcBorders>
              <w:right w:val="single" w:sz="4" w:space="0" w:color="FFFFFF" w:themeColor="background1"/>
            </w:tcBorders>
            <w:shd w:val="clear" w:color="auto" w:fill="1F497D" w:themeFill="text2"/>
            <w:vAlign w:val="center"/>
            <w:hideMark/>
          </w:tcPr>
          <w:p w:rsidR="00DD0D4B" w:rsidRPr="00C605E0" w:rsidRDefault="00DD0D4B" w:rsidP="00796333">
            <w:pPr>
              <w:pStyle w:val="TableHeader"/>
              <w:spacing w:before="60" w:after="60"/>
              <w:rPr>
                <w:rFonts w:ascii="Times New Roman" w:hAnsi="Times New Roman"/>
                <w:sz w:val="22"/>
              </w:rPr>
            </w:pPr>
            <w:r w:rsidRPr="00C605E0">
              <w:rPr>
                <w:rFonts w:ascii="Times New Roman" w:hAnsi="Times New Roman"/>
                <w:sz w:val="22"/>
              </w:rPr>
              <w:t>Factor</w:t>
            </w:r>
          </w:p>
        </w:tc>
        <w:tc>
          <w:tcPr>
            <w:tcW w:w="2841" w:type="dxa"/>
            <w:tcBorders>
              <w:left w:val="single" w:sz="4" w:space="0" w:color="FFFFFF" w:themeColor="background1"/>
              <w:right w:val="single" w:sz="4" w:space="0" w:color="FFFFFF" w:themeColor="background1"/>
            </w:tcBorders>
            <w:shd w:val="clear" w:color="auto" w:fill="1F497D" w:themeFill="text2"/>
            <w:vAlign w:val="center"/>
            <w:hideMark/>
          </w:tcPr>
          <w:p w:rsidR="00DD0D4B" w:rsidRPr="00C605E0" w:rsidRDefault="008C46A8" w:rsidP="00796333">
            <w:pPr>
              <w:pStyle w:val="TableHeader"/>
              <w:spacing w:before="60" w:after="60"/>
              <w:rPr>
                <w:rFonts w:ascii="Times New Roman" w:hAnsi="Times New Roman"/>
                <w:sz w:val="22"/>
              </w:rPr>
            </w:pPr>
            <w:r>
              <w:rPr>
                <w:rFonts w:ascii="Times New Roman" w:hAnsi="Times New Roman"/>
                <w:sz w:val="22"/>
              </w:rPr>
              <w:t>Ex-Post</w:t>
            </w:r>
          </w:p>
        </w:tc>
        <w:tc>
          <w:tcPr>
            <w:tcW w:w="2487" w:type="dxa"/>
            <w:tcBorders>
              <w:left w:val="single" w:sz="4" w:space="0" w:color="FFFFFF" w:themeColor="background1"/>
              <w:right w:val="single" w:sz="4" w:space="0" w:color="FFFFFF" w:themeColor="background1"/>
            </w:tcBorders>
            <w:shd w:val="clear" w:color="auto" w:fill="1F497D" w:themeFill="text2"/>
            <w:vAlign w:val="center"/>
            <w:hideMark/>
          </w:tcPr>
          <w:p w:rsidR="00DD0D4B" w:rsidRPr="00C605E0" w:rsidRDefault="008C46A8" w:rsidP="00796333">
            <w:pPr>
              <w:pStyle w:val="TableHeader"/>
              <w:spacing w:before="60" w:after="60"/>
              <w:rPr>
                <w:rFonts w:ascii="Times New Roman" w:hAnsi="Times New Roman"/>
                <w:sz w:val="22"/>
              </w:rPr>
            </w:pPr>
            <w:r>
              <w:rPr>
                <w:rFonts w:ascii="Times New Roman" w:hAnsi="Times New Roman"/>
                <w:sz w:val="22"/>
              </w:rPr>
              <w:t>Ex-Ante</w:t>
            </w:r>
          </w:p>
        </w:tc>
        <w:tc>
          <w:tcPr>
            <w:tcW w:w="2643" w:type="dxa"/>
            <w:tcBorders>
              <w:left w:val="single" w:sz="4" w:space="0" w:color="FFFFFF" w:themeColor="background1"/>
            </w:tcBorders>
            <w:shd w:val="clear" w:color="auto" w:fill="1F497D" w:themeFill="text2"/>
            <w:vAlign w:val="center"/>
            <w:hideMark/>
          </w:tcPr>
          <w:p w:rsidR="00DD0D4B" w:rsidRPr="00C605E0" w:rsidRDefault="00DD0D4B" w:rsidP="00796333">
            <w:pPr>
              <w:pStyle w:val="TableHeader"/>
              <w:spacing w:before="60" w:after="60"/>
              <w:rPr>
                <w:rFonts w:ascii="Times New Roman" w:hAnsi="Times New Roman"/>
                <w:sz w:val="22"/>
              </w:rPr>
            </w:pPr>
            <w:r w:rsidRPr="00C605E0">
              <w:rPr>
                <w:rFonts w:ascii="Times New Roman" w:hAnsi="Times New Roman"/>
                <w:sz w:val="22"/>
              </w:rPr>
              <w:t>Expected Impact</w:t>
            </w:r>
          </w:p>
        </w:tc>
      </w:tr>
      <w:tr w:rsidR="00DD0D4B" w:rsidRPr="00C605E0" w:rsidTr="004E705E">
        <w:trPr>
          <w:trHeight w:val="800"/>
          <w:jc w:val="center"/>
        </w:trPr>
        <w:tc>
          <w:tcPr>
            <w:tcW w:w="1373" w:type="dxa"/>
            <w:vMerge w:val="restart"/>
            <w:shd w:val="clear" w:color="auto" w:fill="auto"/>
            <w:noWrap/>
            <w:vAlign w:val="center"/>
            <w:hideMark/>
          </w:tcPr>
          <w:p w:rsidR="00DD0D4B" w:rsidRPr="002C43CC" w:rsidRDefault="00DD0D4B" w:rsidP="00796333">
            <w:pPr>
              <w:pStyle w:val="TableText"/>
              <w:contextualSpacing/>
              <w:rPr>
                <w:rFonts w:ascii="Times New Roman" w:hAnsi="Times New Roman"/>
                <w:sz w:val="20"/>
                <w:szCs w:val="20"/>
                <w:highlight w:val="lightGray"/>
              </w:rPr>
            </w:pPr>
            <w:r w:rsidRPr="002C43CC">
              <w:rPr>
                <w:rFonts w:ascii="Times New Roman" w:hAnsi="Times New Roman"/>
                <w:sz w:val="20"/>
                <w:szCs w:val="20"/>
              </w:rPr>
              <w:t>Weather</w:t>
            </w:r>
          </w:p>
        </w:tc>
        <w:tc>
          <w:tcPr>
            <w:tcW w:w="2841" w:type="dxa"/>
            <w:vMerge w:val="restart"/>
            <w:shd w:val="clear" w:color="auto" w:fill="auto"/>
            <w:noWrap/>
            <w:vAlign w:val="center"/>
            <w:hideMark/>
          </w:tcPr>
          <w:p w:rsidR="00E739D4" w:rsidRDefault="00DD0D4B" w:rsidP="00796333">
            <w:pPr>
              <w:pStyle w:val="TableText"/>
              <w:contextualSpacing/>
              <w:rPr>
                <w:rFonts w:ascii="Times New Roman" w:hAnsi="Times New Roman"/>
                <w:sz w:val="20"/>
                <w:szCs w:val="20"/>
              </w:rPr>
            </w:pPr>
            <w:r w:rsidRPr="002C43CC">
              <w:rPr>
                <w:rFonts w:ascii="Times New Roman" w:hAnsi="Times New Roman"/>
                <w:sz w:val="20"/>
                <w:szCs w:val="20"/>
              </w:rPr>
              <w:t>82 &lt; event day mean17 &lt; 86</w:t>
            </w:r>
            <w:r w:rsidR="00E739D4">
              <w:rPr>
                <w:rFonts w:ascii="Times New Roman" w:hAnsi="Times New Roman"/>
                <w:sz w:val="20"/>
                <w:szCs w:val="20"/>
              </w:rPr>
              <w:t xml:space="preserve"> </w:t>
            </w:r>
          </w:p>
          <w:p w:rsidR="00DD0D4B" w:rsidRPr="002C43CC" w:rsidRDefault="00DD0D4B" w:rsidP="00796333">
            <w:pPr>
              <w:pStyle w:val="TableText"/>
              <w:contextualSpacing/>
              <w:rPr>
                <w:rFonts w:ascii="Times New Roman" w:hAnsi="Times New Roman"/>
                <w:sz w:val="20"/>
                <w:szCs w:val="20"/>
              </w:rPr>
            </w:pPr>
            <w:r w:rsidRPr="002C43CC">
              <w:rPr>
                <w:rFonts w:ascii="Times New Roman" w:hAnsi="Times New Roman"/>
                <w:sz w:val="20"/>
                <w:szCs w:val="20"/>
              </w:rPr>
              <w:t>Average event day mean17 = 84</w:t>
            </w:r>
          </w:p>
          <w:p w:rsidR="00DD0D4B" w:rsidRPr="002C43CC" w:rsidRDefault="00DD0D4B" w:rsidP="00796333">
            <w:pPr>
              <w:pStyle w:val="TableText"/>
              <w:contextualSpacing/>
              <w:rPr>
                <w:rFonts w:ascii="Times New Roman" w:hAnsi="Times New Roman"/>
                <w:sz w:val="20"/>
                <w:szCs w:val="20"/>
                <w:highlight w:val="lightGray"/>
              </w:rPr>
            </w:pPr>
          </w:p>
        </w:tc>
        <w:tc>
          <w:tcPr>
            <w:tcW w:w="2487" w:type="dxa"/>
            <w:shd w:val="clear" w:color="000000" w:fill="FFFFFF"/>
            <w:vAlign w:val="center"/>
            <w:hideMark/>
          </w:tcPr>
          <w:p w:rsidR="00DD0D4B" w:rsidRPr="002C43CC" w:rsidRDefault="00DD0D4B" w:rsidP="00796333">
            <w:pPr>
              <w:pStyle w:val="TableText"/>
              <w:contextualSpacing/>
              <w:rPr>
                <w:rFonts w:ascii="Times New Roman" w:hAnsi="Times New Roman"/>
                <w:sz w:val="20"/>
                <w:szCs w:val="20"/>
              </w:rPr>
            </w:pPr>
            <w:r w:rsidRPr="002C43CC">
              <w:rPr>
                <w:rFonts w:ascii="Times New Roman" w:hAnsi="Times New Roman"/>
                <w:sz w:val="20"/>
                <w:szCs w:val="20"/>
              </w:rPr>
              <w:t xml:space="preserve">Mean17 for 1-in-2 typical event day = 73.8 and 74.6 for SDG&amp;E and CAISO weather, respectively </w:t>
            </w:r>
          </w:p>
        </w:tc>
        <w:tc>
          <w:tcPr>
            <w:tcW w:w="2643" w:type="dxa"/>
            <w:vMerge w:val="restart"/>
            <w:shd w:val="clear" w:color="000000" w:fill="FFFFFF"/>
            <w:vAlign w:val="center"/>
            <w:hideMark/>
          </w:tcPr>
          <w:p w:rsidR="00DD0D4B" w:rsidRPr="002C43CC" w:rsidRDefault="00DD0D4B" w:rsidP="00796333">
            <w:pPr>
              <w:pStyle w:val="TableText"/>
              <w:contextualSpacing/>
              <w:rPr>
                <w:rFonts w:ascii="Times New Roman" w:hAnsi="Times New Roman"/>
                <w:sz w:val="20"/>
                <w:szCs w:val="20"/>
              </w:rPr>
            </w:pPr>
            <w:r w:rsidRPr="002C43CC">
              <w:rPr>
                <w:rFonts w:ascii="Times New Roman" w:hAnsi="Times New Roman"/>
                <w:sz w:val="20"/>
                <w:szCs w:val="20"/>
              </w:rPr>
              <w:t xml:space="preserve">Ex ante estimates are highly sensitive to variation in mean17 – </w:t>
            </w:r>
            <w:r w:rsidR="008C46A8">
              <w:rPr>
                <w:rFonts w:ascii="Times New Roman" w:hAnsi="Times New Roman"/>
                <w:sz w:val="20"/>
                <w:szCs w:val="20"/>
              </w:rPr>
              <w:t>ex-ante</w:t>
            </w:r>
            <w:r w:rsidRPr="002C43CC">
              <w:rPr>
                <w:rFonts w:ascii="Times New Roman" w:hAnsi="Times New Roman"/>
                <w:sz w:val="20"/>
                <w:szCs w:val="20"/>
              </w:rPr>
              <w:t xml:space="preserve"> weather is cooler than the observed weather for 2015, so </w:t>
            </w:r>
            <w:r w:rsidR="008C46A8">
              <w:rPr>
                <w:rFonts w:ascii="Times New Roman" w:hAnsi="Times New Roman"/>
                <w:sz w:val="20"/>
                <w:szCs w:val="20"/>
              </w:rPr>
              <w:t>ex-ante</w:t>
            </w:r>
            <w:r w:rsidRPr="002C43CC">
              <w:rPr>
                <w:rFonts w:ascii="Times New Roman" w:hAnsi="Times New Roman"/>
                <w:sz w:val="20"/>
                <w:szCs w:val="20"/>
              </w:rPr>
              <w:t xml:space="preserve"> should generally be lower than </w:t>
            </w:r>
            <w:r w:rsidR="008C46A8">
              <w:rPr>
                <w:rFonts w:ascii="Times New Roman" w:hAnsi="Times New Roman"/>
                <w:sz w:val="20"/>
                <w:szCs w:val="20"/>
              </w:rPr>
              <w:t>ex-post</w:t>
            </w:r>
            <w:r w:rsidRPr="002C43CC">
              <w:rPr>
                <w:rFonts w:ascii="Times New Roman" w:hAnsi="Times New Roman"/>
                <w:sz w:val="20"/>
                <w:szCs w:val="20"/>
              </w:rPr>
              <w:t>, all else equal</w:t>
            </w:r>
          </w:p>
        </w:tc>
      </w:tr>
      <w:tr w:rsidR="00DD0D4B" w:rsidRPr="00C605E0" w:rsidTr="004E705E">
        <w:trPr>
          <w:trHeight w:val="800"/>
          <w:jc w:val="center"/>
        </w:trPr>
        <w:tc>
          <w:tcPr>
            <w:tcW w:w="1373" w:type="dxa"/>
            <w:vMerge/>
            <w:vAlign w:val="center"/>
            <w:hideMark/>
          </w:tcPr>
          <w:p w:rsidR="00DD0D4B" w:rsidRPr="002C43CC" w:rsidRDefault="00DD0D4B" w:rsidP="00796333">
            <w:pPr>
              <w:pStyle w:val="TableText"/>
              <w:contextualSpacing/>
              <w:rPr>
                <w:rFonts w:ascii="Times New Roman" w:hAnsi="Times New Roman"/>
                <w:sz w:val="20"/>
                <w:szCs w:val="20"/>
                <w:highlight w:val="lightGray"/>
              </w:rPr>
            </w:pPr>
          </w:p>
        </w:tc>
        <w:tc>
          <w:tcPr>
            <w:tcW w:w="2841" w:type="dxa"/>
            <w:vMerge/>
            <w:shd w:val="clear" w:color="auto" w:fill="auto"/>
            <w:noWrap/>
            <w:vAlign w:val="center"/>
            <w:hideMark/>
          </w:tcPr>
          <w:p w:rsidR="00DD0D4B" w:rsidRPr="002C43CC" w:rsidRDefault="00DD0D4B" w:rsidP="00796333">
            <w:pPr>
              <w:pStyle w:val="TableText"/>
              <w:contextualSpacing/>
              <w:rPr>
                <w:rFonts w:ascii="Times New Roman" w:hAnsi="Times New Roman"/>
                <w:sz w:val="20"/>
                <w:szCs w:val="20"/>
              </w:rPr>
            </w:pPr>
          </w:p>
        </w:tc>
        <w:tc>
          <w:tcPr>
            <w:tcW w:w="2487" w:type="dxa"/>
            <w:shd w:val="clear" w:color="000000" w:fill="FFFFFF"/>
            <w:vAlign w:val="center"/>
            <w:hideMark/>
          </w:tcPr>
          <w:p w:rsidR="00DD0D4B" w:rsidRPr="002C43CC" w:rsidRDefault="00DD0D4B" w:rsidP="00796333">
            <w:pPr>
              <w:pStyle w:val="TableText"/>
              <w:contextualSpacing/>
              <w:rPr>
                <w:rFonts w:ascii="Times New Roman" w:hAnsi="Times New Roman"/>
                <w:sz w:val="20"/>
                <w:szCs w:val="20"/>
              </w:rPr>
            </w:pPr>
            <w:r w:rsidRPr="002C43CC">
              <w:rPr>
                <w:rFonts w:ascii="Times New Roman" w:hAnsi="Times New Roman"/>
                <w:sz w:val="20"/>
                <w:szCs w:val="20"/>
              </w:rPr>
              <w:t>Mean17 for 1-in-10 typical event day = 79.9 and 78.0 for PG&amp;E and CAISO weather, respectively</w:t>
            </w:r>
          </w:p>
        </w:tc>
        <w:tc>
          <w:tcPr>
            <w:tcW w:w="2643" w:type="dxa"/>
            <w:vMerge/>
            <w:shd w:val="clear" w:color="000000" w:fill="FFFFFF"/>
            <w:vAlign w:val="center"/>
            <w:hideMark/>
          </w:tcPr>
          <w:p w:rsidR="00DD0D4B" w:rsidRPr="002C43CC" w:rsidRDefault="00DD0D4B" w:rsidP="00796333">
            <w:pPr>
              <w:pStyle w:val="TableText"/>
              <w:contextualSpacing/>
              <w:rPr>
                <w:rFonts w:ascii="Times New Roman" w:hAnsi="Times New Roman"/>
                <w:sz w:val="20"/>
                <w:szCs w:val="20"/>
              </w:rPr>
            </w:pPr>
          </w:p>
        </w:tc>
      </w:tr>
      <w:tr w:rsidR="00DD0D4B" w:rsidRPr="00C605E0" w:rsidTr="004E705E">
        <w:trPr>
          <w:trHeight w:val="980"/>
          <w:jc w:val="center"/>
        </w:trPr>
        <w:tc>
          <w:tcPr>
            <w:tcW w:w="1373" w:type="dxa"/>
            <w:shd w:val="clear" w:color="auto" w:fill="auto"/>
            <w:noWrap/>
            <w:vAlign w:val="center"/>
            <w:hideMark/>
          </w:tcPr>
          <w:p w:rsidR="00DD0D4B" w:rsidRPr="002C43CC" w:rsidRDefault="00DD0D4B" w:rsidP="00796333">
            <w:pPr>
              <w:pStyle w:val="TableText"/>
              <w:contextualSpacing/>
              <w:rPr>
                <w:rFonts w:ascii="Times New Roman" w:hAnsi="Times New Roman"/>
                <w:sz w:val="20"/>
                <w:szCs w:val="20"/>
              </w:rPr>
            </w:pPr>
            <w:r w:rsidRPr="002C43CC">
              <w:rPr>
                <w:rFonts w:ascii="Times New Roman" w:hAnsi="Times New Roman"/>
                <w:sz w:val="20"/>
                <w:szCs w:val="20"/>
              </w:rPr>
              <w:t>Enrollment</w:t>
            </w:r>
          </w:p>
        </w:tc>
        <w:tc>
          <w:tcPr>
            <w:tcW w:w="2841" w:type="dxa"/>
            <w:shd w:val="clear" w:color="auto" w:fill="auto"/>
            <w:noWrap/>
            <w:vAlign w:val="center"/>
            <w:hideMark/>
          </w:tcPr>
          <w:p w:rsidR="00DD0D4B" w:rsidRPr="002C43CC" w:rsidRDefault="00DD0D4B" w:rsidP="00796333">
            <w:pPr>
              <w:pStyle w:val="TableText"/>
              <w:contextualSpacing/>
              <w:rPr>
                <w:rFonts w:ascii="Times New Roman" w:hAnsi="Times New Roman"/>
                <w:sz w:val="20"/>
                <w:szCs w:val="20"/>
              </w:rPr>
            </w:pPr>
            <w:r w:rsidRPr="002C43CC">
              <w:rPr>
                <w:rFonts w:ascii="Times New Roman" w:hAnsi="Times New Roman"/>
                <w:sz w:val="20"/>
                <w:szCs w:val="20"/>
              </w:rPr>
              <w:t>Enrollment increased by many multiples between 2014 and 2015 events</w:t>
            </w:r>
          </w:p>
        </w:tc>
        <w:tc>
          <w:tcPr>
            <w:tcW w:w="2487" w:type="dxa"/>
            <w:shd w:val="clear" w:color="000000" w:fill="FFFFFF"/>
            <w:vAlign w:val="center"/>
            <w:hideMark/>
          </w:tcPr>
          <w:p w:rsidR="00DD0D4B" w:rsidRPr="002C43CC" w:rsidRDefault="00DD0D4B" w:rsidP="00796333">
            <w:pPr>
              <w:pStyle w:val="TableText"/>
              <w:contextualSpacing/>
              <w:rPr>
                <w:rFonts w:ascii="Times New Roman" w:hAnsi="Times New Roman"/>
                <w:sz w:val="20"/>
                <w:szCs w:val="20"/>
              </w:rPr>
            </w:pPr>
            <w:r w:rsidRPr="002C43CC">
              <w:rPr>
                <w:rFonts w:ascii="Times New Roman" w:hAnsi="Times New Roman"/>
                <w:sz w:val="20"/>
                <w:szCs w:val="20"/>
              </w:rPr>
              <w:t>Enrollment is forecast to steadily increase until 2018, at which point the program will remain stable at 117% of 2015 enrollment.</w:t>
            </w:r>
          </w:p>
        </w:tc>
        <w:tc>
          <w:tcPr>
            <w:tcW w:w="2643" w:type="dxa"/>
            <w:shd w:val="clear" w:color="000000" w:fill="FFFFFF"/>
            <w:vAlign w:val="center"/>
            <w:hideMark/>
          </w:tcPr>
          <w:p w:rsidR="00DD0D4B" w:rsidRPr="002C43CC" w:rsidRDefault="00DD0D4B" w:rsidP="00796333">
            <w:pPr>
              <w:pStyle w:val="TableText"/>
              <w:contextualSpacing/>
              <w:rPr>
                <w:rFonts w:ascii="Times New Roman" w:hAnsi="Times New Roman"/>
                <w:sz w:val="20"/>
                <w:szCs w:val="20"/>
              </w:rPr>
            </w:pPr>
            <w:r w:rsidRPr="002C43CC">
              <w:rPr>
                <w:rFonts w:ascii="Times New Roman" w:hAnsi="Times New Roman"/>
                <w:sz w:val="20"/>
                <w:szCs w:val="20"/>
              </w:rPr>
              <w:t xml:space="preserve">Ex ante estimates will increase to be roughly 17% than greater than </w:t>
            </w:r>
            <w:r w:rsidR="008C46A8">
              <w:rPr>
                <w:rFonts w:ascii="Times New Roman" w:hAnsi="Times New Roman"/>
                <w:sz w:val="20"/>
                <w:szCs w:val="20"/>
              </w:rPr>
              <w:t>ex-post</w:t>
            </w:r>
          </w:p>
        </w:tc>
      </w:tr>
      <w:tr w:rsidR="00DD0D4B" w:rsidRPr="00C605E0" w:rsidTr="004E705E">
        <w:trPr>
          <w:trHeight w:val="1456"/>
          <w:jc w:val="center"/>
        </w:trPr>
        <w:tc>
          <w:tcPr>
            <w:tcW w:w="1373" w:type="dxa"/>
            <w:shd w:val="clear" w:color="auto" w:fill="auto"/>
            <w:noWrap/>
            <w:vAlign w:val="center"/>
            <w:hideMark/>
          </w:tcPr>
          <w:p w:rsidR="00DD0D4B" w:rsidRPr="002C43CC" w:rsidRDefault="00DD0D4B" w:rsidP="00796333">
            <w:pPr>
              <w:pStyle w:val="TableText"/>
              <w:contextualSpacing/>
              <w:rPr>
                <w:rFonts w:ascii="Times New Roman" w:hAnsi="Times New Roman"/>
                <w:sz w:val="20"/>
                <w:szCs w:val="20"/>
              </w:rPr>
            </w:pPr>
            <w:r w:rsidRPr="002C43CC">
              <w:rPr>
                <w:rFonts w:ascii="Times New Roman" w:hAnsi="Times New Roman"/>
                <w:sz w:val="20"/>
                <w:szCs w:val="20"/>
              </w:rPr>
              <w:t>Methodology</w:t>
            </w:r>
          </w:p>
        </w:tc>
        <w:tc>
          <w:tcPr>
            <w:tcW w:w="2841" w:type="dxa"/>
            <w:shd w:val="clear" w:color="auto" w:fill="auto"/>
            <w:vAlign w:val="center"/>
            <w:hideMark/>
          </w:tcPr>
          <w:p w:rsidR="00DD0D4B" w:rsidRPr="002C43CC" w:rsidRDefault="00DD0D4B" w:rsidP="00796333">
            <w:pPr>
              <w:pStyle w:val="TableText"/>
              <w:contextualSpacing/>
              <w:rPr>
                <w:rFonts w:ascii="Times New Roman" w:hAnsi="Times New Roman"/>
                <w:sz w:val="20"/>
                <w:szCs w:val="20"/>
              </w:rPr>
            </w:pPr>
            <w:r w:rsidRPr="002C43CC">
              <w:rPr>
                <w:rFonts w:ascii="Times New Roman" w:hAnsi="Times New Roman"/>
                <w:sz w:val="20"/>
                <w:szCs w:val="20"/>
              </w:rPr>
              <w:t>Impacts are largely based on matched control groups and adjustments based on differences in pre-event hours and weather sensitivity</w:t>
            </w:r>
          </w:p>
        </w:tc>
        <w:tc>
          <w:tcPr>
            <w:tcW w:w="2487" w:type="dxa"/>
            <w:shd w:val="clear" w:color="000000" w:fill="FFFFFF"/>
            <w:vAlign w:val="center"/>
            <w:hideMark/>
          </w:tcPr>
          <w:p w:rsidR="00DD0D4B" w:rsidRPr="002C43CC" w:rsidRDefault="00DD0D4B" w:rsidP="00796333">
            <w:pPr>
              <w:pStyle w:val="TableText"/>
              <w:contextualSpacing/>
              <w:rPr>
                <w:rFonts w:ascii="Times New Roman" w:hAnsi="Times New Roman"/>
                <w:sz w:val="20"/>
                <w:szCs w:val="20"/>
              </w:rPr>
            </w:pPr>
            <w:r w:rsidRPr="002C43CC">
              <w:rPr>
                <w:rFonts w:ascii="Times New Roman" w:hAnsi="Times New Roman"/>
                <w:sz w:val="20"/>
                <w:szCs w:val="20"/>
              </w:rPr>
              <w:t xml:space="preserve">Regression of </w:t>
            </w:r>
            <w:r w:rsidR="008C46A8">
              <w:rPr>
                <w:rFonts w:ascii="Times New Roman" w:hAnsi="Times New Roman"/>
                <w:sz w:val="20"/>
                <w:szCs w:val="20"/>
              </w:rPr>
              <w:t>ex-post</w:t>
            </w:r>
            <w:r w:rsidRPr="002C43CC">
              <w:rPr>
                <w:rFonts w:ascii="Times New Roman" w:hAnsi="Times New Roman"/>
                <w:sz w:val="20"/>
                <w:szCs w:val="20"/>
              </w:rPr>
              <w:t xml:space="preserve"> reference loads against mean17 for each hour and a weather-based adjustment estimated from Summer Saver weather-sensitivity</w:t>
            </w:r>
          </w:p>
        </w:tc>
        <w:tc>
          <w:tcPr>
            <w:tcW w:w="2643" w:type="dxa"/>
            <w:shd w:val="clear" w:color="000000" w:fill="FFFFFF"/>
            <w:vAlign w:val="center"/>
            <w:hideMark/>
          </w:tcPr>
          <w:p w:rsidR="00DD0D4B" w:rsidRPr="002C43CC" w:rsidRDefault="00DD0D4B" w:rsidP="00796333">
            <w:pPr>
              <w:pStyle w:val="TableText"/>
              <w:contextualSpacing/>
              <w:rPr>
                <w:rFonts w:ascii="Times New Roman" w:hAnsi="Times New Roman"/>
                <w:sz w:val="20"/>
                <w:szCs w:val="20"/>
              </w:rPr>
            </w:pPr>
            <w:r w:rsidRPr="002C43CC">
              <w:rPr>
                <w:rFonts w:ascii="Times New Roman" w:hAnsi="Times New Roman"/>
                <w:sz w:val="20"/>
                <w:szCs w:val="20"/>
              </w:rPr>
              <w:t>Impacts will vary differently with weather, given that Summer Saver is a larger, more established program that shows a strong relationship between weather and impacts, whereas the commercial thermostat temperature-impact relationship has few data points (eight event days over two years)</w:t>
            </w:r>
          </w:p>
        </w:tc>
      </w:tr>
    </w:tbl>
    <w:p w:rsidR="00DD0D4B" w:rsidRDefault="00DD0D4B" w:rsidP="00DD0D4B">
      <w:pPr>
        <w:pStyle w:val="BodyParagraph"/>
        <w:ind w:firstLine="720"/>
        <w:rPr>
          <w:rFonts w:ascii="Times New Roman" w:hAnsi="Times New Roman"/>
          <w:sz w:val="24"/>
          <w:szCs w:val="24"/>
        </w:rPr>
      </w:pPr>
    </w:p>
    <w:p w:rsidR="00DD0D4B" w:rsidRPr="00B777EF" w:rsidRDefault="001E57C9" w:rsidP="00DD0D4B">
      <w:pPr>
        <w:pStyle w:val="BodyParagraph"/>
        <w:spacing w:after="0" w:line="276" w:lineRule="auto"/>
        <w:ind w:firstLine="360"/>
        <w:rPr>
          <w:rFonts w:ascii="Times New Roman" w:hAnsi="Times New Roman"/>
          <w:color w:val="000000" w:themeColor="text1"/>
          <w:sz w:val="24"/>
          <w:szCs w:val="24"/>
        </w:rPr>
      </w:pPr>
      <w:r w:rsidRPr="001E57C9">
        <w:rPr>
          <w:rFonts w:ascii="Times New Roman" w:hAnsi="Times New Roman"/>
          <w:color w:val="000000" w:themeColor="text1"/>
          <w:sz w:val="22"/>
        </w:rPr>
        <w:t>Table 10-11</w:t>
      </w:r>
      <w:r>
        <w:rPr>
          <w:rFonts w:ascii="Times New Roman" w:hAnsi="Times New Roman"/>
          <w:color w:val="000000" w:themeColor="text1"/>
          <w:sz w:val="24"/>
          <w:szCs w:val="24"/>
        </w:rPr>
        <w:t xml:space="preserve"> </w:t>
      </w:r>
      <w:r w:rsidR="00DD0D4B" w:rsidRPr="00B777EF">
        <w:rPr>
          <w:rFonts w:ascii="Times New Roman" w:hAnsi="Times New Roman"/>
          <w:color w:val="000000" w:themeColor="text1"/>
          <w:sz w:val="24"/>
          <w:szCs w:val="24"/>
        </w:rPr>
        <w:t xml:space="preserve">shows how aggregate load impacts change as a result of differences in the factors underlying </w:t>
      </w:r>
      <w:r w:rsidR="008C46A8" w:rsidRPr="00B777EF">
        <w:rPr>
          <w:rFonts w:ascii="Times New Roman" w:hAnsi="Times New Roman"/>
          <w:color w:val="000000" w:themeColor="text1"/>
          <w:sz w:val="24"/>
          <w:szCs w:val="24"/>
        </w:rPr>
        <w:t>ex-post</w:t>
      </w:r>
      <w:r w:rsidR="00DD0D4B" w:rsidRPr="00B777EF">
        <w:rPr>
          <w:rFonts w:ascii="Times New Roman" w:hAnsi="Times New Roman"/>
          <w:color w:val="000000" w:themeColor="text1"/>
          <w:sz w:val="24"/>
          <w:szCs w:val="24"/>
        </w:rPr>
        <w:t xml:space="preserve"> and </w:t>
      </w:r>
      <w:r w:rsidR="008C46A8" w:rsidRPr="00B777EF">
        <w:rPr>
          <w:rFonts w:ascii="Times New Roman" w:hAnsi="Times New Roman"/>
          <w:color w:val="000000" w:themeColor="text1"/>
          <w:sz w:val="24"/>
          <w:szCs w:val="24"/>
        </w:rPr>
        <w:t>ex-ante</w:t>
      </w:r>
      <w:r w:rsidR="00DD0D4B" w:rsidRPr="00B777EF">
        <w:rPr>
          <w:rFonts w:ascii="Times New Roman" w:hAnsi="Times New Roman"/>
          <w:color w:val="000000" w:themeColor="text1"/>
          <w:sz w:val="24"/>
          <w:szCs w:val="24"/>
        </w:rPr>
        <w:t xml:space="preserve"> estimates. The third column reproduces the </w:t>
      </w:r>
      <w:r w:rsidR="008C46A8" w:rsidRPr="00B777EF">
        <w:rPr>
          <w:rFonts w:ascii="Times New Roman" w:hAnsi="Times New Roman"/>
          <w:color w:val="000000" w:themeColor="text1"/>
          <w:sz w:val="24"/>
          <w:szCs w:val="24"/>
        </w:rPr>
        <w:t>ex-post</w:t>
      </w:r>
      <w:r w:rsidR="00DD0D4B" w:rsidRPr="00B777EF">
        <w:rPr>
          <w:rFonts w:ascii="Times New Roman" w:hAnsi="Times New Roman"/>
          <w:color w:val="000000" w:themeColor="text1"/>
          <w:sz w:val="24"/>
          <w:szCs w:val="24"/>
        </w:rPr>
        <w:t xml:space="preserve"> values from</w:t>
      </w:r>
      <w:r>
        <w:rPr>
          <w:rFonts w:ascii="Times New Roman" w:hAnsi="Times New Roman"/>
          <w:color w:val="000000" w:themeColor="text1"/>
          <w:sz w:val="24"/>
          <w:szCs w:val="24"/>
        </w:rPr>
        <w:t xml:space="preserve"> </w:t>
      </w:r>
      <w:r w:rsidRPr="001E57C9">
        <w:rPr>
          <w:rFonts w:ascii="Times New Roman" w:hAnsi="Times New Roman"/>
          <w:color w:val="000000" w:themeColor="text1"/>
          <w:sz w:val="22"/>
        </w:rPr>
        <w:t>Table 10-3</w:t>
      </w:r>
      <w:r w:rsidR="00DD0D4B" w:rsidRPr="001E57C9">
        <w:rPr>
          <w:rFonts w:ascii="Times New Roman" w:hAnsi="Times New Roman"/>
          <w:color w:val="000000" w:themeColor="text1"/>
          <w:sz w:val="22"/>
        </w:rPr>
        <w:t>.</w:t>
      </w:r>
      <w:r w:rsidR="00DD0D4B" w:rsidRPr="00B777EF">
        <w:rPr>
          <w:rFonts w:ascii="Times New Roman" w:hAnsi="Times New Roman"/>
          <w:color w:val="000000" w:themeColor="text1"/>
          <w:sz w:val="24"/>
          <w:szCs w:val="24"/>
        </w:rPr>
        <w:t xml:space="preserve"> The next column grosses these estimates up by the difference in </w:t>
      </w:r>
      <w:r w:rsidR="008C46A8" w:rsidRPr="00B777EF">
        <w:rPr>
          <w:rFonts w:ascii="Times New Roman" w:hAnsi="Times New Roman"/>
          <w:color w:val="000000" w:themeColor="text1"/>
          <w:sz w:val="24"/>
          <w:szCs w:val="24"/>
        </w:rPr>
        <w:t>ex-post</w:t>
      </w:r>
      <w:r w:rsidR="00DD0D4B" w:rsidRPr="00B777EF">
        <w:rPr>
          <w:rFonts w:ascii="Times New Roman" w:hAnsi="Times New Roman"/>
          <w:color w:val="000000" w:themeColor="text1"/>
          <w:sz w:val="24"/>
          <w:szCs w:val="24"/>
        </w:rPr>
        <w:t xml:space="preserve"> and </w:t>
      </w:r>
      <w:r w:rsidR="008C46A8" w:rsidRPr="00B777EF">
        <w:rPr>
          <w:rFonts w:ascii="Times New Roman" w:hAnsi="Times New Roman"/>
          <w:color w:val="000000" w:themeColor="text1"/>
          <w:sz w:val="24"/>
          <w:szCs w:val="24"/>
        </w:rPr>
        <w:t>ex-ante</w:t>
      </w:r>
      <w:r w:rsidR="00DD0D4B" w:rsidRPr="00B777EF">
        <w:rPr>
          <w:rFonts w:ascii="Times New Roman" w:hAnsi="Times New Roman"/>
          <w:color w:val="000000" w:themeColor="text1"/>
          <w:sz w:val="24"/>
          <w:szCs w:val="24"/>
        </w:rPr>
        <w:t xml:space="preserve"> enrollment in August 2016. As expected, this produces a small increase in the impacts. The next column shows what the </w:t>
      </w:r>
      <w:r w:rsidR="008C46A8" w:rsidRPr="00B777EF">
        <w:rPr>
          <w:rFonts w:ascii="Times New Roman" w:hAnsi="Times New Roman"/>
          <w:color w:val="000000" w:themeColor="text1"/>
          <w:sz w:val="24"/>
          <w:szCs w:val="24"/>
        </w:rPr>
        <w:t>ex-ante</w:t>
      </w:r>
      <w:r w:rsidR="00DD0D4B" w:rsidRPr="00B777EF">
        <w:rPr>
          <w:rFonts w:ascii="Times New Roman" w:hAnsi="Times New Roman"/>
          <w:color w:val="000000" w:themeColor="text1"/>
          <w:sz w:val="24"/>
          <w:szCs w:val="24"/>
        </w:rPr>
        <w:t xml:space="preserve"> model would produce using the same 2016 August enrollment figures, the </w:t>
      </w:r>
      <w:r w:rsidR="008C46A8" w:rsidRPr="00B777EF">
        <w:rPr>
          <w:rFonts w:ascii="Times New Roman" w:hAnsi="Times New Roman"/>
          <w:color w:val="000000" w:themeColor="text1"/>
          <w:sz w:val="24"/>
          <w:szCs w:val="24"/>
        </w:rPr>
        <w:t>ex-post</w:t>
      </w:r>
      <w:r w:rsidR="00DD0D4B" w:rsidRPr="00B777EF">
        <w:rPr>
          <w:rFonts w:ascii="Times New Roman" w:hAnsi="Times New Roman"/>
          <w:color w:val="000000" w:themeColor="text1"/>
          <w:sz w:val="24"/>
          <w:szCs w:val="24"/>
        </w:rPr>
        <w:t xml:space="preserve"> event window (2-6 PM), and the </w:t>
      </w:r>
      <w:r w:rsidR="008C46A8" w:rsidRPr="00B777EF">
        <w:rPr>
          <w:rFonts w:ascii="Times New Roman" w:hAnsi="Times New Roman"/>
          <w:color w:val="000000" w:themeColor="text1"/>
          <w:sz w:val="24"/>
          <w:szCs w:val="24"/>
        </w:rPr>
        <w:t>ex-post</w:t>
      </w:r>
      <w:r w:rsidR="00DD0D4B" w:rsidRPr="00B777EF">
        <w:rPr>
          <w:rFonts w:ascii="Times New Roman" w:hAnsi="Times New Roman"/>
          <w:color w:val="000000" w:themeColor="text1"/>
          <w:sz w:val="24"/>
          <w:szCs w:val="24"/>
        </w:rPr>
        <w:t xml:space="preserve"> weather conditions for each event day. As discussed above, the </w:t>
      </w:r>
      <w:r w:rsidR="008C46A8" w:rsidRPr="00B777EF">
        <w:rPr>
          <w:rFonts w:ascii="Times New Roman" w:hAnsi="Times New Roman"/>
          <w:color w:val="000000" w:themeColor="text1"/>
          <w:sz w:val="24"/>
          <w:szCs w:val="24"/>
        </w:rPr>
        <w:t>ex-ante</w:t>
      </w:r>
      <w:r w:rsidR="00DD0D4B" w:rsidRPr="00B777EF">
        <w:rPr>
          <w:rFonts w:ascii="Times New Roman" w:hAnsi="Times New Roman"/>
          <w:color w:val="000000" w:themeColor="text1"/>
          <w:sz w:val="24"/>
          <w:szCs w:val="24"/>
        </w:rPr>
        <w:t xml:space="preserve"> model over predicts for the August day and under predicts for the last two September days. This is due to the unexpected high impact on the relatively cool September days, and the relatively limited number of events available to determine whether the observed trend of higher impacts on cooler day was spurious, or was due to a real trend. The final four columns show how aggregate load reductions vary with the different </w:t>
      </w:r>
      <w:r w:rsidR="008C46A8" w:rsidRPr="00B777EF">
        <w:rPr>
          <w:rFonts w:ascii="Times New Roman" w:hAnsi="Times New Roman"/>
          <w:color w:val="000000" w:themeColor="text1"/>
          <w:sz w:val="24"/>
          <w:szCs w:val="24"/>
        </w:rPr>
        <w:t>ex-ante</w:t>
      </w:r>
      <w:r w:rsidR="00DD0D4B" w:rsidRPr="00B777EF">
        <w:rPr>
          <w:rFonts w:ascii="Times New Roman" w:hAnsi="Times New Roman"/>
          <w:color w:val="000000" w:themeColor="text1"/>
          <w:sz w:val="24"/>
          <w:szCs w:val="24"/>
        </w:rPr>
        <w:t xml:space="preserve"> weather scenarios for the average hour between 2 PM and 6 PM. The SDG&amp;E 1-in-10 conditions are most similar to the 2015 SDG&amp;E </w:t>
      </w:r>
      <w:r w:rsidR="008C46A8" w:rsidRPr="00B777EF">
        <w:rPr>
          <w:rFonts w:ascii="Times New Roman" w:hAnsi="Times New Roman"/>
          <w:color w:val="000000" w:themeColor="text1"/>
          <w:sz w:val="24"/>
          <w:szCs w:val="24"/>
        </w:rPr>
        <w:t>ex-post</w:t>
      </w:r>
      <w:r w:rsidR="00DD0D4B" w:rsidRPr="00B777EF">
        <w:rPr>
          <w:rFonts w:ascii="Times New Roman" w:hAnsi="Times New Roman"/>
          <w:color w:val="000000" w:themeColor="text1"/>
          <w:sz w:val="24"/>
          <w:szCs w:val="24"/>
        </w:rPr>
        <w:t xml:space="preserve"> weather conditions on average across all event days, although for any given </w:t>
      </w:r>
      <w:r w:rsidR="008C46A8" w:rsidRPr="00B777EF">
        <w:rPr>
          <w:rFonts w:ascii="Times New Roman" w:hAnsi="Times New Roman"/>
          <w:color w:val="000000" w:themeColor="text1"/>
          <w:sz w:val="24"/>
          <w:szCs w:val="24"/>
        </w:rPr>
        <w:t>ex-post</w:t>
      </w:r>
      <w:r w:rsidR="00DD0D4B" w:rsidRPr="00B777EF">
        <w:rPr>
          <w:rFonts w:ascii="Times New Roman" w:hAnsi="Times New Roman"/>
          <w:color w:val="000000" w:themeColor="text1"/>
          <w:sz w:val="24"/>
          <w:szCs w:val="24"/>
        </w:rPr>
        <w:t xml:space="preserve"> day, the weather conditions can differ significantly. Notably, even the coldest event, August 28, is considerably warmer that the SDG&amp;E 1-in-10 weather with a </w:t>
      </w:r>
      <w:r w:rsidR="00DD0D4B" w:rsidRPr="00B777EF">
        <w:rPr>
          <w:rFonts w:ascii="Times New Roman" w:hAnsi="Times New Roman"/>
          <w:i/>
          <w:color w:val="000000" w:themeColor="text1"/>
          <w:sz w:val="24"/>
          <w:szCs w:val="24"/>
        </w:rPr>
        <w:lastRenderedPageBreak/>
        <w:t xml:space="preserve">mean17 </w:t>
      </w:r>
      <w:r w:rsidR="00DD0D4B" w:rsidRPr="00B777EF">
        <w:rPr>
          <w:rFonts w:ascii="Times New Roman" w:hAnsi="Times New Roman"/>
          <w:color w:val="000000" w:themeColor="text1"/>
          <w:sz w:val="24"/>
          <w:szCs w:val="24"/>
        </w:rPr>
        <w:t xml:space="preserve">of 77.2. Using the SDG&amp;E 1-in-10 year conditions therefore decreases the average impacts by about 23% compared with </w:t>
      </w:r>
      <w:r w:rsidR="008C46A8" w:rsidRPr="00B777EF">
        <w:rPr>
          <w:rFonts w:ascii="Times New Roman" w:hAnsi="Times New Roman"/>
          <w:color w:val="000000" w:themeColor="text1"/>
          <w:sz w:val="24"/>
          <w:szCs w:val="24"/>
        </w:rPr>
        <w:t>ex-post</w:t>
      </w:r>
      <w:r w:rsidR="00DD0D4B" w:rsidRPr="00B777EF">
        <w:rPr>
          <w:rFonts w:ascii="Times New Roman" w:hAnsi="Times New Roman"/>
          <w:color w:val="000000" w:themeColor="text1"/>
          <w:sz w:val="24"/>
          <w:szCs w:val="24"/>
        </w:rPr>
        <w:t xml:space="preserve"> weather.</w:t>
      </w:r>
    </w:p>
    <w:p w:rsidR="00DD0D4B" w:rsidRDefault="00DD0D4B" w:rsidP="00DD0D4B">
      <w:pPr>
        <w:pStyle w:val="Caption"/>
        <w:jc w:val="center"/>
      </w:pPr>
    </w:p>
    <w:p w:rsidR="00DD0D4B" w:rsidRPr="003241C4" w:rsidRDefault="00DD0D4B" w:rsidP="00FB6F31">
      <w:pPr>
        <w:pStyle w:val="Caption"/>
        <w:spacing w:after="120"/>
        <w:jc w:val="center"/>
        <w:rPr>
          <w:sz w:val="22"/>
          <w:szCs w:val="22"/>
        </w:rPr>
      </w:pPr>
      <w:bookmarkStart w:id="327" w:name="_Ref445992130"/>
      <w:r w:rsidRPr="003241C4">
        <w:rPr>
          <w:sz w:val="22"/>
          <w:szCs w:val="22"/>
        </w:rPr>
        <w:t xml:space="preserve">Table </w:t>
      </w:r>
      <w:r w:rsidRPr="003241C4">
        <w:rPr>
          <w:sz w:val="22"/>
          <w:szCs w:val="22"/>
        </w:rPr>
        <w:fldChar w:fldCharType="begin"/>
      </w:r>
      <w:r w:rsidRPr="003241C4">
        <w:rPr>
          <w:sz w:val="22"/>
          <w:szCs w:val="22"/>
        </w:rPr>
        <w:instrText xml:space="preserve"> STYLEREF 1 \s </w:instrText>
      </w:r>
      <w:r w:rsidRPr="003241C4">
        <w:rPr>
          <w:sz w:val="22"/>
          <w:szCs w:val="22"/>
        </w:rPr>
        <w:fldChar w:fldCharType="separate"/>
      </w:r>
      <w:r w:rsidR="008A6A2B">
        <w:rPr>
          <w:noProof/>
          <w:sz w:val="22"/>
          <w:szCs w:val="22"/>
        </w:rPr>
        <w:t>10</w:t>
      </w:r>
      <w:r w:rsidRPr="003241C4">
        <w:rPr>
          <w:noProof/>
          <w:sz w:val="22"/>
          <w:szCs w:val="22"/>
        </w:rPr>
        <w:fldChar w:fldCharType="end"/>
      </w:r>
      <w:r w:rsidRPr="003241C4">
        <w:rPr>
          <w:sz w:val="22"/>
          <w:szCs w:val="22"/>
        </w:rPr>
        <w:noBreakHyphen/>
      </w:r>
      <w:r w:rsidRPr="003241C4">
        <w:rPr>
          <w:sz w:val="22"/>
          <w:szCs w:val="22"/>
        </w:rPr>
        <w:fldChar w:fldCharType="begin"/>
      </w:r>
      <w:r w:rsidRPr="003241C4">
        <w:rPr>
          <w:sz w:val="22"/>
          <w:szCs w:val="22"/>
        </w:rPr>
        <w:instrText xml:space="preserve"> SEQ Table \* ARABIC \s 1 </w:instrText>
      </w:r>
      <w:r w:rsidRPr="003241C4">
        <w:rPr>
          <w:sz w:val="22"/>
          <w:szCs w:val="22"/>
        </w:rPr>
        <w:fldChar w:fldCharType="separate"/>
      </w:r>
      <w:r w:rsidR="008A6A2B">
        <w:rPr>
          <w:noProof/>
          <w:sz w:val="22"/>
          <w:szCs w:val="22"/>
        </w:rPr>
        <w:t>11</w:t>
      </w:r>
      <w:r w:rsidRPr="003241C4">
        <w:rPr>
          <w:noProof/>
          <w:sz w:val="22"/>
          <w:szCs w:val="22"/>
        </w:rPr>
        <w:fldChar w:fldCharType="end"/>
      </w:r>
      <w:bookmarkEnd w:id="327"/>
      <w:r w:rsidRPr="003241C4">
        <w:rPr>
          <w:sz w:val="22"/>
          <w:szCs w:val="22"/>
        </w:rPr>
        <w:t xml:space="preserve"> Differences in </w:t>
      </w:r>
      <w:r w:rsidR="008C46A8">
        <w:rPr>
          <w:sz w:val="22"/>
          <w:szCs w:val="22"/>
        </w:rPr>
        <w:t>Ex-Post</w:t>
      </w:r>
      <w:r w:rsidRPr="003241C4">
        <w:rPr>
          <w:sz w:val="22"/>
          <w:szCs w:val="22"/>
        </w:rPr>
        <w:t xml:space="preserve"> and </w:t>
      </w:r>
      <w:r w:rsidR="008C46A8">
        <w:rPr>
          <w:sz w:val="22"/>
          <w:szCs w:val="22"/>
        </w:rPr>
        <w:t>Ex-Ante</w:t>
      </w:r>
      <w:r w:rsidRPr="003241C4">
        <w:rPr>
          <w:sz w:val="22"/>
          <w:szCs w:val="22"/>
        </w:rPr>
        <w:t xml:space="preserve"> Impacts Due to Key Factors</w:t>
      </w:r>
    </w:p>
    <w:tbl>
      <w:tblPr>
        <w:tblW w:w="4882" w:type="pct"/>
        <w:jc w:val="center"/>
        <w:tblInd w:w="-572" w:type="dxa"/>
        <w:tblLayout w:type="fixed"/>
        <w:tblLook w:val="04A0" w:firstRow="1" w:lastRow="0" w:firstColumn="1" w:lastColumn="0" w:noHBand="0" w:noVBand="1"/>
      </w:tblPr>
      <w:tblGrid>
        <w:gridCol w:w="1073"/>
        <w:gridCol w:w="974"/>
        <w:gridCol w:w="942"/>
        <w:gridCol w:w="1296"/>
        <w:gridCol w:w="1401"/>
        <w:gridCol w:w="879"/>
        <w:gridCol w:w="931"/>
        <w:gridCol w:w="913"/>
        <w:gridCol w:w="941"/>
      </w:tblGrid>
      <w:tr w:rsidR="004E705E" w:rsidRPr="00FB6F31" w:rsidTr="004E705E">
        <w:trPr>
          <w:trHeight w:val="900"/>
          <w:jc w:val="center"/>
        </w:trPr>
        <w:tc>
          <w:tcPr>
            <w:tcW w:w="573" w:type="pct"/>
            <w:vMerge w:val="restart"/>
            <w:tcBorders>
              <w:top w:val="single" w:sz="8" w:space="0" w:color="auto"/>
              <w:left w:val="single" w:sz="8" w:space="0" w:color="auto"/>
              <w:bottom w:val="single" w:sz="8" w:space="0" w:color="000000"/>
              <w:right w:val="single" w:sz="8" w:space="0" w:color="FFFFFF"/>
            </w:tcBorders>
            <w:shd w:val="clear" w:color="auto" w:fill="1F497D" w:themeFill="text2"/>
            <w:vAlign w:val="center"/>
            <w:hideMark/>
          </w:tcPr>
          <w:p w:rsidR="00DD0D4B" w:rsidRPr="00FB6F31" w:rsidRDefault="00DD0D4B" w:rsidP="00796333">
            <w:pPr>
              <w:pStyle w:val="TableHeader"/>
              <w:rPr>
                <w:rFonts w:ascii="Times New Roman" w:hAnsi="Times New Roman"/>
                <w:szCs w:val="20"/>
              </w:rPr>
            </w:pPr>
            <w:r w:rsidRPr="00FB6F31">
              <w:rPr>
                <w:rFonts w:ascii="Times New Roman" w:hAnsi="Times New Roman"/>
                <w:szCs w:val="20"/>
              </w:rPr>
              <w:t>Date</w:t>
            </w:r>
          </w:p>
        </w:tc>
        <w:tc>
          <w:tcPr>
            <w:tcW w:w="521" w:type="pct"/>
            <w:tcBorders>
              <w:top w:val="single" w:sz="8" w:space="0" w:color="auto"/>
              <w:left w:val="nil"/>
              <w:bottom w:val="single" w:sz="4" w:space="0" w:color="FFFFFF" w:themeColor="background1"/>
              <w:right w:val="single" w:sz="8" w:space="0" w:color="FFFFFF"/>
            </w:tcBorders>
            <w:shd w:val="clear" w:color="auto" w:fill="1F497D" w:themeFill="text2"/>
            <w:vAlign w:val="center"/>
            <w:hideMark/>
          </w:tcPr>
          <w:p w:rsidR="00DD0D4B" w:rsidRPr="00FB6F31" w:rsidRDefault="00DD0D4B" w:rsidP="00796333">
            <w:pPr>
              <w:pStyle w:val="TableHeader"/>
              <w:rPr>
                <w:rFonts w:ascii="Times New Roman" w:hAnsi="Times New Roman"/>
                <w:szCs w:val="20"/>
              </w:rPr>
            </w:pPr>
            <w:r w:rsidRPr="00FB6F31">
              <w:rPr>
                <w:rFonts w:ascii="Times New Roman" w:hAnsi="Times New Roman"/>
                <w:szCs w:val="20"/>
              </w:rPr>
              <w:t>Mean17</w:t>
            </w:r>
          </w:p>
        </w:tc>
        <w:tc>
          <w:tcPr>
            <w:tcW w:w="504" w:type="pct"/>
            <w:tcBorders>
              <w:top w:val="single" w:sz="8" w:space="0" w:color="auto"/>
              <w:left w:val="nil"/>
              <w:bottom w:val="single" w:sz="4" w:space="0" w:color="FFFFFF" w:themeColor="background1"/>
              <w:right w:val="single" w:sz="8" w:space="0" w:color="FFFFFF"/>
            </w:tcBorders>
            <w:shd w:val="clear" w:color="auto" w:fill="1F497D" w:themeFill="text2"/>
            <w:vAlign w:val="center"/>
            <w:hideMark/>
          </w:tcPr>
          <w:p w:rsidR="00DD0D4B" w:rsidRPr="00FB6F31" w:rsidRDefault="00DD0D4B" w:rsidP="00796333">
            <w:pPr>
              <w:pStyle w:val="TableHeader"/>
              <w:rPr>
                <w:rFonts w:ascii="Times New Roman" w:hAnsi="Times New Roman"/>
                <w:szCs w:val="20"/>
              </w:rPr>
            </w:pPr>
            <w:r w:rsidRPr="00FB6F31">
              <w:rPr>
                <w:rFonts w:ascii="Times New Roman" w:hAnsi="Times New Roman"/>
                <w:szCs w:val="20"/>
              </w:rPr>
              <w:t xml:space="preserve"> </w:t>
            </w:r>
            <w:r w:rsidR="008C46A8">
              <w:rPr>
                <w:rFonts w:ascii="Times New Roman" w:hAnsi="Times New Roman"/>
                <w:szCs w:val="20"/>
              </w:rPr>
              <w:t>Ex-Post</w:t>
            </w:r>
            <w:r w:rsidRPr="00FB6F31">
              <w:rPr>
                <w:rFonts w:ascii="Times New Roman" w:hAnsi="Times New Roman"/>
                <w:szCs w:val="20"/>
              </w:rPr>
              <w:t xml:space="preserve"> Impact</w:t>
            </w:r>
          </w:p>
        </w:tc>
        <w:tc>
          <w:tcPr>
            <w:tcW w:w="693" w:type="pct"/>
            <w:tcBorders>
              <w:top w:val="single" w:sz="8" w:space="0" w:color="auto"/>
              <w:left w:val="nil"/>
              <w:bottom w:val="single" w:sz="4" w:space="0" w:color="FFFFFF" w:themeColor="background1"/>
              <w:right w:val="single" w:sz="8" w:space="0" w:color="FFFFFF"/>
            </w:tcBorders>
            <w:shd w:val="clear" w:color="auto" w:fill="1F497D" w:themeFill="text2"/>
            <w:vAlign w:val="center"/>
            <w:hideMark/>
          </w:tcPr>
          <w:p w:rsidR="00DD0D4B" w:rsidRPr="00FB6F31" w:rsidRDefault="008C46A8" w:rsidP="00796333">
            <w:pPr>
              <w:pStyle w:val="TableHeader"/>
              <w:rPr>
                <w:rFonts w:ascii="Times New Roman" w:hAnsi="Times New Roman"/>
                <w:szCs w:val="20"/>
              </w:rPr>
            </w:pPr>
            <w:r>
              <w:rPr>
                <w:rFonts w:ascii="Times New Roman" w:hAnsi="Times New Roman"/>
                <w:szCs w:val="20"/>
              </w:rPr>
              <w:t>Ex-Post</w:t>
            </w:r>
            <w:r w:rsidR="00DD0D4B" w:rsidRPr="00FB6F31">
              <w:rPr>
                <w:rFonts w:ascii="Times New Roman" w:hAnsi="Times New Roman"/>
                <w:szCs w:val="20"/>
              </w:rPr>
              <w:t xml:space="preserve"> Impact with August 2016 </w:t>
            </w:r>
            <w:r>
              <w:rPr>
                <w:rFonts w:ascii="Times New Roman" w:hAnsi="Times New Roman"/>
                <w:szCs w:val="20"/>
              </w:rPr>
              <w:t>Ex-Ante</w:t>
            </w:r>
            <w:r w:rsidR="00DD0D4B" w:rsidRPr="00FB6F31">
              <w:rPr>
                <w:rFonts w:ascii="Times New Roman" w:hAnsi="Times New Roman"/>
                <w:szCs w:val="20"/>
              </w:rPr>
              <w:t xml:space="preserve"> Enrollment</w:t>
            </w:r>
          </w:p>
        </w:tc>
        <w:tc>
          <w:tcPr>
            <w:tcW w:w="749" w:type="pct"/>
            <w:tcBorders>
              <w:top w:val="single" w:sz="8" w:space="0" w:color="auto"/>
              <w:left w:val="single" w:sz="8" w:space="0" w:color="FFFFFF"/>
              <w:bottom w:val="single" w:sz="4" w:space="0" w:color="FFFFFF" w:themeColor="background1"/>
              <w:right w:val="single" w:sz="8" w:space="0" w:color="FFFFFF"/>
            </w:tcBorders>
            <w:shd w:val="clear" w:color="auto" w:fill="1F497D" w:themeFill="text2"/>
            <w:vAlign w:val="center"/>
            <w:hideMark/>
          </w:tcPr>
          <w:p w:rsidR="00DD0D4B" w:rsidRPr="00FB6F31" w:rsidRDefault="008C46A8" w:rsidP="00796333">
            <w:pPr>
              <w:pStyle w:val="TableHeader"/>
              <w:rPr>
                <w:rFonts w:ascii="Times New Roman" w:hAnsi="Times New Roman"/>
                <w:szCs w:val="20"/>
              </w:rPr>
            </w:pPr>
            <w:r>
              <w:rPr>
                <w:rFonts w:ascii="Times New Roman" w:hAnsi="Times New Roman"/>
                <w:szCs w:val="20"/>
              </w:rPr>
              <w:t>Ex-Ante</w:t>
            </w:r>
            <w:r w:rsidR="00DD0D4B" w:rsidRPr="00FB6F31">
              <w:rPr>
                <w:rFonts w:ascii="Times New Roman" w:hAnsi="Times New Roman"/>
                <w:szCs w:val="20"/>
              </w:rPr>
              <w:t xml:space="preserve"> Model </w:t>
            </w:r>
            <w:r>
              <w:rPr>
                <w:rFonts w:ascii="Times New Roman" w:hAnsi="Times New Roman"/>
                <w:szCs w:val="20"/>
              </w:rPr>
              <w:t>Ex-Post</w:t>
            </w:r>
            <w:r w:rsidR="00DD0D4B" w:rsidRPr="00FB6F31">
              <w:rPr>
                <w:rFonts w:ascii="Times New Roman" w:hAnsi="Times New Roman"/>
                <w:szCs w:val="20"/>
              </w:rPr>
              <w:t xml:space="preserve"> Weather and Event Window</w:t>
            </w:r>
          </w:p>
        </w:tc>
        <w:tc>
          <w:tcPr>
            <w:tcW w:w="470" w:type="pct"/>
            <w:tcBorders>
              <w:top w:val="single" w:sz="8" w:space="0" w:color="auto"/>
              <w:left w:val="nil"/>
              <w:bottom w:val="single" w:sz="4" w:space="0" w:color="FFFFFF" w:themeColor="background1"/>
              <w:right w:val="single" w:sz="8" w:space="0" w:color="FFFFFF"/>
            </w:tcBorders>
            <w:shd w:val="clear" w:color="auto" w:fill="1F497D" w:themeFill="text2"/>
            <w:vAlign w:val="center"/>
            <w:hideMark/>
          </w:tcPr>
          <w:p w:rsidR="00DD0D4B" w:rsidRPr="00FB6F31" w:rsidRDefault="00DD0D4B" w:rsidP="00796333">
            <w:pPr>
              <w:pStyle w:val="TableHeader"/>
              <w:rPr>
                <w:rFonts w:ascii="Times New Roman" w:hAnsi="Times New Roman"/>
                <w:szCs w:val="20"/>
              </w:rPr>
            </w:pPr>
            <w:r w:rsidRPr="00FB6F31">
              <w:rPr>
                <w:rFonts w:ascii="Times New Roman" w:hAnsi="Times New Roman"/>
                <w:szCs w:val="20"/>
              </w:rPr>
              <w:t>CAISO 1-in-2</w:t>
            </w:r>
          </w:p>
        </w:tc>
        <w:tc>
          <w:tcPr>
            <w:tcW w:w="498" w:type="pct"/>
            <w:tcBorders>
              <w:top w:val="single" w:sz="8" w:space="0" w:color="auto"/>
              <w:left w:val="nil"/>
              <w:bottom w:val="single" w:sz="4" w:space="0" w:color="FFFFFF" w:themeColor="background1"/>
              <w:right w:val="single" w:sz="8" w:space="0" w:color="FFFFFF"/>
            </w:tcBorders>
            <w:shd w:val="clear" w:color="auto" w:fill="1F497D" w:themeFill="text2"/>
            <w:vAlign w:val="center"/>
            <w:hideMark/>
          </w:tcPr>
          <w:p w:rsidR="00DD0D4B" w:rsidRPr="00FB6F31" w:rsidRDefault="00DD0D4B" w:rsidP="00796333">
            <w:pPr>
              <w:pStyle w:val="TableHeader"/>
              <w:rPr>
                <w:rFonts w:ascii="Times New Roman" w:hAnsi="Times New Roman"/>
                <w:szCs w:val="20"/>
              </w:rPr>
            </w:pPr>
            <w:r w:rsidRPr="00FB6F31">
              <w:rPr>
                <w:rFonts w:ascii="Times New Roman" w:hAnsi="Times New Roman"/>
                <w:szCs w:val="20"/>
              </w:rPr>
              <w:t>SDG&amp;E 1-in-2</w:t>
            </w:r>
          </w:p>
        </w:tc>
        <w:tc>
          <w:tcPr>
            <w:tcW w:w="488" w:type="pct"/>
            <w:tcBorders>
              <w:top w:val="single" w:sz="8" w:space="0" w:color="auto"/>
              <w:left w:val="nil"/>
              <w:bottom w:val="single" w:sz="4" w:space="0" w:color="FFFFFF" w:themeColor="background1"/>
              <w:right w:val="single" w:sz="8" w:space="0" w:color="FFFFFF"/>
            </w:tcBorders>
            <w:shd w:val="clear" w:color="auto" w:fill="1F497D" w:themeFill="text2"/>
            <w:vAlign w:val="center"/>
            <w:hideMark/>
          </w:tcPr>
          <w:p w:rsidR="00DD0D4B" w:rsidRPr="00FB6F31" w:rsidRDefault="00DD0D4B" w:rsidP="00796333">
            <w:pPr>
              <w:pStyle w:val="TableHeader"/>
              <w:rPr>
                <w:rFonts w:ascii="Times New Roman" w:hAnsi="Times New Roman"/>
                <w:szCs w:val="20"/>
              </w:rPr>
            </w:pPr>
            <w:r w:rsidRPr="00FB6F31">
              <w:rPr>
                <w:rFonts w:ascii="Times New Roman" w:hAnsi="Times New Roman"/>
                <w:szCs w:val="20"/>
              </w:rPr>
              <w:t xml:space="preserve">CAISO </w:t>
            </w:r>
            <w:r w:rsidRPr="00FB6F31">
              <w:rPr>
                <w:rFonts w:ascii="Times New Roman" w:hAnsi="Times New Roman"/>
                <w:szCs w:val="20"/>
              </w:rPr>
              <w:br/>
              <w:t>1-in-10</w:t>
            </w:r>
          </w:p>
        </w:tc>
        <w:tc>
          <w:tcPr>
            <w:tcW w:w="503" w:type="pct"/>
            <w:tcBorders>
              <w:top w:val="single" w:sz="8" w:space="0" w:color="auto"/>
              <w:left w:val="nil"/>
              <w:bottom w:val="single" w:sz="4" w:space="0" w:color="FFFFFF" w:themeColor="background1"/>
              <w:right w:val="single" w:sz="8" w:space="0" w:color="auto"/>
            </w:tcBorders>
            <w:shd w:val="clear" w:color="auto" w:fill="1F497D" w:themeFill="text2"/>
            <w:vAlign w:val="center"/>
            <w:hideMark/>
          </w:tcPr>
          <w:p w:rsidR="00DD0D4B" w:rsidRPr="00FB6F31" w:rsidRDefault="00DD0D4B" w:rsidP="00796333">
            <w:pPr>
              <w:pStyle w:val="TableHeader"/>
              <w:rPr>
                <w:rFonts w:ascii="Times New Roman" w:hAnsi="Times New Roman"/>
                <w:szCs w:val="20"/>
              </w:rPr>
            </w:pPr>
            <w:r w:rsidRPr="00FB6F31">
              <w:rPr>
                <w:rFonts w:ascii="Times New Roman" w:hAnsi="Times New Roman"/>
                <w:szCs w:val="20"/>
              </w:rPr>
              <w:t>SDG&amp;E 1-in-10</w:t>
            </w:r>
          </w:p>
        </w:tc>
      </w:tr>
      <w:tr w:rsidR="004E705E" w:rsidRPr="00FB6F31" w:rsidTr="004E705E">
        <w:trPr>
          <w:trHeight w:val="315"/>
          <w:jc w:val="center"/>
        </w:trPr>
        <w:tc>
          <w:tcPr>
            <w:tcW w:w="573" w:type="pct"/>
            <w:vMerge/>
            <w:tcBorders>
              <w:top w:val="single" w:sz="8" w:space="0" w:color="auto"/>
              <w:left w:val="single" w:sz="8" w:space="0" w:color="auto"/>
              <w:bottom w:val="single" w:sz="8" w:space="0" w:color="000000"/>
              <w:right w:val="single" w:sz="8" w:space="0" w:color="FFFFFF"/>
            </w:tcBorders>
            <w:shd w:val="clear" w:color="auto" w:fill="1F497D" w:themeFill="text2"/>
            <w:vAlign w:val="center"/>
            <w:hideMark/>
          </w:tcPr>
          <w:p w:rsidR="00DD0D4B" w:rsidRPr="00FB6F31" w:rsidRDefault="00DD0D4B" w:rsidP="00796333">
            <w:pPr>
              <w:pStyle w:val="TableHeader"/>
              <w:rPr>
                <w:rFonts w:ascii="Times New Roman" w:hAnsi="Times New Roman"/>
                <w:szCs w:val="20"/>
              </w:rPr>
            </w:pPr>
          </w:p>
        </w:tc>
        <w:tc>
          <w:tcPr>
            <w:tcW w:w="521" w:type="pct"/>
            <w:tcBorders>
              <w:top w:val="single" w:sz="4" w:space="0" w:color="FFFFFF" w:themeColor="background1"/>
              <w:left w:val="nil"/>
              <w:bottom w:val="single" w:sz="8" w:space="0" w:color="auto"/>
              <w:right w:val="single" w:sz="8" w:space="0" w:color="FFFFFF"/>
            </w:tcBorders>
            <w:shd w:val="clear" w:color="auto" w:fill="1F497D" w:themeFill="text2"/>
            <w:vAlign w:val="center"/>
            <w:hideMark/>
          </w:tcPr>
          <w:p w:rsidR="00DD0D4B" w:rsidRPr="00FB6F31" w:rsidRDefault="00DD0D4B" w:rsidP="00796333">
            <w:pPr>
              <w:pStyle w:val="TableHeader"/>
              <w:rPr>
                <w:rFonts w:ascii="Times New Roman" w:hAnsi="Times New Roman"/>
                <w:szCs w:val="20"/>
              </w:rPr>
            </w:pPr>
            <w:r w:rsidRPr="00FB6F31">
              <w:rPr>
                <w:rFonts w:ascii="Times New Roman" w:hAnsi="Times New Roman"/>
                <w:szCs w:val="20"/>
              </w:rPr>
              <w:t>(°F)</w:t>
            </w:r>
          </w:p>
        </w:tc>
        <w:tc>
          <w:tcPr>
            <w:tcW w:w="504" w:type="pct"/>
            <w:tcBorders>
              <w:top w:val="single" w:sz="4" w:space="0" w:color="FFFFFF" w:themeColor="background1"/>
              <w:left w:val="nil"/>
              <w:bottom w:val="single" w:sz="8" w:space="0" w:color="auto"/>
              <w:right w:val="single" w:sz="8" w:space="0" w:color="FFFFFF"/>
            </w:tcBorders>
            <w:shd w:val="clear" w:color="auto" w:fill="1F497D" w:themeFill="text2"/>
            <w:vAlign w:val="center"/>
            <w:hideMark/>
          </w:tcPr>
          <w:p w:rsidR="00DD0D4B" w:rsidRPr="00FB6F31" w:rsidRDefault="00DD0D4B" w:rsidP="00796333">
            <w:pPr>
              <w:pStyle w:val="TableHeader"/>
              <w:rPr>
                <w:rFonts w:ascii="Times New Roman" w:hAnsi="Times New Roman"/>
                <w:szCs w:val="20"/>
              </w:rPr>
            </w:pPr>
            <w:r w:rsidRPr="00FB6F31">
              <w:rPr>
                <w:rFonts w:ascii="Times New Roman" w:hAnsi="Times New Roman"/>
                <w:szCs w:val="20"/>
              </w:rPr>
              <w:t>(MW)</w:t>
            </w:r>
          </w:p>
        </w:tc>
        <w:tc>
          <w:tcPr>
            <w:tcW w:w="693" w:type="pct"/>
            <w:tcBorders>
              <w:top w:val="single" w:sz="4" w:space="0" w:color="FFFFFF" w:themeColor="background1"/>
              <w:left w:val="nil"/>
              <w:bottom w:val="single" w:sz="8" w:space="0" w:color="auto"/>
              <w:right w:val="single" w:sz="8" w:space="0" w:color="FFFFFF"/>
            </w:tcBorders>
            <w:shd w:val="clear" w:color="auto" w:fill="1F497D" w:themeFill="text2"/>
            <w:vAlign w:val="center"/>
            <w:hideMark/>
          </w:tcPr>
          <w:p w:rsidR="00DD0D4B" w:rsidRPr="00FB6F31" w:rsidRDefault="00DD0D4B" w:rsidP="00796333">
            <w:pPr>
              <w:pStyle w:val="TableHeader"/>
              <w:rPr>
                <w:rFonts w:ascii="Times New Roman" w:hAnsi="Times New Roman"/>
                <w:szCs w:val="20"/>
              </w:rPr>
            </w:pPr>
            <w:r w:rsidRPr="00FB6F31">
              <w:rPr>
                <w:rFonts w:ascii="Times New Roman" w:hAnsi="Times New Roman"/>
                <w:szCs w:val="20"/>
              </w:rPr>
              <w:t>(MW)</w:t>
            </w:r>
          </w:p>
        </w:tc>
        <w:tc>
          <w:tcPr>
            <w:tcW w:w="749" w:type="pct"/>
            <w:tcBorders>
              <w:top w:val="single" w:sz="4" w:space="0" w:color="FFFFFF" w:themeColor="background1"/>
              <w:left w:val="single" w:sz="8" w:space="0" w:color="FFFFFF"/>
              <w:bottom w:val="single" w:sz="8" w:space="0" w:color="000000"/>
              <w:right w:val="single" w:sz="8" w:space="0" w:color="FFFFFF"/>
            </w:tcBorders>
            <w:shd w:val="clear" w:color="auto" w:fill="1F497D" w:themeFill="text2"/>
            <w:vAlign w:val="center"/>
            <w:hideMark/>
          </w:tcPr>
          <w:p w:rsidR="00DD0D4B" w:rsidRPr="00FB6F31" w:rsidRDefault="00DD0D4B" w:rsidP="00796333">
            <w:pPr>
              <w:pStyle w:val="TableHeader"/>
              <w:rPr>
                <w:rFonts w:ascii="Times New Roman" w:hAnsi="Times New Roman"/>
                <w:szCs w:val="20"/>
              </w:rPr>
            </w:pPr>
            <w:r w:rsidRPr="00FB6F31">
              <w:rPr>
                <w:rFonts w:ascii="Times New Roman" w:hAnsi="Times New Roman"/>
                <w:szCs w:val="20"/>
              </w:rPr>
              <w:t>(MW)</w:t>
            </w:r>
          </w:p>
        </w:tc>
        <w:tc>
          <w:tcPr>
            <w:tcW w:w="470" w:type="pct"/>
            <w:tcBorders>
              <w:top w:val="single" w:sz="4" w:space="0" w:color="FFFFFF" w:themeColor="background1"/>
              <w:left w:val="nil"/>
              <w:bottom w:val="single" w:sz="8" w:space="0" w:color="auto"/>
              <w:right w:val="single" w:sz="8" w:space="0" w:color="FFFFFF"/>
            </w:tcBorders>
            <w:shd w:val="clear" w:color="auto" w:fill="1F497D" w:themeFill="text2"/>
            <w:vAlign w:val="center"/>
            <w:hideMark/>
          </w:tcPr>
          <w:p w:rsidR="00DD0D4B" w:rsidRPr="00FB6F31" w:rsidRDefault="00DD0D4B" w:rsidP="00796333">
            <w:pPr>
              <w:pStyle w:val="TableHeader"/>
              <w:rPr>
                <w:rFonts w:ascii="Times New Roman" w:hAnsi="Times New Roman"/>
                <w:szCs w:val="20"/>
              </w:rPr>
            </w:pPr>
            <w:r w:rsidRPr="00FB6F31">
              <w:rPr>
                <w:rFonts w:ascii="Times New Roman" w:hAnsi="Times New Roman"/>
                <w:szCs w:val="20"/>
              </w:rPr>
              <w:t>(MW)</w:t>
            </w:r>
          </w:p>
        </w:tc>
        <w:tc>
          <w:tcPr>
            <w:tcW w:w="498" w:type="pct"/>
            <w:tcBorders>
              <w:top w:val="single" w:sz="4" w:space="0" w:color="FFFFFF" w:themeColor="background1"/>
              <w:left w:val="nil"/>
              <w:bottom w:val="single" w:sz="8" w:space="0" w:color="auto"/>
              <w:right w:val="single" w:sz="8" w:space="0" w:color="FFFFFF"/>
            </w:tcBorders>
            <w:shd w:val="clear" w:color="auto" w:fill="1F497D" w:themeFill="text2"/>
            <w:vAlign w:val="center"/>
            <w:hideMark/>
          </w:tcPr>
          <w:p w:rsidR="00DD0D4B" w:rsidRPr="00FB6F31" w:rsidRDefault="00DD0D4B" w:rsidP="00796333">
            <w:pPr>
              <w:pStyle w:val="TableHeader"/>
              <w:rPr>
                <w:rFonts w:ascii="Times New Roman" w:hAnsi="Times New Roman"/>
                <w:szCs w:val="20"/>
              </w:rPr>
            </w:pPr>
            <w:r w:rsidRPr="00FB6F31">
              <w:rPr>
                <w:rFonts w:ascii="Times New Roman" w:hAnsi="Times New Roman"/>
                <w:szCs w:val="20"/>
              </w:rPr>
              <w:t>(MW)</w:t>
            </w:r>
          </w:p>
        </w:tc>
        <w:tc>
          <w:tcPr>
            <w:tcW w:w="488" w:type="pct"/>
            <w:tcBorders>
              <w:top w:val="single" w:sz="4" w:space="0" w:color="FFFFFF" w:themeColor="background1"/>
              <w:left w:val="nil"/>
              <w:bottom w:val="single" w:sz="8" w:space="0" w:color="auto"/>
              <w:right w:val="single" w:sz="8" w:space="0" w:color="FFFFFF"/>
            </w:tcBorders>
            <w:shd w:val="clear" w:color="auto" w:fill="1F497D" w:themeFill="text2"/>
            <w:vAlign w:val="center"/>
            <w:hideMark/>
          </w:tcPr>
          <w:p w:rsidR="00DD0D4B" w:rsidRPr="00FB6F31" w:rsidRDefault="00DD0D4B" w:rsidP="00796333">
            <w:pPr>
              <w:pStyle w:val="TableHeader"/>
              <w:rPr>
                <w:rFonts w:ascii="Times New Roman" w:hAnsi="Times New Roman"/>
                <w:szCs w:val="20"/>
              </w:rPr>
            </w:pPr>
            <w:r w:rsidRPr="00FB6F31">
              <w:rPr>
                <w:rFonts w:ascii="Times New Roman" w:hAnsi="Times New Roman"/>
                <w:szCs w:val="20"/>
              </w:rPr>
              <w:t>(MW)</w:t>
            </w:r>
          </w:p>
        </w:tc>
        <w:tc>
          <w:tcPr>
            <w:tcW w:w="503" w:type="pct"/>
            <w:tcBorders>
              <w:top w:val="single" w:sz="4" w:space="0" w:color="FFFFFF" w:themeColor="background1"/>
              <w:left w:val="nil"/>
              <w:bottom w:val="single" w:sz="8" w:space="0" w:color="auto"/>
              <w:right w:val="single" w:sz="8" w:space="0" w:color="auto"/>
            </w:tcBorders>
            <w:shd w:val="clear" w:color="auto" w:fill="1F497D" w:themeFill="text2"/>
            <w:vAlign w:val="center"/>
            <w:hideMark/>
          </w:tcPr>
          <w:p w:rsidR="00DD0D4B" w:rsidRPr="00FB6F31" w:rsidRDefault="00DD0D4B" w:rsidP="00796333">
            <w:pPr>
              <w:pStyle w:val="TableHeader"/>
              <w:rPr>
                <w:rFonts w:ascii="Times New Roman" w:hAnsi="Times New Roman"/>
                <w:szCs w:val="20"/>
              </w:rPr>
            </w:pPr>
            <w:r w:rsidRPr="00FB6F31">
              <w:rPr>
                <w:rFonts w:ascii="Times New Roman" w:hAnsi="Times New Roman"/>
                <w:szCs w:val="20"/>
              </w:rPr>
              <w:t>(MW)</w:t>
            </w:r>
          </w:p>
        </w:tc>
      </w:tr>
      <w:tr w:rsidR="004E705E" w:rsidRPr="00FB6F31" w:rsidTr="004E705E">
        <w:trPr>
          <w:trHeight w:val="315"/>
          <w:jc w:val="center"/>
        </w:trPr>
        <w:tc>
          <w:tcPr>
            <w:tcW w:w="573" w:type="pct"/>
            <w:tcBorders>
              <w:top w:val="nil"/>
              <w:left w:val="single" w:sz="8" w:space="0" w:color="auto"/>
              <w:bottom w:val="single" w:sz="8" w:space="0" w:color="auto"/>
              <w:right w:val="single" w:sz="8" w:space="0" w:color="auto"/>
            </w:tcBorders>
            <w:shd w:val="clear" w:color="auto" w:fill="auto"/>
            <w:noWrap/>
            <w:vAlign w:val="center"/>
            <w:hideMark/>
          </w:tcPr>
          <w:p w:rsidR="00DD0D4B" w:rsidRPr="00FB6F31" w:rsidRDefault="00DD0D4B" w:rsidP="00796333">
            <w:pPr>
              <w:spacing w:before="60" w:after="60"/>
              <w:jc w:val="center"/>
              <w:rPr>
                <w:sz w:val="20"/>
                <w:szCs w:val="20"/>
              </w:rPr>
            </w:pPr>
            <w:r w:rsidRPr="00FB6F31">
              <w:rPr>
                <w:sz w:val="20"/>
                <w:szCs w:val="20"/>
              </w:rPr>
              <w:t>8/28/2015</w:t>
            </w:r>
          </w:p>
        </w:tc>
        <w:tc>
          <w:tcPr>
            <w:tcW w:w="521"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82.2</w:t>
            </w:r>
          </w:p>
        </w:tc>
        <w:tc>
          <w:tcPr>
            <w:tcW w:w="504"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1.8</w:t>
            </w:r>
          </w:p>
        </w:tc>
        <w:tc>
          <w:tcPr>
            <w:tcW w:w="693"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2.1</w:t>
            </w:r>
          </w:p>
        </w:tc>
        <w:tc>
          <w:tcPr>
            <w:tcW w:w="749"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3.4</w:t>
            </w:r>
          </w:p>
        </w:tc>
        <w:tc>
          <w:tcPr>
            <w:tcW w:w="470"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DD0D4B" w:rsidRPr="00FB6F31" w:rsidRDefault="00DD0D4B" w:rsidP="00796333">
            <w:pPr>
              <w:jc w:val="center"/>
              <w:rPr>
                <w:color w:val="000000"/>
                <w:sz w:val="20"/>
                <w:szCs w:val="20"/>
              </w:rPr>
            </w:pPr>
            <w:r w:rsidRPr="00FB6F31">
              <w:rPr>
                <w:color w:val="000000"/>
                <w:sz w:val="20"/>
                <w:szCs w:val="20"/>
              </w:rPr>
              <w:t>2.0</w:t>
            </w:r>
          </w:p>
        </w:tc>
        <w:tc>
          <w:tcPr>
            <w:tcW w:w="49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DD0D4B" w:rsidRPr="00FB6F31" w:rsidRDefault="00DD0D4B" w:rsidP="00796333">
            <w:pPr>
              <w:jc w:val="center"/>
              <w:rPr>
                <w:color w:val="000000"/>
                <w:sz w:val="20"/>
                <w:szCs w:val="20"/>
              </w:rPr>
            </w:pPr>
            <w:r w:rsidRPr="00FB6F31">
              <w:rPr>
                <w:color w:val="000000"/>
                <w:sz w:val="20"/>
                <w:szCs w:val="20"/>
              </w:rPr>
              <w:t>1.9</w:t>
            </w:r>
          </w:p>
        </w:tc>
        <w:tc>
          <w:tcPr>
            <w:tcW w:w="488"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DD0D4B" w:rsidRPr="00FB6F31" w:rsidRDefault="00DD0D4B" w:rsidP="00796333">
            <w:pPr>
              <w:jc w:val="center"/>
              <w:rPr>
                <w:color w:val="000000"/>
                <w:sz w:val="20"/>
                <w:szCs w:val="20"/>
              </w:rPr>
            </w:pPr>
            <w:r w:rsidRPr="00FB6F31">
              <w:rPr>
                <w:color w:val="000000"/>
                <w:sz w:val="20"/>
                <w:szCs w:val="20"/>
              </w:rPr>
              <w:t>2.4</w:t>
            </w:r>
          </w:p>
        </w:tc>
        <w:tc>
          <w:tcPr>
            <w:tcW w:w="503"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DD0D4B" w:rsidRPr="00FB6F31" w:rsidRDefault="00DD0D4B" w:rsidP="00796333">
            <w:pPr>
              <w:jc w:val="center"/>
              <w:rPr>
                <w:color w:val="000000"/>
                <w:sz w:val="20"/>
                <w:szCs w:val="20"/>
              </w:rPr>
            </w:pPr>
            <w:r w:rsidRPr="00FB6F31">
              <w:rPr>
                <w:color w:val="000000"/>
                <w:sz w:val="20"/>
                <w:szCs w:val="20"/>
              </w:rPr>
              <w:t>2.7</w:t>
            </w:r>
          </w:p>
        </w:tc>
      </w:tr>
      <w:tr w:rsidR="004E705E" w:rsidRPr="00FB6F31" w:rsidTr="004E705E">
        <w:trPr>
          <w:trHeight w:val="315"/>
          <w:jc w:val="center"/>
        </w:trPr>
        <w:tc>
          <w:tcPr>
            <w:tcW w:w="573" w:type="pct"/>
            <w:tcBorders>
              <w:top w:val="nil"/>
              <w:left w:val="single" w:sz="8" w:space="0" w:color="auto"/>
              <w:bottom w:val="single" w:sz="8" w:space="0" w:color="auto"/>
              <w:right w:val="single" w:sz="8" w:space="0" w:color="auto"/>
            </w:tcBorders>
            <w:shd w:val="clear" w:color="auto" w:fill="auto"/>
            <w:noWrap/>
            <w:vAlign w:val="center"/>
            <w:hideMark/>
          </w:tcPr>
          <w:p w:rsidR="00DD0D4B" w:rsidRPr="00FB6F31" w:rsidRDefault="00DD0D4B" w:rsidP="00796333">
            <w:pPr>
              <w:spacing w:before="60" w:after="60"/>
              <w:jc w:val="center"/>
              <w:rPr>
                <w:sz w:val="20"/>
                <w:szCs w:val="20"/>
              </w:rPr>
            </w:pPr>
            <w:r w:rsidRPr="00FB6F31">
              <w:rPr>
                <w:sz w:val="20"/>
                <w:szCs w:val="20"/>
              </w:rPr>
              <w:t>9/9/2015</w:t>
            </w:r>
          </w:p>
        </w:tc>
        <w:tc>
          <w:tcPr>
            <w:tcW w:w="521"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86.5</w:t>
            </w:r>
          </w:p>
        </w:tc>
        <w:tc>
          <w:tcPr>
            <w:tcW w:w="504"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3.1</w:t>
            </w:r>
          </w:p>
        </w:tc>
        <w:tc>
          <w:tcPr>
            <w:tcW w:w="693"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3.7</w:t>
            </w:r>
          </w:p>
        </w:tc>
        <w:tc>
          <w:tcPr>
            <w:tcW w:w="749"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4.0</w:t>
            </w:r>
          </w:p>
        </w:tc>
        <w:tc>
          <w:tcPr>
            <w:tcW w:w="470" w:type="pct"/>
            <w:vMerge/>
            <w:tcBorders>
              <w:top w:val="nil"/>
              <w:left w:val="single" w:sz="8" w:space="0" w:color="auto"/>
              <w:bottom w:val="single" w:sz="8" w:space="0" w:color="000000"/>
              <w:right w:val="single" w:sz="8" w:space="0" w:color="auto"/>
            </w:tcBorders>
            <w:vAlign w:val="center"/>
            <w:hideMark/>
          </w:tcPr>
          <w:p w:rsidR="00DD0D4B" w:rsidRPr="00FB6F31" w:rsidRDefault="00DD0D4B" w:rsidP="00796333">
            <w:pPr>
              <w:spacing w:before="60" w:after="60"/>
              <w:jc w:val="center"/>
              <w:rPr>
                <w:sz w:val="20"/>
                <w:szCs w:val="20"/>
              </w:rPr>
            </w:pPr>
          </w:p>
        </w:tc>
        <w:tc>
          <w:tcPr>
            <w:tcW w:w="498" w:type="pct"/>
            <w:vMerge/>
            <w:tcBorders>
              <w:top w:val="nil"/>
              <w:left w:val="single" w:sz="8" w:space="0" w:color="auto"/>
              <w:bottom w:val="single" w:sz="8" w:space="0" w:color="000000"/>
              <w:right w:val="single" w:sz="8" w:space="0" w:color="auto"/>
            </w:tcBorders>
            <w:vAlign w:val="center"/>
            <w:hideMark/>
          </w:tcPr>
          <w:p w:rsidR="00DD0D4B" w:rsidRPr="00FB6F31" w:rsidRDefault="00DD0D4B" w:rsidP="00796333">
            <w:pPr>
              <w:spacing w:before="60" w:after="60"/>
              <w:jc w:val="center"/>
              <w:rPr>
                <w:sz w:val="20"/>
                <w:szCs w:val="20"/>
              </w:rPr>
            </w:pPr>
          </w:p>
        </w:tc>
        <w:tc>
          <w:tcPr>
            <w:tcW w:w="488" w:type="pct"/>
            <w:vMerge/>
            <w:tcBorders>
              <w:top w:val="nil"/>
              <w:left w:val="single" w:sz="8" w:space="0" w:color="auto"/>
              <w:bottom w:val="single" w:sz="8" w:space="0" w:color="000000"/>
              <w:right w:val="single" w:sz="8" w:space="0" w:color="auto"/>
            </w:tcBorders>
            <w:vAlign w:val="center"/>
            <w:hideMark/>
          </w:tcPr>
          <w:p w:rsidR="00DD0D4B" w:rsidRPr="00FB6F31" w:rsidRDefault="00DD0D4B" w:rsidP="00796333">
            <w:pPr>
              <w:spacing w:before="60" w:after="60"/>
              <w:jc w:val="center"/>
              <w:rPr>
                <w:sz w:val="20"/>
                <w:szCs w:val="20"/>
              </w:rPr>
            </w:pPr>
          </w:p>
        </w:tc>
        <w:tc>
          <w:tcPr>
            <w:tcW w:w="503" w:type="pct"/>
            <w:vMerge/>
            <w:tcBorders>
              <w:top w:val="nil"/>
              <w:left w:val="single" w:sz="8" w:space="0" w:color="auto"/>
              <w:bottom w:val="single" w:sz="8" w:space="0" w:color="000000"/>
              <w:right w:val="single" w:sz="8" w:space="0" w:color="auto"/>
            </w:tcBorders>
            <w:vAlign w:val="center"/>
            <w:hideMark/>
          </w:tcPr>
          <w:p w:rsidR="00DD0D4B" w:rsidRPr="00FB6F31" w:rsidRDefault="00DD0D4B" w:rsidP="00796333">
            <w:pPr>
              <w:spacing w:before="60" w:after="60"/>
              <w:jc w:val="center"/>
              <w:rPr>
                <w:sz w:val="20"/>
                <w:szCs w:val="20"/>
              </w:rPr>
            </w:pPr>
          </w:p>
        </w:tc>
      </w:tr>
      <w:tr w:rsidR="004E705E" w:rsidRPr="00FB6F31" w:rsidTr="004E705E">
        <w:trPr>
          <w:trHeight w:val="315"/>
          <w:jc w:val="center"/>
        </w:trPr>
        <w:tc>
          <w:tcPr>
            <w:tcW w:w="573" w:type="pct"/>
            <w:tcBorders>
              <w:top w:val="nil"/>
              <w:left w:val="single" w:sz="8" w:space="0" w:color="auto"/>
              <w:bottom w:val="single" w:sz="8" w:space="0" w:color="auto"/>
              <w:right w:val="single" w:sz="8" w:space="0" w:color="auto"/>
            </w:tcBorders>
            <w:shd w:val="clear" w:color="auto" w:fill="auto"/>
            <w:noWrap/>
            <w:vAlign w:val="center"/>
            <w:hideMark/>
          </w:tcPr>
          <w:p w:rsidR="00DD0D4B" w:rsidRPr="00FB6F31" w:rsidRDefault="00DD0D4B" w:rsidP="00796333">
            <w:pPr>
              <w:spacing w:before="60" w:after="60"/>
              <w:jc w:val="center"/>
              <w:rPr>
                <w:sz w:val="20"/>
                <w:szCs w:val="20"/>
              </w:rPr>
            </w:pPr>
            <w:r w:rsidRPr="00FB6F31">
              <w:rPr>
                <w:sz w:val="20"/>
                <w:szCs w:val="20"/>
              </w:rPr>
              <w:t>9/10/2015</w:t>
            </w:r>
          </w:p>
        </w:tc>
        <w:tc>
          <w:tcPr>
            <w:tcW w:w="521"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85.2</w:t>
            </w:r>
          </w:p>
        </w:tc>
        <w:tc>
          <w:tcPr>
            <w:tcW w:w="504"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3.7</w:t>
            </w:r>
          </w:p>
        </w:tc>
        <w:tc>
          <w:tcPr>
            <w:tcW w:w="693"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4.4</w:t>
            </w:r>
          </w:p>
        </w:tc>
        <w:tc>
          <w:tcPr>
            <w:tcW w:w="749"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3.8</w:t>
            </w:r>
          </w:p>
        </w:tc>
        <w:tc>
          <w:tcPr>
            <w:tcW w:w="470" w:type="pct"/>
            <w:vMerge/>
            <w:tcBorders>
              <w:top w:val="nil"/>
              <w:left w:val="single" w:sz="8" w:space="0" w:color="auto"/>
              <w:bottom w:val="single" w:sz="8" w:space="0" w:color="000000"/>
              <w:right w:val="single" w:sz="8" w:space="0" w:color="auto"/>
            </w:tcBorders>
            <w:vAlign w:val="center"/>
            <w:hideMark/>
          </w:tcPr>
          <w:p w:rsidR="00DD0D4B" w:rsidRPr="00FB6F31" w:rsidRDefault="00DD0D4B" w:rsidP="00796333">
            <w:pPr>
              <w:spacing w:before="60" w:after="60"/>
              <w:jc w:val="center"/>
              <w:rPr>
                <w:sz w:val="20"/>
                <w:szCs w:val="20"/>
              </w:rPr>
            </w:pPr>
          </w:p>
        </w:tc>
        <w:tc>
          <w:tcPr>
            <w:tcW w:w="498" w:type="pct"/>
            <w:vMerge/>
            <w:tcBorders>
              <w:top w:val="nil"/>
              <w:left w:val="single" w:sz="8" w:space="0" w:color="auto"/>
              <w:bottom w:val="single" w:sz="8" w:space="0" w:color="000000"/>
              <w:right w:val="single" w:sz="8" w:space="0" w:color="auto"/>
            </w:tcBorders>
            <w:vAlign w:val="center"/>
            <w:hideMark/>
          </w:tcPr>
          <w:p w:rsidR="00DD0D4B" w:rsidRPr="00FB6F31" w:rsidRDefault="00DD0D4B" w:rsidP="00796333">
            <w:pPr>
              <w:spacing w:before="60" w:after="60"/>
              <w:jc w:val="center"/>
              <w:rPr>
                <w:sz w:val="20"/>
                <w:szCs w:val="20"/>
              </w:rPr>
            </w:pPr>
          </w:p>
        </w:tc>
        <w:tc>
          <w:tcPr>
            <w:tcW w:w="488" w:type="pct"/>
            <w:vMerge/>
            <w:tcBorders>
              <w:top w:val="nil"/>
              <w:left w:val="single" w:sz="8" w:space="0" w:color="auto"/>
              <w:bottom w:val="single" w:sz="8" w:space="0" w:color="000000"/>
              <w:right w:val="single" w:sz="8" w:space="0" w:color="auto"/>
            </w:tcBorders>
            <w:vAlign w:val="center"/>
            <w:hideMark/>
          </w:tcPr>
          <w:p w:rsidR="00DD0D4B" w:rsidRPr="00FB6F31" w:rsidRDefault="00DD0D4B" w:rsidP="00796333">
            <w:pPr>
              <w:spacing w:before="60" w:after="60"/>
              <w:jc w:val="center"/>
              <w:rPr>
                <w:sz w:val="20"/>
                <w:szCs w:val="20"/>
              </w:rPr>
            </w:pPr>
          </w:p>
        </w:tc>
        <w:tc>
          <w:tcPr>
            <w:tcW w:w="503" w:type="pct"/>
            <w:vMerge/>
            <w:tcBorders>
              <w:top w:val="nil"/>
              <w:left w:val="single" w:sz="8" w:space="0" w:color="auto"/>
              <w:bottom w:val="single" w:sz="8" w:space="0" w:color="000000"/>
              <w:right w:val="single" w:sz="8" w:space="0" w:color="auto"/>
            </w:tcBorders>
            <w:vAlign w:val="center"/>
            <w:hideMark/>
          </w:tcPr>
          <w:p w:rsidR="00DD0D4B" w:rsidRPr="00FB6F31" w:rsidRDefault="00DD0D4B" w:rsidP="00796333">
            <w:pPr>
              <w:spacing w:before="60" w:after="60"/>
              <w:jc w:val="center"/>
              <w:rPr>
                <w:sz w:val="20"/>
                <w:szCs w:val="20"/>
              </w:rPr>
            </w:pPr>
          </w:p>
        </w:tc>
      </w:tr>
      <w:tr w:rsidR="004E705E" w:rsidRPr="00FB6F31" w:rsidTr="004E705E">
        <w:trPr>
          <w:trHeight w:val="315"/>
          <w:jc w:val="center"/>
        </w:trPr>
        <w:tc>
          <w:tcPr>
            <w:tcW w:w="573" w:type="pct"/>
            <w:tcBorders>
              <w:top w:val="nil"/>
              <w:left w:val="single" w:sz="8" w:space="0" w:color="auto"/>
              <w:bottom w:val="single" w:sz="8" w:space="0" w:color="auto"/>
              <w:right w:val="single" w:sz="8" w:space="0" w:color="auto"/>
            </w:tcBorders>
            <w:shd w:val="clear" w:color="auto" w:fill="auto"/>
            <w:noWrap/>
            <w:vAlign w:val="center"/>
            <w:hideMark/>
          </w:tcPr>
          <w:p w:rsidR="00DD0D4B" w:rsidRPr="00FB6F31" w:rsidRDefault="00DD0D4B" w:rsidP="00796333">
            <w:pPr>
              <w:spacing w:before="60" w:after="60"/>
              <w:jc w:val="center"/>
              <w:rPr>
                <w:sz w:val="20"/>
                <w:szCs w:val="20"/>
              </w:rPr>
            </w:pPr>
            <w:r w:rsidRPr="00FB6F31">
              <w:rPr>
                <w:sz w:val="20"/>
                <w:szCs w:val="20"/>
              </w:rPr>
              <w:t>9/11/2015</w:t>
            </w:r>
          </w:p>
        </w:tc>
        <w:tc>
          <w:tcPr>
            <w:tcW w:w="521"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82.6</w:t>
            </w:r>
          </w:p>
        </w:tc>
        <w:tc>
          <w:tcPr>
            <w:tcW w:w="504"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3.7</w:t>
            </w:r>
          </w:p>
        </w:tc>
        <w:tc>
          <w:tcPr>
            <w:tcW w:w="693"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4.5</w:t>
            </w:r>
          </w:p>
        </w:tc>
        <w:tc>
          <w:tcPr>
            <w:tcW w:w="749"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3.4</w:t>
            </w:r>
          </w:p>
        </w:tc>
        <w:tc>
          <w:tcPr>
            <w:tcW w:w="470" w:type="pct"/>
            <w:vMerge/>
            <w:tcBorders>
              <w:top w:val="nil"/>
              <w:left w:val="single" w:sz="8" w:space="0" w:color="auto"/>
              <w:bottom w:val="single" w:sz="8" w:space="0" w:color="000000"/>
              <w:right w:val="single" w:sz="8" w:space="0" w:color="auto"/>
            </w:tcBorders>
            <w:vAlign w:val="center"/>
            <w:hideMark/>
          </w:tcPr>
          <w:p w:rsidR="00DD0D4B" w:rsidRPr="00FB6F31" w:rsidRDefault="00DD0D4B" w:rsidP="00796333">
            <w:pPr>
              <w:spacing w:before="60" w:after="60"/>
              <w:jc w:val="center"/>
              <w:rPr>
                <w:sz w:val="20"/>
                <w:szCs w:val="20"/>
              </w:rPr>
            </w:pPr>
          </w:p>
        </w:tc>
        <w:tc>
          <w:tcPr>
            <w:tcW w:w="498" w:type="pct"/>
            <w:vMerge/>
            <w:tcBorders>
              <w:top w:val="nil"/>
              <w:left w:val="single" w:sz="8" w:space="0" w:color="auto"/>
              <w:bottom w:val="single" w:sz="8" w:space="0" w:color="000000"/>
              <w:right w:val="single" w:sz="8" w:space="0" w:color="auto"/>
            </w:tcBorders>
            <w:vAlign w:val="center"/>
            <w:hideMark/>
          </w:tcPr>
          <w:p w:rsidR="00DD0D4B" w:rsidRPr="00FB6F31" w:rsidRDefault="00DD0D4B" w:rsidP="00796333">
            <w:pPr>
              <w:spacing w:before="60" w:after="60"/>
              <w:jc w:val="center"/>
              <w:rPr>
                <w:sz w:val="20"/>
                <w:szCs w:val="20"/>
              </w:rPr>
            </w:pPr>
          </w:p>
        </w:tc>
        <w:tc>
          <w:tcPr>
            <w:tcW w:w="488" w:type="pct"/>
            <w:vMerge/>
            <w:tcBorders>
              <w:top w:val="nil"/>
              <w:left w:val="single" w:sz="8" w:space="0" w:color="auto"/>
              <w:bottom w:val="single" w:sz="8" w:space="0" w:color="000000"/>
              <w:right w:val="single" w:sz="8" w:space="0" w:color="auto"/>
            </w:tcBorders>
            <w:vAlign w:val="center"/>
            <w:hideMark/>
          </w:tcPr>
          <w:p w:rsidR="00DD0D4B" w:rsidRPr="00FB6F31" w:rsidRDefault="00DD0D4B" w:rsidP="00796333">
            <w:pPr>
              <w:spacing w:before="60" w:after="60"/>
              <w:jc w:val="center"/>
              <w:rPr>
                <w:sz w:val="20"/>
                <w:szCs w:val="20"/>
              </w:rPr>
            </w:pPr>
          </w:p>
        </w:tc>
        <w:tc>
          <w:tcPr>
            <w:tcW w:w="503" w:type="pct"/>
            <w:vMerge/>
            <w:tcBorders>
              <w:top w:val="nil"/>
              <w:left w:val="single" w:sz="8" w:space="0" w:color="auto"/>
              <w:bottom w:val="single" w:sz="8" w:space="0" w:color="000000"/>
              <w:right w:val="single" w:sz="8" w:space="0" w:color="auto"/>
            </w:tcBorders>
            <w:vAlign w:val="center"/>
            <w:hideMark/>
          </w:tcPr>
          <w:p w:rsidR="00DD0D4B" w:rsidRPr="00FB6F31" w:rsidRDefault="00DD0D4B" w:rsidP="00796333">
            <w:pPr>
              <w:spacing w:before="60" w:after="60"/>
              <w:jc w:val="center"/>
              <w:rPr>
                <w:sz w:val="20"/>
                <w:szCs w:val="20"/>
              </w:rPr>
            </w:pPr>
          </w:p>
        </w:tc>
      </w:tr>
      <w:tr w:rsidR="004E705E" w:rsidRPr="00FB6F31" w:rsidTr="004E705E">
        <w:trPr>
          <w:trHeight w:val="315"/>
          <w:jc w:val="center"/>
        </w:trPr>
        <w:tc>
          <w:tcPr>
            <w:tcW w:w="573" w:type="pct"/>
            <w:tcBorders>
              <w:top w:val="nil"/>
              <w:left w:val="single" w:sz="8" w:space="0" w:color="auto"/>
              <w:bottom w:val="single" w:sz="8" w:space="0" w:color="auto"/>
              <w:right w:val="single" w:sz="8" w:space="0" w:color="auto"/>
            </w:tcBorders>
            <w:shd w:val="clear" w:color="auto" w:fill="auto"/>
            <w:noWrap/>
            <w:vAlign w:val="center"/>
            <w:hideMark/>
          </w:tcPr>
          <w:p w:rsidR="00DD0D4B" w:rsidRPr="00FB6F31" w:rsidRDefault="00DD0D4B" w:rsidP="00796333">
            <w:pPr>
              <w:spacing w:before="60" w:after="60"/>
              <w:jc w:val="center"/>
              <w:rPr>
                <w:sz w:val="20"/>
                <w:szCs w:val="20"/>
              </w:rPr>
            </w:pPr>
            <w:r w:rsidRPr="00FB6F31">
              <w:rPr>
                <w:sz w:val="20"/>
                <w:szCs w:val="20"/>
              </w:rPr>
              <w:t>Average</w:t>
            </w:r>
          </w:p>
        </w:tc>
        <w:tc>
          <w:tcPr>
            <w:tcW w:w="521"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84.1</w:t>
            </w:r>
          </w:p>
        </w:tc>
        <w:tc>
          <w:tcPr>
            <w:tcW w:w="504"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3.1</w:t>
            </w:r>
          </w:p>
        </w:tc>
        <w:tc>
          <w:tcPr>
            <w:tcW w:w="693"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3.7</w:t>
            </w:r>
          </w:p>
        </w:tc>
        <w:tc>
          <w:tcPr>
            <w:tcW w:w="749" w:type="pct"/>
            <w:tcBorders>
              <w:top w:val="nil"/>
              <w:left w:val="nil"/>
              <w:bottom w:val="single" w:sz="8" w:space="0" w:color="auto"/>
              <w:right w:val="single" w:sz="8" w:space="0" w:color="auto"/>
            </w:tcBorders>
            <w:shd w:val="clear" w:color="auto" w:fill="auto"/>
            <w:noWrap/>
            <w:vAlign w:val="bottom"/>
            <w:hideMark/>
          </w:tcPr>
          <w:p w:rsidR="00DD0D4B" w:rsidRPr="00FB6F31" w:rsidRDefault="00DD0D4B" w:rsidP="00796333">
            <w:pPr>
              <w:jc w:val="center"/>
              <w:rPr>
                <w:color w:val="000000"/>
                <w:sz w:val="20"/>
                <w:szCs w:val="20"/>
              </w:rPr>
            </w:pPr>
            <w:r w:rsidRPr="00FB6F31">
              <w:rPr>
                <w:color w:val="000000"/>
                <w:sz w:val="20"/>
                <w:szCs w:val="20"/>
              </w:rPr>
              <w:t>3.7</w:t>
            </w:r>
          </w:p>
        </w:tc>
        <w:tc>
          <w:tcPr>
            <w:tcW w:w="470" w:type="pct"/>
            <w:vMerge/>
            <w:tcBorders>
              <w:top w:val="nil"/>
              <w:left w:val="single" w:sz="8" w:space="0" w:color="auto"/>
              <w:bottom w:val="single" w:sz="8" w:space="0" w:color="000000"/>
              <w:right w:val="single" w:sz="8" w:space="0" w:color="auto"/>
            </w:tcBorders>
            <w:vAlign w:val="center"/>
            <w:hideMark/>
          </w:tcPr>
          <w:p w:rsidR="00DD0D4B" w:rsidRPr="00FB6F31" w:rsidRDefault="00DD0D4B" w:rsidP="00796333">
            <w:pPr>
              <w:spacing w:before="60" w:after="60"/>
              <w:jc w:val="center"/>
              <w:rPr>
                <w:sz w:val="20"/>
                <w:szCs w:val="20"/>
              </w:rPr>
            </w:pPr>
          </w:p>
        </w:tc>
        <w:tc>
          <w:tcPr>
            <w:tcW w:w="498" w:type="pct"/>
            <w:vMerge/>
            <w:tcBorders>
              <w:top w:val="nil"/>
              <w:left w:val="single" w:sz="8" w:space="0" w:color="auto"/>
              <w:bottom w:val="single" w:sz="8" w:space="0" w:color="000000"/>
              <w:right w:val="single" w:sz="8" w:space="0" w:color="auto"/>
            </w:tcBorders>
            <w:vAlign w:val="center"/>
            <w:hideMark/>
          </w:tcPr>
          <w:p w:rsidR="00DD0D4B" w:rsidRPr="00FB6F31" w:rsidRDefault="00DD0D4B" w:rsidP="00796333">
            <w:pPr>
              <w:spacing w:before="60" w:after="60"/>
              <w:jc w:val="center"/>
              <w:rPr>
                <w:sz w:val="20"/>
                <w:szCs w:val="20"/>
              </w:rPr>
            </w:pPr>
          </w:p>
        </w:tc>
        <w:tc>
          <w:tcPr>
            <w:tcW w:w="488" w:type="pct"/>
            <w:vMerge/>
            <w:tcBorders>
              <w:top w:val="nil"/>
              <w:left w:val="single" w:sz="8" w:space="0" w:color="auto"/>
              <w:bottom w:val="single" w:sz="8" w:space="0" w:color="000000"/>
              <w:right w:val="single" w:sz="8" w:space="0" w:color="auto"/>
            </w:tcBorders>
            <w:vAlign w:val="center"/>
            <w:hideMark/>
          </w:tcPr>
          <w:p w:rsidR="00DD0D4B" w:rsidRPr="00FB6F31" w:rsidRDefault="00DD0D4B" w:rsidP="00796333">
            <w:pPr>
              <w:spacing w:before="60" w:after="60"/>
              <w:jc w:val="center"/>
              <w:rPr>
                <w:sz w:val="20"/>
                <w:szCs w:val="20"/>
              </w:rPr>
            </w:pPr>
          </w:p>
        </w:tc>
        <w:tc>
          <w:tcPr>
            <w:tcW w:w="503" w:type="pct"/>
            <w:vMerge/>
            <w:tcBorders>
              <w:top w:val="nil"/>
              <w:left w:val="single" w:sz="8" w:space="0" w:color="auto"/>
              <w:bottom w:val="single" w:sz="8" w:space="0" w:color="000000"/>
              <w:right w:val="single" w:sz="8" w:space="0" w:color="auto"/>
            </w:tcBorders>
            <w:vAlign w:val="center"/>
            <w:hideMark/>
          </w:tcPr>
          <w:p w:rsidR="00DD0D4B" w:rsidRPr="00FB6F31" w:rsidRDefault="00DD0D4B" w:rsidP="00796333">
            <w:pPr>
              <w:spacing w:before="60" w:after="60"/>
              <w:jc w:val="center"/>
              <w:rPr>
                <w:sz w:val="20"/>
                <w:szCs w:val="20"/>
              </w:rPr>
            </w:pPr>
          </w:p>
        </w:tc>
      </w:tr>
    </w:tbl>
    <w:p w:rsidR="00E739D4" w:rsidRDefault="00E739D4" w:rsidP="00E739D4">
      <w:pPr>
        <w:rPr>
          <w:color w:val="000000" w:themeColor="text1"/>
        </w:rPr>
      </w:pPr>
    </w:p>
    <w:p w:rsidR="00B97753" w:rsidRPr="00B97753" w:rsidRDefault="00B97753" w:rsidP="00D84FC4">
      <w:pPr>
        <w:spacing w:line="276" w:lineRule="auto"/>
        <w:ind w:firstLine="360"/>
        <w:rPr>
          <w:sz w:val="18"/>
          <w:szCs w:val="18"/>
        </w:rPr>
      </w:pPr>
    </w:p>
    <w:bookmarkEnd w:id="234"/>
    <w:p w:rsidR="00DD0D4B" w:rsidRDefault="00DD0D4B" w:rsidP="0083096B">
      <w:pPr>
        <w:pStyle w:val="BodyParagraph"/>
        <w:spacing w:after="0" w:line="276" w:lineRule="auto"/>
        <w:ind w:firstLine="576"/>
        <w:rPr>
          <w:rFonts w:ascii="Times New Roman" w:hAnsi="Times New Roman"/>
          <w:color w:val="0000FF"/>
          <w:sz w:val="24"/>
          <w:szCs w:val="24"/>
        </w:rPr>
      </w:pPr>
    </w:p>
    <w:sectPr w:rsidR="00DD0D4B" w:rsidSect="006D478F">
      <w:footerReference w:type="even"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D26" w:rsidRDefault="00DA2D26">
      <w:r>
        <w:separator/>
      </w:r>
    </w:p>
  </w:endnote>
  <w:endnote w:type="continuationSeparator" w:id="0">
    <w:p w:rsidR="00DA2D26" w:rsidRDefault="00DA2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TitilliumText22L Xb">
    <w:altName w:val="Arial"/>
    <w:panose1 w:val="00000000000000000000"/>
    <w:charset w:val="00"/>
    <w:family w:val="modern"/>
    <w:notTrueType/>
    <w:pitch w:val="variable"/>
    <w:sig w:usb0="A00000EF" w:usb1="0000004B" w:usb2="00000000" w:usb3="00000000" w:csb0="00000193" w:csb1="00000000"/>
  </w:font>
  <w:font w:name="Arial Bold">
    <w:panose1 w:val="020B07040202020202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tilliumText22L Xb" w:hAnsi="TitilliumText22L Xb"/>
      </w:rPr>
      <w:id w:val="-1860346250"/>
      <w:docPartObj>
        <w:docPartGallery w:val="Page Numbers (Bottom of Page)"/>
        <w:docPartUnique/>
      </w:docPartObj>
    </w:sdtPr>
    <w:sdtEndPr/>
    <w:sdtContent>
      <w:p w:rsidR="00DA2D26" w:rsidRPr="000E73DD" w:rsidRDefault="00DA2D26" w:rsidP="00336E76">
        <w:pPr>
          <w:pStyle w:val="Footer"/>
          <w:tabs>
            <w:tab w:val="clear" w:pos="4320"/>
            <w:tab w:val="clear" w:pos="8640"/>
            <w:tab w:val="right" w:pos="9270"/>
          </w:tabs>
          <w:rPr>
            <w:rFonts w:asciiTheme="minorHAnsi" w:hAnsiTheme="minorHAnsi" w:cstheme="minorHAnsi"/>
          </w:rPr>
        </w:pPr>
        <w:r>
          <w:rPr>
            <w:rFonts w:ascii="TitilliumText22L Xb" w:hAnsi="TitilliumText22L Xb"/>
          </w:rPr>
          <w:tab/>
        </w:r>
        <w:r w:rsidRPr="00C566BC">
          <w:rPr>
            <w:rFonts w:asciiTheme="minorHAnsi" w:hAnsiTheme="minorHAnsi" w:cstheme="minorHAnsi"/>
            <w:color w:val="808080" w:themeColor="background1" w:themeShade="80"/>
          </w:rPr>
          <w:fldChar w:fldCharType="begin"/>
        </w:r>
        <w:r w:rsidRPr="00C566BC">
          <w:rPr>
            <w:rFonts w:asciiTheme="minorHAnsi" w:hAnsiTheme="minorHAnsi" w:cstheme="minorHAnsi"/>
            <w:color w:val="808080" w:themeColor="background1" w:themeShade="80"/>
          </w:rPr>
          <w:instrText xml:space="preserve"> PAGE   \* MERGEFORMAT </w:instrText>
        </w:r>
        <w:r w:rsidRPr="00C566BC">
          <w:rPr>
            <w:rFonts w:asciiTheme="minorHAnsi" w:hAnsiTheme="minorHAnsi" w:cstheme="minorHAnsi"/>
            <w:color w:val="808080" w:themeColor="background1" w:themeShade="80"/>
          </w:rPr>
          <w:fldChar w:fldCharType="separate"/>
        </w:r>
        <w:r w:rsidR="0024252A">
          <w:rPr>
            <w:rFonts w:asciiTheme="minorHAnsi" w:hAnsiTheme="minorHAnsi" w:cstheme="minorHAnsi"/>
            <w:noProof/>
            <w:color w:val="808080" w:themeColor="background1" w:themeShade="80"/>
          </w:rPr>
          <w:t>1</w:t>
        </w:r>
        <w:r w:rsidRPr="00C566BC">
          <w:rPr>
            <w:rFonts w:asciiTheme="minorHAnsi" w:hAnsiTheme="minorHAnsi" w:cstheme="minorHAnsi"/>
            <w:color w:val="808080" w:themeColor="background1" w:themeShade="8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D26" w:rsidRDefault="00DA2D26" w:rsidP="00470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A2D26" w:rsidRDefault="00DA2D26" w:rsidP="004C3F63">
    <w:pPr>
      <w:pStyle w:val="Footer"/>
      <w:ind w:right="360"/>
    </w:pPr>
  </w:p>
  <w:p w:rsidR="00DA2D26" w:rsidRDefault="00DA2D2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4615029"/>
      <w:docPartObj>
        <w:docPartGallery w:val="Page Numbers (Bottom of Page)"/>
        <w:docPartUnique/>
      </w:docPartObj>
    </w:sdtPr>
    <w:sdtEndPr>
      <w:rPr>
        <w:noProof/>
      </w:rPr>
    </w:sdtEndPr>
    <w:sdtContent>
      <w:p w:rsidR="00DA2D26" w:rsidRDefault="00DA2D26">
        <w:pPr>
          <w:pStyle w:val="Footer"/>
          <w:jc w:val="right"/>
        </w:pPr>
        <w:r>
          <w:fldChar w:fldCharType="begin"/>
        </w:r>
        <w:r>
          <w:instrText xml:space="preserve"> PAGE   \* MERGEFORMAT </w:instrText>
        </w:r>
        <w:r>
          <w:fldChar w:fldCharType="separate"/>
        </w:r>
        <w:r w:rsidR="0024252A">
          <w:rPr>
            <w:noProof/>
          </w:rPr>
          <w:t>64</w:t>
        </w:r>
        <w:r>
          <w:rPr>
            <w:noProof/>
          </w:rPr>
          <w:fldChar w:fldCharType="end"/>
        </w:r>
      </w:p>
    </w:sdtContent>
  </w:sdt>
  <w:p w:rsidR="00DA2D26" w:rsidRDefault="00DA2D26" w:rsidP="00246C60">
    <w:pPr>
      <w:pStyle w:val="Footer"/>
      <w:tabs>
        <w:tab w:val="left" w:pos="8160"/>
      </w:tabs>
      <w:ind w:right="360"/>
      <w:jc w:val="right"/>
    </w:pPr>
  </w:p>
  <w:p w:rsidR="00DA2D26" w:rsidRDefault="00DA2D2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D26" w:rsidRDefault="00DA2D26">
      <w:r>
        <w:separator/>
      </w:r>
    </w:p>
  </w:footnote>
  <w:footnote w:type="continuationSeparator" w:id="0">
    <w:p w:rsidR="00DA2D26" w:rsidRDefault="00DA2D26">
      <w:r>
        <w:continuationSeparator/>
      </w:r>
    </w:p>
  </w:footnote>
  <w:footnote w:id="1">
    <w:p w:rsidR="00DA2D26" w:rsidRDefault="00DA2D26" w:rsidP="00031C07">
      <w:pPr>
        <w:pStyle w:val="FootnoteText"/>
      </w:pPr>
      <w:r>
        <w:rPr>
          <w:rStyle w:val="FootnoteReference"/>
        </w:rPr>
        <w:footnoteRef/>
      </w:r>
      <w:r>
        <w:t xml:space="preserve"> For more information on the model out-of-sample tests and MAPE results see Section 6, Model Validity. </w:t>
      </w:r>
    </w:p>
  </w:footnote>
  <w:footnote w:id="2">
    <w:p w:rsidR="00DA2D26" w:rsidRDefault="00DA2D26" w:rsidP="00B9660B">
      <w:pPr>
        <w:pStyle w:val="FootnoteText"/>
      </w:pPr>
      <w:r>
        <w:rPr>
          <w:rStyle w:val="FootnoteReference"/>
        </w:rPr>
        <w:footnoteRef/>
      </w:r>
      <w:r>
        <w:t xml:space="preserve"> It is important to note that approximately 70 accounts under a single aggregator were removed from the analysis beginning in August of 2015 due to the fact that they changed their nomination to 0 MW for the remainder of the year. </w:t>
      </w:r>
    </w:p>
  </w:footnote>
  <w:footnote w:id="3">
    <w:p w:rsidR="00DA2D26" w:rsidRDefault="00DA2D26" w:rsidP="00A7376E">
      <w:pPr>
        <w:pStyle w:val="TableCaption"/>
        <w:jc w:val="left"/>
      </w:pPr>
    </w:p>
  </w:footnote>
  <w:footnote w:id="4">
    <w:p w:rsidR="00DA2D26" w:rsidRDefault="00DA2D26" w:rsidP="00C94CC9">
      <w:pPr>
        <w:pStyle w:val="FootnoteText"/>
      </w:pPr>
      <w:r>
        <w:rPr>
          <w:rStyle w:val="FootnoteReference"/>
        </w:rPr>
        <w:footnoteRef/>
      </w:r>
      <w:r>
        <w:t xml:space="preserve"> Though the ex-ante impacts are labeled as an August peak day, the ex-ante results are identical for each monthly system peak day, May through October, because of the way the SDG&amp;E ex-ante impacts were modeled. </w:t>
      </w:r>
    </w:p>
  </w:footnote>
  <w:footnote w:id="5">
    <w:p w:rsidR="00DA2D26" w:rsidRDefault="00DA2D26" w:rsidP="00C94CC9">
      <w:pPr>
        <w:pStyle w:val="FootnoteText"/>
      </w:pPr>
      <w:r>
        <w:rPr>
          <w:rStyle w:val="FootnoteReference"/>
        </w:rPr>
        <w:footnoteRef/>
      </w:r>
      <w:r>
        <w:t xml:space="preserve"> The 1-in-2 and 1-in-10 ex-ante impacts are equal for the 1-in-2 and 1-in-10 weather conditions, because of the SDG&amp;E ex-ante modeling approach.</w:t>
      </w:r>
    </w:p>
  </w:footnote>
  <w:footnote w:id="6">
    <w:p w:rsidR="00DA2D26" w:rsidRDefault="00DA2D26" w:rsidP="00C94CC9">
      <w:pPr>
        <w:pStyle w:val="FootnoteText"/>
      </w:pPr>
      <w:r>
        <w:rPr>
          <w:rStyle w:val="FootnoteReference"/>
        </w:rPr>
        <w:footnoteRef/>
      </w:r>
      <w:r>
        <w:t xml:space="preserve"> For the CBP DA product, approximately 70 accounts under a single aggregator were removed from the ex-post analysis beginning in August of 2015 due to the fact that they changed their nomination to 0 MW. Therefore, we have used the hottest event day (June 30) prior to the removal of these accounts to have a more direct comparison with the ex-ante enrollment and weather forecast.</w:t>
      </w:r>
    </w:p>
  </w:footnote>
  <w:footnote w:id="7">
    <w:p w:rsidR="00DA2D26" w:rsidRDefault="00DA2D26" w:rsidP="00C94CC9">
      <w:pPr>
        <w:pStyle w:val="FootnoteText"/>
      </w:pPr>
      <w:r>
        <w:rPr>
          <w:rStyle w:val="FootnoteReference"/>
        </w:rPr>
        <w:footnoteRef/>
      </w:r>
      <w:r>
        <w:t xml:space="preserve"> The 2014 ex-post results for the CBP DO product were not available in the previous year’s load impact tables, so we have used the average event day results as a proxy.</w:t>
      </w:r>
    </w:p>
  </w:footnote>
  <w:footnote w:id="8">
    <w:p w:rsidR="00DA2D26" w:rsidRDefault="00DA2D26" w:rsidP="000117DA">
      <w:pPr>
        <w:pStyle w:val="Footnote"/>
      </w:pPr>
      <w:r>
        <w:rPr>
          <w:rStyle w:val="FootnoteReference"/>
        </w:rPr>
        <w:footnoteRef/>
      </w:r>
      <w:r>
        <w:t xml:space="preserve"> In practice, this term is absorbed by the time effects, but it is useful for representing the model logic.</w:t>
      </w:r>
    </w:p>
  </w:footnote>
  <w:footnote w:id="9">
    <w:p w:rsidR="00DA2D26" w:rsidRDefault="00DA2D26" w:rsidP="005402EF">
      <w:pPr>
        <w:pStyle w:val="FootnoteText"/>
      </w:pPr>
      <w:r>
        <w:rPr>
          <w:rStyle w:val="FootnoteReference"/>
        </w:rPr>
        <w:footnoteRef/>
      </w:r>
      <w:r>
        <w:t xml:space="preserve"> For ex-ante estimation, SDG&amp;E split its existing default CPP population into medium and large customers. In contrast, ex-post impacts were reported for all default CPP customers.</w:t>
      </w:r>
    </w:p>
  </w:footnote>
  <w:footnote w:id="10">
    <w:p w:rsidR="00DA2D26" w:rsidRDefault="00DA2D26" w:rsidP="00FE2D63">
      <w:pPr>
        <w:pStyle w:val="FootnoteText"/>
      </w:pPr>
      <w:r>
        <w:rPr>
          <w:rStyle w:val="FootnoteReference"/>
        </w:rPr>
        <w:footnoteRef/>
      </w:r>
      <w:r>
        <w:t xml:space="preserve"> </w:t>
      </w:r>
      <w:r w:rsidRPr="00992729">
        <w:rPr>
          <w:rFonts w:ascii="Calibri" w:hAnsi="Calibri"/>
        </w:rPr>
        <w:t>Previously SDG&amp;E offered a BIP option B which required that participating</w:t>
      </w:r>
      <w:r>
        <w:rPr>
          <w:rFonts w:ascii="Calibri" w:hAnsi="Calibri"/>
        </w:rPr>
        <w:t xml:space="preserve"> customer be notified at least three</w:t>
      </w:r>
      <w:r w:rsidRPr="00992729">
        <w:rPr>
          <w:rFonts w:ascii="Calibri" w:hAnsi="Calibri"/>
        </w:rPr>
        <w:t xml:space="preserve"> hours before the event but SDG&amp;E discontinued this option in 2012.</w:t>
      </w:r>
    </w:p>
  </w:footnote>
  <w:footnote w:id="11">
    <w:p w:rsidR="00DA2D26" w:rsidRPr="00F34148" w:rsidRDefault="00DA2D26" w:rsidP="00517145">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Including weekends and holidays would require the addition of variables to capture the fact that load levels and patterns on weekends and holidays can differ greatly from those of non-holiday weekdays. Because event days d</w:t>
      </w:r>
      <w:r>
        <w:rPr>
          <w:rFonts w:ascii="Calibri" w:hAnsi="Calibri"/>
        </w:rPr>
        <w:t>id</w:t>
      </w:r>
      <w:r w:rsidRPr="00F34148">
        <w:rPr>
          <w:rFonts w:ascii="Calibri" w:hAnsi="Calibri"/>
        </w:rPr>
        <w:t xml:space="preserve"> not occur on weekends or holidays, the exclusion of these data does not affect the model’s ability to estimate </w:t>
      </w:r>
      <w:r w:rsidRPr="00E26325">
        <w:rPr>
          <w:rFonts w:ascii="Calibri" w:hAnsi="Calibri"/>
          <w:i/>
        </w:rPr>
        <w:t>ex</w:t>
      </w:r>
      <w:r>
        <w:rPr>
          <w:rFonts w:ascii="Calibri" w:hAnsi="Calibri"/>
          <w:i/>
        </w:rPr>
        <w:t>-</w:t>
      </w:r>
      <w:r w:rsidRPr="00E26325">
        <w:rPr>
          <w:rFonts w:ascii="Calibri" w:hAnsi="Calibri"/>
          <w:i/>
        </w:rPr>
        <w:t>post</w:t>
      </w:r>
      <w:r w:rsidRPr="00F34148">
        <w:rPr>
          <w:rFonts w:ascii="Calibri" w:hAnsi="Calibri"/>
        </w:rPr>
        <w:t xml:space="preserve"> load impacts. </w:t>
      </w:r>
    </w:p>
  </w:footnote>
  <w:footnote w:id="12">
    <w:p w:rsidR="00DA2D26" w:rsidRPr="00F34148" w:rsidRDefault="00DA2D26" w:rsidP="00517145">
      <w:pPr>
        <w:pStyle w:val="FootnoteText"/>
        <w:rPr>
          <w:rFonts w:ascii="Calibri" w:hAnsi="Calibri"/>
        </w:rPr>
      </w:pPr>
      <w:r w:rsidRPr="00F34148">
        <w:rPr>
          <w:rStyle w:val="FootnoteReference"/>
          <w:rFonts w:ascii="Calibri" w:hAnsi="Calibri"/>
        </w:rPr>
        <w:footnoteRef/>
      </w:r>
      <w:r w:rsidRPr="00F34148">
        <w:rPr>
          <w:rFonts w:ascii="Calibri" w:hAnsi="Calibri"/>
        </w:rPr>
        <w:t xml:space="preserve"> The summer pricing season is Ju</w:t>
      </w:r>
      <w:r>
        <w:rPr>
          <w:rFonts w:ascii="Calibri" w:hAnsi="Calibri"/>
        </w:rPr>
        <w:t>ne</w:t>
      </w:r>
      <w:r w:rsidRPr="00F34148">
        <w:rPr>
          <w:rFonts w:ascii="Calibri" w:hAnsi="Calibri"/>
        </w:rPr>
        <w:t xml:space="preserve"> through September for SCE, May through September for SDG&amp;E, and May through October for PG&amp;E.</w:t>
      </w:r>
    </w:p>
  </w:footnote>
  <w:footnote w:id="13">
    <w:p w:rsidR="00DA2D26" w:rsidRPr="008F55A9" w:rsidRDefault="00DA2D26" w:rsidP="0062320E">
      <w:pPr>
        <w:pStyle w:val="FootnoteText"/>
        <w:rPr>
          <w:rFonts w:asciiTheme="minorHAnsi" w:hAnsiTheme="minorHAnsi"/>
        </w:rPr>
      </w:pPr>
      <w:r w:rsidRPr="008F55A9">
        <w:rPr>
          <w:rStyle w:val="FootnoteReference"/>
          <w:rFonts w:asciiTheme="minorHAnsi" w:hAnsiTheme="minorHAnsi"/>
        </w:rPr>
        <w:footnoteRef/>
      </w:r>
      <w:r w:rsidRPr="008F55A9">
        <w:rPr>
          <w:rFonts w:asciiTheme="minorHAnsi" w:hAnsiTheme="minorHAnsi"/>
        </w:rPr>
        <w:t xml:space="preserve"> In particular, where CDH60 and CDH60_MA24, the 24-hour moving average of CDH60, are used together for summer </w:t>
      </w:r>
      <w:r w:rsidRPr="00C35C2F">
        <w:rPr>
          <w:rFonts w:asciiTheme="minorHAnsi" w:hAnsiTheme="minorHAnsi"/>
          <w:i/>
        </w:rPr>
        <w:t>ex-post</w:t>
      </w:r>
      <w:r w:rsidRPr="008F55A9">
        <w:rPr>
          <w:rFonts w:asciiTheme="minorHAnsi" w:hAnsiTheme="minorHAnsi"/>
        </w:rPr>
        <w:t xml:space="preserve"> regressions, only CDH60 is used for the </w:t>
      </w:r>
      <w:r w:rsidRPr="00C35C2F">
        <w:rPr>
          <w:rFonts w:asciiTheme="minorHAnsi" w:hAnsiTheme="minorHAnsi"/>
          <w:i/>
        </w:rPr>
        <w:t>ex-ante</w:t>
      </w:r>
      <w:r w:rsidRPr="008F55A9">
        <w:rPr>
          <w:rFonts w:asciiTheme="minorHAnsi" w:hAnsiTheme="minorHAnsi"/>
        </w:rPr>
        <w:t xml:space="preserve"> models. Similarly, where CDH60_MA3, the three-hour moving average, is used for </w:t>
      </w:r>
      <w:r w:rsidRPr="00C35C2F">
        <w:rPr>
          <w:rFonts w:asciiTheme="minorHAnsi" w:hAnsiTheme="minorHAnsi"/>
          <w:i/>
        </w:rPr>
        <w:t>ex-post</w:t>
      </w:r>
      <w:r w:rsidRPr="008F55A9">
        <w:rPr>
          <w:rFonts w:asciiTheme="minorHAnsi" w:hAnsiTheme="minorHAnsi"/>
        </w:rPr>
        <w:t xml:space="preserve"> regressions, CDH60 is used for the </w:t>
      </w:r>
      <w:r w:rsidRPr="00C35C2F">
        <w:rPr>
          <w:rFonts w:asciiTheme="minorHAnsi" w:hAnsiTheme="minorHAnsi"/>
          <w:i/>
        </w:rPr>
        <w:t>ex-ante</w:t>
      </w:r>
      <w:r w:rsidRPr="008F55A9">
        <w:rPr>
          <w:rFonts w:asciiTheme="minorHAnsi" w:hAnsiTheme="minorHAnsi"/>
        </w:rPr>
        <w:t xml:space="preserve"> analysis. See Appendix A for weather variable details.</w:t>
      </w:r>
    </w:p>
  </w:footnote>
  <w:footnote w:id="14">
    <w:p w:rsidR="00DA2D26" w:rsidRPr="008F55A9" w:rsidRDefault="00DA2D26" w:rsidP="0062320E">
      <w:pPr>
        <w:pStyle w:val="FootnoteText"/>
        <w:rPr>
          <w:rFonts w:asciiTheme="minorHAnsi" w:hAnsiTheme="minorHAnsi"/>
        </w:rPr>
      </w:pPr>
      <w:r w:rsidRPr="008F55A9">
        <w:rPr>
          <w:rStyle w:val="FootnoteReference"/>
          <w:rFonts w:asciiTheme="minorHAnsi" w:hAnsiTheme="minorHAnsi"/>
        </w:rPr>
        <w:footnoteRef/>
      </w:r>
      <w:r w:rsidRPr="008F55A9">
        <w:rPr>
          <w:rFonts w:asciiTheme="minorHAnsi" w:hAnsiTheme="minorHAnsi"/>
        </w:rPr>
        <w:t xml:space="preserve"> A modified regression model is used for SDG&amp;E to better control for large differences in load profiles across months for the few relevant customers, as in the </w:t>
      </w:r>
      <w:r w:rsidRPr="00C35C2F">
        <w:rPr>
          <w:rFonts w:asciiTheme="minorHAnsi" w:hAnsiTheme="minorHAnsi"/>
          <w:i/>
        </w:rPr>
        <w:t>ex-post</w:t>
      </w:r>
      <w:r w:rsidRPr="008F55A9">
        <w:rPr>
          <w:rFonts w:asciiTheme="minorHAnsi" w:hAnsiTheme="minorHAnsi"/>
        </w:rPr>
        <w:t xml:space="preserve"> analysis. See Section 3.2.1 above for details.</w:t>
      </w:r>
    </w:p>
  </w:footnote>
  <w:footnote w:id="15">
    <w:p w:rsidR="00DA2D26" w:rsidRPr="008F55A9" w:rsidRDefault="00DA2D26" w:rsidP="0062320E">
      <w:pPr>
        <w:pStyle w:val="FootnoteText"/>
        <w:rPr>
          <w:rFonts w:asciiTheme="minorHAnsi" w:hAnsiTheme="minorHAnsi"/>
        </w:rPr>
      </w:pPr>
      <w:r w:rsidRPr="008F55A9">
        <w:rPr>
          <w:rStyle w:val="FootnoteReference"/>
          <w:rFonts w:asciiTheme="minorHAnsi" w:hAnsiTheme="minorHAnsi"/>
        </w:rPr>
        <w:footnoteRef/>
      </w:r>
      <w:r w:rsidRPr="008F55A9">
        <w:rPr>
          <w:rFonts w:asciiTheme="minorHAnsi" w:hAnsiTheme="minorHAnsi"/>
        </w:rPr>
        <w:t xml:space="preserve"> It is not possible to calculate an achievement rate for customers with reference loads below their FSLs throughout an event period—the event effectively has no impact on them.</w:t>
      </w:r>
    </w:p>
  </w:footnote>
  <w:footnote w:id="16">
    <w:p w:rsidR="00DA2D26" w:rsidRDefault="00DA2D26" w:rsidP="00922933">
      <w:pPr>
        <w:pStyle w:val="FootnoteText"/>
      </w:pPr>
      <w:r>
        <w:rPr>
          <w:rStyle w:val="FootnoteReference"/>
        </w:rPr>
        <w:footnoteRef/>
      </w:r>
      <w:r>
        <w:t xml:space="preserve"> Event day, pre-event demand is not typically included in propensity score models for calculating event impacts, but it was included here because almost no (less than 15) nonresidential Summer Saver participants are notified of events in advance and so should have no effect of being treated until the event occurs.</w:t>
      </w:r>
    </w:p>
  </w:footnote>
  <w:footnote w:id="17">
    <w:p w:rsidR="004B0873" w:rsidRDefault="004B0873">
      <w:pPr>
        <w:pStyle w:val="FootnoteText"/>
      </w:pPr>
      <w:r>
        <w:rPr>
          <w:rStyle w:val="FootnoteReference"/>
        </w:rPr>
        <w:footnoteRef/>
      </w:r>
      <w:r>
        <w:t xml:space="preserve"> Mean 17 is the average temperature from midnight to 5 p.m.</w:t>
      </w:r>
    </w:p>
  </w:footnote>
  <w:footnote w:id="18">
    <w:p w:rsidR="00DA2D26" w:rsidRDefault="00DA2D26" w:rsidP="00922933">
      <w:pPr>
        <w:pStyle w:val="FootnoteText"/>
      </w:pPr>
      <w:r>
        <w:rPr>
          <w:rStyle w:val="FootnoteReference"/>
        </w:rPr>
        <w:footnoteRef/>
      </w:r>
      <w:r>
        <w:t xml:space="preserve"> Data for the year 2010 was excluded from the reference load estimation process because the evaluation was based on end-use, rather than whole-premise, interval data.</w:t>
      </w:r>
    </w:p>
  </w:footnote>
  <w:footnote w:id="19">
    <w:p w:rsidR="00DA2D26" w:rsidRDefault="00DA2D26" w:rsidP="003E6B6C">
      <w:pPr>
        <w:pStyle w:val="FootnoteText"/>
      </w:pPr>
      <w:r>
        <w:rPr>
          <w:rStyle w:val="FootnoteReference"/>
        </w:rPr>
        <w:footnoteRef/>
      </w:r>
      <w:r>
        <w:t xml:space="preserve"> For hot days, twelve non-event days in 2014 were selected with the highest average peak temperatures across the different weather stations used for the analysis. The dates with these peak temperatures were the 29</w:t>
      </w:r>
      <w:r>
        <w:rPr>
          <w:sz w:val="13"/>
          <w:szCs w:val="13"/>
        </w:rPr>
        <w:t xml:space="preserve">th </w:t>
      </w:r>
      <w:r>
        <w:t>and 30</w:t>
      </w:r>
      <w:r>
        <w:rPr>
          <w:sz w:val="13"/>
          <w:szCs w:val="13"/>
        </w:rPr>
        <w:t xml:space="preserve">th </w:t>
      </w:r>
      <w:r>
        <w:t>of April, 1</w:t>
      </w:r>
      <w:r>
        <w:rPr>
          <w:sz w:val="13"/>
          <w:szCs w:val="13"/>
        </w:rPr>
        <w:t>st</w:t>
      </w:r>
      <w:r>
        <w:t>, 2</w:t>
      </w:r>
      <w:r>
        <w:rPr>
          <w:sz w:val="13"/>
          <w:szCs w:val="13"/>
        </w:rPr>
        <w:t>nd</w:t>
      </w:r>
      <w:r>
        <w:t>, 13</w:t>
      </w:r>
      <w:r>
        <w:rPr>
          <w:sz w:val="13"/>
          <w:szCs w:val="13"/>
        </w:rPr>
        <w:t>th</w:t>
      </w:r>
      <w:r>
        <w:t>, and 16</w:t>
      </w:r>
      <w:r>
        <w:rPr>
          <w:sz w:val="13"/>
          <w:szCs w:val="13"/>
        </w:rPr>
        <w:t xml:space="preserve">th </w:t>
      </w:r>
      <w:r>
        <w:t>of May, 8</w:t>
      </w:r>
      <w:r>
        <w:rPr>
          <w:sz w:val="13"/>
          <w:szCs w:val="13"/>
        </w:rPr>
        <w:t xml:space="preserve">th </w:t>
      </w:r>
      <w:r>
        <w:t>of September, 2</w:t>
      </w:r>
      <w:r>
        <w:rPr>
          <w:sz w:val="13"/>
          <w:szCs w:val="13"/>
        </w:rPr>
        <w:t>nd</w:t>
      </w:r>
      <w:r>
        <w:t>, 3</w:t>
      </w:r>
      <w:r>
        <w:rPr>
          <w:sz w:val="13"/>
          <w:szCs w:val="13"/>
        </w:rPr>
        <w:t>rd</w:t>
      </w:r>
      <w:r>
        <w:t>, 6</w:t>
      </w:r>
      <w:r>
        <w:rPr>
          <w:sz w:val="13"/>
          <w:szCs w:val="13"/>
        </w:rPr>
        <w:t>th</w:t>
      </w:r>
      <w:r>
        <w:t>, and 7</w:t>
      </w:r>
      <w:r>
        <w:rPr>
          <w:sz w:val="13"/>
          <w:szCs w:val="13"/>
        </w:rPr>
        <w:t xml:space="preserve">th </w:t>
      </w:r>
      <w:r>
        <w:t>of October, and the 5</w:t>
      </w:r>
      <w:r>
        <w:rPr>
          <w:sz w:val="13"/>
          <w:szCs w:val="13"/>
        </w:rPr>
        <w:t xml:space="preserve">th </w:t>
      </w:r>
      <w:r>
        <w:t>of November, 2014. Load profiles by season were also compared to confirm that the groups were sufficiently similar.</w:t>
      </w:r>
    </w:p>
  </w:footnote>
  <w:footnote w:id="20">
    <w:p w:rsidR="00E03CA2" w:rsidRDefault="00E03CA2">
      <w:pPr>
        <w:pStyle w:val="FootnoteText"/>
      </w:pPr>
      <w:r>
        <w:rPr>
          <w:rStyle w:val="FootnoteReference"/>
        </w:rPr>
        <w:footnoteRef/>
      </w:r>
      <w:r>
        <w:t xml:space="preserve"> A cooling degree hour  is equal to 0 when the temperature is less than 65 and equal to the temperature minus 65 when the temperature is greater than 65</w:t>
      </w:r>
    </w:p>
  </w:footnote>
  <w:footnote w:id="21">
    <w:p w:rsidR="00DA2D26" w:rsidRPr="00272C9F" w:rsidRDefault="00DA2D26" w:rsidP="00F0094E">
      <w:pPr>
        <w:pStyle w:val="FootnoteText"/>
        <w:rPr>
          <w:sz w:val="17"/>
          <w:szCs w:val="17"/>
        </w:rPr>
      </w:pPr>
      <w:r w:rsidRPr="00272C9F">
        <w:rPr>
          <w:rStyle w:val="FootnoteReference"/>
          <w:sz w:val="17"/>
          <w:szCs w:val="17"/>
        </w:rPr>
        <w:footnoteRef/>
      </w:r>
      <w:r w:rsidRPr="00272C9F">
        <w:rPr>
          <w:sz w:val="17"/>
          <w:szCs w:val="17"/>
        </w:rPr>
        <w:t xml:space="preserve"> Such customers are sometimes called “structural winners” because the pattern of their existing load shapes would result in monthly bill savings in the absence of any behavioral response to the rate.</w:t>
      </w:r>
    </w:p>
  </w:footnote>
  <w:footnote w:id="22">
    <w:p w:rsidR="00DA2D26" w:rsidRDefault="00DA2D26" w:rsidP="00DD0D4B">
      <w:pPr>
        <w:pStyle w:val="FootnoteText"/>
      </w:pPr>
      <w:r>
        <w:rPr>
          <w:rStyle w:val="FootnoteReference"/>
        </w:rPr>
        <w:footnoteRef/>
      </w:r>
      <w:r>
        <w:t xml:space="preserve"> For more on the triple differences regression methodology, see Imbens and Wooldridge (2009), “Recent Developments in the Econometrics of Program Evaluation” and Chetty et. al. (2009), “Salience and Taxation: Theory and Evidence.”</w:t>
      </w:r>
    </w:p>
  </w:footnote>
  <w:footnote w:id="23">
    <w:p w:rsidR="00DA2D26" w:rsidRDefault="00DA2D26" w:rsidP="00DD0D4B">
      <w:pPr>
        <w:pStyle w:val="FootnoteText"/>
      </w:pPr>
      <w:r>
        <w:rPr>
          <w:rStyle w:val="FootnoteReference"/>
        </w:rPr>
        <w:footnoteRef/>
      </w:r>
      <w:r>
        <w:t xml:space="preserve"> A standard difference-in-differences model is used to estimate impacts before 10 AM and after 7 PM. The data used in the triple differences model is restricted to hours ending at 10 AM through 2 PM as well as each event hour for which an impact is being estimated.</w:t>
      </w:r>
    </w:p>
  </w:footnote>
  <w:footnote w:id="24">
    <w:p w:rsidR="00DA2D26" w:rsidRDefault="00DA2D26" w:rsidP="00DD0D4B">
      <w:pPr>
        <w:pStyle w:val="FootnoteText"/>
      </w:pPr>
      <w:r>
        <w:rPr>
          <w:rStyle w:val="FootnoteReference"/>
        </w:rPr>
        <w:footnoteRef/>
      </w:r>
      <w:r>
        <w:t xml:space="preserve"> </w:t>
      </w:r>
      <w:r w:rsidRPr="00F42460">
        <w:t>See CPUC Rulemaking (R.) 07-01-041 Decision (D.) 08-04-050, “Adopting Protocols for Estimating Demand Response Load Impacts” and Attachment A, “Protocols.”</w:t>
      </w:r>
    </w:p>
  </w:footnote>
  <w:footnote w:id="25">
    <w:p w:rsidR="00DA2D26" w:rsidRDefault="00DA2D26" w:rsidP="00DD0D4B">
      <w:pPr>
        <w:pStyle w:val="FootnoteText"/>
      </w:pPr>
      <w:r>
        <w:rPr>
          <w:rStyle w:val="FootnoteReference"/>
        </w:rPr>
        <w:footnoteRef/>
      </w:r>
      <w:r>
        <w:t xml:space="preserve"> See </w:t>
      </w:r>
      <w:r w:rsidRPr="00633D7C">
        <w:rPr>
          <w:i/>
        </w:rPr>
        <w:t xml:space="preserve">Statewide Demand Response </w:t>
      </w:r>
      <w:r>
        <w:rPr>
          <w:i/>
        </w:rPr>
        <w:t>Ex-Ante</w:t>
      </w:r>
      <w:r w:rsidRPr="00633D7C">
        <w:rPr>
          <w:i/>
        </w:rPr>
        <w:t xml:space="preserve"> Weather Conditions</w:t>
      </w:r>
      <w:r>
        <w:t>. Nexant, Inc. January 30, 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6D26CC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122F78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2EA7074"/>
    <w:lvl w:ilvl="0">
      <w:start w:val="1"/>
      <w:numFmt w:val="decimal"/>
      <w:pStyle w:val="ListNumber3"/>
      <w:lvlText w:val="%1."/>
      <w:lvlJc w:val="left"/>
      <w:pPr>
        <w:tabs>
          <w:tab w:val="num" w:pos="1080"/>
        </w:tabs>
        <w:ind w:left="1080" w:hanging="360"/>
      </w:pPr>
      <w:rPr>
        <w:rFonts w:cs="Times New Roman"/>
      </w:rPr>
    </w:lvl>
  </w:abstractNum>
  <w:abstractNum w:abstractNumId="3">
    <w:nsid w:val="FFFFFF7F"/>
    <w:multiLevelType w:val="singleLevel"/>
    <w:tmpl w:val="7E3E7E58"/>
    <w:lvl w:ilvl="0">
      <w:start w:val="1"/>
      <w:numFmt w:val="decimal"/>
      <w:pStyle w:val="ListNumber2"/>
      <w:lvlText w:val="%1."/>
      <w:lvlJc w:val="left"/>
      <w:pPr>
        <w:tabs>
          <w:tab w:val="num" w:pos="720"/>
        </w:tabs>
        <w:ind w:left="720" w:hanging="360"/>
      </w:pPr>
    </w:lvl>
  </w:abstractNum>
  <w:abstractNum w:abstractNumId="4">
    <w:nsid w:val="FFFFFF80"/>
    <w:multiLevelType w:val="singleLevel"/>
    <w:tmpl w:val="8632982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8F70203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E638A90A"/>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D7239A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4C26530"/>
    <w:lvl w:ilvl="0">
      <w:start w:val="1"/>
      <w:numFmt w:val="decimal"/>
      <w:pStyle w:val="ListNumber"/>
      <w:lvlText w:val="%1."/>
      <w:lvlJc w:val="left"/>
      <w:pPr>
        <w:tabs>
          <w:tab w:val="num" w:pos="360"/>
        </w:tabs>
        <w:ind w:left="360" w:hanging="360"/>
      </w:pPr>
    </w:lvl>
  </w:abstractNum>
  <w:abstractNum w:abstractNumId="9">
    <w:nsid w:val="FFFFFF89"/>
    <w:multiLevelType w:val="singleLevel"/>
    <w:tmpl w:val="7EF636F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107185"/>
    <w:multiLevelType w:val="multilevel"/>
    <w:tmpl w:val="84D66B1A"/>
    <w:lvl w:ilvl="0">
      <w:start w:val="9"/>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747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021C1335"/>
    <w:multiLevelType w:val="multilevel"/>
    <w:tmpl w:val="5FB06294"/>
    <w:lvl w:ilvl="0">
      <w:start w:val="1"/>
      <w:numFmt w:val="decimal"/>
      <w:lvlText w:val="%1."/>
      <w:lvlJc w:val="left"/>
      <w:pPr>
        <w:tabs>
          <w:tab w:val="num" w:pos="720"/>
        </w:tabs>
        <w:ind w:left="720" w:hanging="360"/>
      </w:pPr>
      <w:rPr>
        <w:rFonts w:cs="Times New Roman"/>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04154202"/>
    <w:multiLevelType w:val="hybridMultilevel"/>
    <w:tmpl w:val="085E45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62F5674"/>
    <w:multiLevelType w:val="hybridMultilevel"/>
    <w:tmpl w:val="652A9A1E"/>
    <w:lvl w:ilvl="0" w:tplc="F5241B0E">
      <w:start w:val="6"/>
      <w:numFmt w:val="decimal"/>
      <w:pStyle w:val="NumbersLa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89B549B"/>
    <w:multiLevelType w:val="multilevel"/>
    <w:tmpl w:val="029A357E"/>
    <w:lvl w:ilvl="0">
      <w:start w:val="1"/>
      <w:numFmt w:val="decimal"/>
      <w:pStyle w:val="Bullet"/>
      <w:lvlText w:val="%1."/>
      <w:lvlJc w:val="left"/>
      <w:pPr>
        <w:tabs>
          <w:tab w:val="num" w:pos="0"/>
        </w:tabs>
      </w:pPr>
      <w:rPr>
        <w:rFonts w:cs="Times New Roman" w:hint="default"/>
      </w:rPr>
    </w:lvl>
    <w:lvl w:ilvl="1">
      <w:start w:val="4"/>
      <w:numFmt w:val="decimal"/>
      <w:lvlText w:val="%1.%2"/>
      <w:lvlJc w:val="left"/>
      <w:pPr>
        <w:tabs>
          <w:tab w:val="num" w:pos="-360"/>
        </w:tabs>
        <w:ind w:left="-360" w:hanging="720"/>
      </w:pPr>
      <w:rPr>
        <w:rFonts w:cs="Times New Roman" w:hint="default"/>
      </w:rPr>
    </w:lvl>
    <w:lvl w:ilvl="2">
      <w:start w:val="1"/>
      <w:numFmt w:val="decimal"/>
      <w:lvlText w:val="%1.%2.%3"/>
      <w:lvlJc w:val="left"/>
      <w:pPr>
        <w:tabs>
          <w:tab w:val="num" w:pos="0"/>
        </w:tabs>
        <w:ind w:hanging="720"/>
      </w:pPr>
      <w:rPr>
        <w:rFonts w:cs="Times New Roman" w:hint="default"/>
      </w:rPr>
    </w:lvl>
    <w:lvl w:ilvl="3">
      <w:start w:val="1"/>
      <w:numFmt w:val="decimal"/>
      <w:lvlText w:val="%1.%2.%3.%4"/>
      <w:lvlJc w:val="left"/>
      <w:pPr>
        <w:tabs>
          <w:tab w:val="num" w:pos="720"/>
        </w:tabs>
        <w:ind w:left="72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800"/>
        </w:tabs>
        <w:ind w:left="1800" w:hanging="1440"/>
      </w:pPr>
      <w:rPr>
        <w:rFonts w:cs="Times New Roman" w:hint="default"/>
      </w:rPr>
    </w:lvl>
    <w:lvl w:ilvl="6">
      <w:start w:val="1"/>
      <w:numFmt w:val="decimal"/>
      <w:lvlText w:val="%1.%2.%3.%4.%5.%6.%7"/>
      <w:lvlJc w:val="left"/>
      <w:pPr>
        <w:tabs>
          <w:tab w:val="num" w:pos="2520"/>
        </w:tabs>
        <w:ind w:left="2520" w:hanging="1800"/>
      </w:pPr>
      <w:rPr>
        <w:rFonts w:cs="Times New Roman" w:hint="default"/>
      </w:rPr>
    </w:lvl>
    <w:lvl w:ilvl="7">
      <w:start w:val="1"/>
      <w:numFmt w:val="decimal"/>
      <w:lvlText w:val="%1.%2.%3.%4.%5.%6.%7.%8"/>
      <w:lvlJc w:val="left"/>
      <w:pPr>
        <w:tabs>
          <w:tab w:val="num" w:pos="2880"/>
        </w:tabs>
        <w:ind w:left="2880" w:hanging="180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15">
    <w:nsid w:val="092B6473"/>
    <w:multiLevelType w:val="hybridMultilevel"/>
    <w:tmpl w:val="B134833A"/>
    <w:lvl w:ilvl="0" w:tplc="0409000F">
      <w:start w:val="1"/>
      <w:numFmt w:val="decimal"/>
      <w:lvlText w:val="%1."/>
      <w:lvlJc w:val="left"/>
      <w:pPr>
        <w:tabs>
          <w:tab w:val="num" w:pos="360"/>
        </w:tabs>
        <w:ind w:left="360" w:hanging="360"/>
      </w:pPr>
      <w:rPr>
        <w:rFonts w:hint="default"/>
        <w:sz w:val="20"/>
        <w:szCs w:val="18"/>
      </w:rPr>
    </w:lvl>
    <w:lvl w:ilvl="1" w:tplc="31B43296">
      <w:start w:val="1"/>
      <w:numFmt w:val="decimal"/>
      <w:lvlText w:val="%2."/>
      <w:lvlJc w:val="left"/>
      <w:pPr>
        <w:tabs>
          <w:tab w:val="num" w:pos="1080"/>
        </w:tabs>
        <w:ind w:left="1080" w:hanging="360"/>
      </w:pPr>
      <w:rPr>
        <w:rFonts w:ascii="Verdana" w:hAnsi="Verdana" w:hint="default"/>
        <w:sz w:val="16"/>
        <w:szCs w:val="16"/>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nsid w:val="096A593E"/>
    <w:multiLevelType w:val="hybridMultilevel"/>
    <w:tmpl w:val="BF0CB3C6"/>
    <w:lvl w:ilvl="0" w:tplc="4A6091AE">
      <w:start w:val="1"/>
      <w:numFmt w:val="bullet"/>
      <w:pStyle w:val="Bullets"/>
      <w:lvlText w:val=""/>
      <w:lvlJc w:val="left"/>
      <w:pPr>
        <w:tabs>
          <w:tab w:val="num" w:pos="720"/>
        </w:tabs>
        <w:ind w:left="720" w:hanging="360"/>
      </w:pPr>
      <w:rPr>
        <w:rFonts w:ascii="Wingdings" w:hAnsi="Wingdings" w:hint="default"/>
        <w:color w:val="433B67"/>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0A7561E2"/>
    <w:multiLevelType w:val="hybridMultilevel"/>
    <w:tmpl w:val="6F6C1304"/>
    <w:lvl w:ilvl="0" w:tplc="FB1E35EA">
      <w:start w:val="1"/>
      <w:numFmt w:val="decimal"/>
      <w:pStyle w:val="Numbers"/>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0E934BEB"/>
    <w:multiLevelType w:val="hybridMultilevel"/>
    <w:tmpl w:val="5B124B2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12C661A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13013CAD"/>
    <w:multiLevelType w:val="multilevel"/>
    <w:tmpl w:val="0AB2B7C8"/>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666" w:hanging="576"/>
      </w:pPr>
      <w:rPr>
        <w:rFonts w:cs="Times New Roman"/>
      </w:rPr>
    </w:lvl>
    <w:lvl w:ilvl="2">
      <w:start w:val="1"/>
      <w:numFmt w:val="decimal"/>
      <w:pStyle w:val="Heading3"/>
      <w:lvlText w:val="%1.%2.%3"/>
      <w:lvlJc w:val="left"/>
      <w:pPr>
        <w:ind w:left="1260" w:hanging="72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167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21">
    <w:nsid w:val="200523B1"/>
    <w:multiLevelType w:val="hybridMultilevel"/>
    <w:tmpl w:val="3BAC8910"/>
    <w:lvl w:ilvl="0" w:tplc="77800714">
      <w:start w:val="1"/>
      <w:numFmt w:val="decimal"/>
      <w:lvlText w:val="%1."/>
      <w:lvlJc w:val="left"/>
      <w:pPr>
        <w:ind w:left="360" w:hanging="360"/>
      </w:pPr>
      <w:rPr>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73D0FFE"/>
    <w:multiLevelType w:val="hybridMultilevel"/>
    <w:tmpl w:val="55981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73F474E"/>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A565445"/>
    <w:multiLevelType w:val="hybridMultilevel"/>
    <w:tmpl w:val="D15C5A8A"/>
    <w:lvl w:ilvl="0" w:tplc="D3D63836">
      <w:start w:val="1"/>
      <w:numFmt w:val="bullet"/>
      <w:pStyle w:val="BulletedListIndent"/>
      <w:lvlText w:val="o"/>
      <w:lvlJc w:val="left"/>
      <w:pPr>
        <w:ind w:left="720" w:hanging="360"/>
      </w:pPr>
      <w:rPr>
        <w:rFonts w:ascii="Courier New" w:hAnsi="Courier New" w:cs="Courier New" w:hint="default"/>
        <w:sz w:val="20"/>
        <w:szCs w:val="18"/>
      </w:rPr>
    </w:lvl>
    <w:lvl w:ilvl="1" w:tplc="04090001">
      <w:start w:val="1"/>
      <w:numFmt w:val="bullet"/>
      <w:lvlText w:val=""/>
      <w:lvlJc w:val="left"/>
      <w:pPr>
        <w:tabs>
          <w:tab w:val="num" w:pos="1440"/>
        </w:tabs>
        <w:ind w:left="1440" w:hanging="360"/>
      </w:pPr>
      <w:rPr>
        <w:rFonts w:ascii="Symbol" w:hAnsi="Symbol" w:hint="default"/>
        <w:sz w:val="16"/>
        <w:szCs w:val="16"/>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2CDA6A0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2EEE269A"/>
    <w:multiLevelType w:val="hybridMultilevel"/>
    <w:tmpl w:val="29F06894"/>
    <w:lvl w:ilvl="0" w:tplc="9EAC9F0C">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B153D8"/>
    <w:multiLevelType w:val="hybridMultilevel"/>
    <w:tmpl w:val="BF86FDCE"/>
    <w:lvl w:ilvl="0" w:tplc="4E2EB1EC">
      <w:start w:val="1"/>
      <w:numFmt w:val="bullet"/>
      <w:pStyle w:val="Bulletedlistlevel2"/>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32A76288"/>
    <w:multiLevelType w:val="hybridMultilevel"/>
    <w:tmpl w:val="942E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3F632E3"/>
    <w:multiLevelType w:val="hybridMultilevel"/>
    <w:tmpl w:val="F314F8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381540FF"/>
    <w:multiLevelType w:val="hybridMultilevel"/>
    <w:tmpl w:val="63BED94E"/>
    <w:lvl w:ilvl="0" w:tplc="0409000F">
      <w:start w:val="1"/>
      <w:numFmt w:val="decimal"/>
      <w:lvlText w:val="%1."/>
      <w:lvlJc w:val="left"/>
      <w:pPr>
        <w:tabs>
          <w:tab w:val="num" w:pos="720"/>
        </w:tabs>
        <w:ind w:left="72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3C262EF4"/>
    <w:multiLevelType w:val="hybridMultilevel"/>
    <w:tmpl w:val="1C0697EE"/>
    <w:lvl w:ilvl="0" w:tplc="885A545C">
      <w:start w:val="1"/>
      <w:numFmt w:val="decimal"/>
      <w:lvlText w:val="%1."/>
      <w:lvlJc w:val="left"/>
      <w:pPr>
        <w:ind w:left="720" w:hanging="360"/>
      </w:pPr>
      <w:rPr>
        <w:rFonts w:hint="default"/>
        <w:u w:color="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2ED4F8E"/>
    <w:multiLevelType w:val="hybridMultilevel"/>
    <w:tmpl w:val="726E8394"/>
    <w:lvl w:ilvl="0" w:tplc="C2DA9C7C">
      <w:start w:val="1"/>
      <w:numFmt w:val="bullet"/>
      <w:pStyle w:val="Bulletedlist"/>
      <w:lvlText w:val=""/>
      <w:lvlJc w:val="left"/>
      <w:pPr>
        <w:tabs>
          <w:tab w:val="num" w:pos="725"/>
        </w:tabs>
        <w:ind w:left="725" w:hanging="360"/>
      </w:pPr>
      <w:rPr>
        <w:rFonts w:ascii="Symbol" w:hAnsi="Symbol" w:hint="default"/>
        <w:color w:val="auto"/>
      </w:rPr>
    </w:lvl>
    <w:lvl w:ilvl="1" w:tplc="04090001">
      <w:start w:val="1"/>
      <w:numFmt w:val="bullet"/>
      <w:lvlText w:val="o"/>
      <w:lvlJc w:val="left"/>
      <w:pPr>
        <w:tabs>
          <w:tab w:val="num" w:pos="1445"/>
        </w:tabs>
        <w:ind w:left="1445" w:hanging="360"/>
      </w:pPr>
      <w:rPr>
        <w:rFonts w:ascii="Courier New" w:hAnsi="Courier New" w:hint="default"/>
      </w:rPr>
    </w:lvl>
    <w:lvl w:ilvl="2" w:tplc="FFFFFFFF" w:tentative="1">
      <w:start w:val="1"/>
      <w:numFmt w:val="bullet"/>
      <w:lvlText w:val=""/>
      <w:lvlJc w:val="left"/>
      <w:pPr>
        <w:tabs>
          <w:tab w:val="num" w:pos="2165"/>
        </w:tabs>
        <w:ind w:left="2165" w:hanging="360"/>
      </w:pPr>
      <w:rPr>
        <w:rFonts w:ascii="Wingdings" w:hAnsi="Wingdings" w:hint="default"/>
      </w:rPr>
    </w:lvl>
    <w:lvl w:ilvl="3" w:tplc="FFFFFFFF" w:tentative="1">
      <w:start w:val="1"/>
      <w:numFmt w:val="bullet"/>
      <w:lvlText w:val=""/>
      <w:lvlJc w:val="left"/>
      <w:pPr>
        <w:tabs>
          <w:tab w:val="num" w:pos="2885"/>
        </w:tabs>
        <w:ind w:left="2885" w:hanging="360"/>
      </w:pPr>
      <w:rPr>
        <w:rFonts w:ascii="Symbol" w:hAnsi="Symbol" w:hint="default"/>
      </w:rPr>
    </w:lvl>
    <w:lvl w:ilvl="4" w:tplc="FFFFFFFF" w:tentative="1">
      <w:start w:val="1"/>
      <w:numFmt w:val="bullet"/>
      <w:lvlText w:val="o"/>
      <w:lvlJc w:val="left"/>
      <w:pPr>
        <w:tabs>
          <w:tab w:val="num" w:pos="3605"/>
        </w:tabs>
        <w:ind w:left="3605" w:hanging="360"/>
      </w:pPr>
      <w:rPr>
        <w:rFonts w:ascii="Courier New" w:hAnsi="Courier New" w:hint="default"/>
      </w:rPr>
    </w:lvl>
    <w:lvl w:ilvl="5" w:tplc="FFFFFFFF" w:tentative="1">
      <w:start w:val="1"/>
      <w:numFmt w:val="bullet"/>
      <w:lvlText w:val=""/>
      <w:lvlJc w:val="left"/>
      <w:pPr>
        <w:tabs>
          <w:tab w:val="num" w:pos="4325"/>
        </w:tabs>
        <w:ind w:left="4325" w:hanging="360"/>
      </w:pPr>
      <w:rPr>
        <w:rFonts w:ascii="Wingdings" w:hAnsi="Wingdings" w:hint="default"/>
      </w:rPr>
    </w:lvl>
    <w:lvl w:ilvl="6" w:tplc="FFFFFFFF" w:tentative="1">
      <w:start w:val="1"/>
      <w:numFmt w:val="bullet"/>
      <w:lvlText w:val=""/>
      <w:lvlJc w:val="left"/>
      <w:pPr>
        <w:tabs>
          <w:tab w:val="num" w:pos="5045"/>
        </w:tabs>
        <w:ind w:left="5045" w:hanging="360"/>
      </w:pPr>
      <w:rPr>
        <w:rFonts w:ascii="Symbol" w:hAnsi="Symbol" w:hint="default"/>
      </w:rPr>
    </w:lvl>
    <w:lvl w:ilvl="7" w:tplc="FFFFFFFF" w:tentative="1">
      <w:start w:val="1"/>
      <w:numFmt w:val="bullet"/>
      <w:lvlText w:val="o"/>
      <w:lvlJc w:val="left"/>
      <w:pPr>
        <w:tabs>
          <w:tab w:val="num" w:pos="5765"/>
        </w:tabs>
        <w:ind w:left="5765" w:hanging="360"/>
      </w:pPr>
      <w:rPr>
        <w:rFonts w:ascii="Courier New" w:hAnsi="Courier New" w:hint="default"/>
      </w:rPr>
    </w:lvl>
    <w:lvl w:ilvl="8" w:tplc="FFFFFFFF" w:tentative="1">
      <w:start w:val="1"/>
      <w:numFmt w:val="bullet"/>
      <w:lvlText w:val=""/>
      <w:lvlJc w:val="left"/>
      <w:pPr>
        <w:tabs>
          <w:tab w:val="num" w:pos="6485"/>
        </w:tabs>
        <w:ind w:left="6485" w:hanging="360"/>
      </w:pPr>
      <w:rPr>
        <w:rFonts w:ascii="Wingdings" w:hAnsi="Wingdings" w:hint="default"/>
      </w:rPr>
    </w:lvl>
  </w:abstractNum>
  <w:abstractNum w:abstractNumId="33">
    <w:nsid w:val="49254F48"/>
    <w:multiLevelType w:val="hybridMultilevel"/>
    <w:tmpl w:val="A1D277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92B45F3"/>
    <w:multiLevelType w:val="hybridMultilevel"/>
    <w:tmpl w:val="E2D0E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29036A5"/>
    <w:multiLevelType w:val="hybridMultilevel"/>
    <w:tmpl w:val="2220AFC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nsid w:val="56D02D32"/>
    <w:multiLevelType w:val="hybridMultilevel"/>
    <w:tmpl w:val="359AA1CA"/>
    <w:lvl w:ilvl="0" w:tplc="0409000F">
      <w:start w:val="1"/>
      <w:numFmt w:val="decimal"/>
      <w:lvlText w:val="%1."/>
      <w:lvlJc w:val="left"/>
      <w:pPr>
        <w:tabs>
          <w:tab w:val="num" w:pos="720"/>
        </w:tabs>
        <w:ind w:left="720" w:hanging="360"/>
      </w:pPr>
      <w:rPr>
        <w:rFonts w:cs="Times New Roman"/>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59752D11"/>
    <w:multiLevelType w:val="hybridMultilevel"/>
    <w:tmpl w:val="49546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3DA7DD7"/>
    <w:multiLevelType w:val="hybridMultilevel"/>
    <w:tmpl w:val="D21871C6"/>
    <w:lvl w:ilvl="0" w:tplc="04090001">
      <w:start w:val="1"/>
      <w:numFmt w:val="bullet"/>
      <w:pStyle w:val="Resume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4497E68"/>
    <w:multiLevelType w:val="multilevel"/>
    <w:tmpl w:val="BAA2770C"/>
    <w:lvl w:ilvl="0">
      <w:start w:val="1"/>
      <w:numFmt w:val="upperLetter"/>
      <w:pStyle w:val="AppendixHeading"/>
      <w:lvlText w:val="Appendix %1."/>
      <w:lvlJc w:val="left"/>
      <w:pPr>
        <w:ind w:left="4140" w:hanging="360"/>
      </w:pPr>
      <w:rPr>
        <w:rFonts w:cs="Times New Roman"/>
        <w:b w:val="0"/>
        <w:bCs w:val="0"/>
        <w:i w:val="0"/>
        <w:iCs w:val="0"/>
        <w:caps w:val="0"/>
        <w:smallCaps w:val="0"/>
        <w:strike w:val="0"/>
        <w:dstrike w:val="0"/>
        <w:vanish w:val="0"/>
        <w:color w:val="433B67"/>
        <w:spacing w:val="0"/>
        <w:kern w:val="0"/>
        <w:position w:val="0"/>
        <w:u w:val="none"/>
        <w:vertAlign w:val="baseline"/>
      </w:rPr>
    </w:lvl>
    <w:lvl w:ilvl="1">
      <w:start w:val="1"/>
      <w:numFmt w:val="decimal"/>
      <w:pStyle w:val="AppendixHeading2"/>
      <w:lvlText w:val="%1.%2."/>
      <w:lvlJc w:val="left"/>
      <w:pPr>
        <w:ind w:left="-3438" w:hanging="432"/>
      </w:pPr>
      <w:rPr>
        <w:rFonts w:ascii="Arial" w:hAnsi="Arial" w:cs="Arial" w:hint="default"/>
        <w:b/>
        <w:bCs w:val="0"/>
        <w:i w:val="0"/>
        <w:iCs w:val="0"/>
        <w:caps w:val="0"/>
        <w:smallCaps w:val="0"/>
        <w:strike w:val="0"/>
        <w:dstrike w:val="0"/>
        <w:snapToGrid w:val="0"/>
        <w:vanish w:val="0"/>
        <w:color w:val="5F497A"/>
        <w:spacing w:val="0"/>
        <w:w w:val="0"/>
        <w:kern w:val="0"/>
        <w:position w:val="0"/>
        <w:sz w:val="2"/>
        <w:szCs w:val="24"/>
        <w:u w:val="none"/>
        <w:vertAlign w:val="baseline"/>
      </w:rPr>
    </w:lvl>
    <w:lvl w:ilvl="2">
      <w:start w:val="1"/>
      <w:numFmt w:val="decimal"/>
      <w:pStyle w:val="AppendixHeading"/>
      <w:lvlText w:val="%1.%2.%3."/>
      <w:lvlJc w:val="left"/>
      <w:pPr>
        <w:ind w:left="-2826" w:hanging="504"/>
      </w:pPr>
      <w:rPr>
        <w:rFonts w:ascii="Arial" w:hAnsi="Arial" w:cs="Arial" w:hint="default"/>
        <w:b/>
        <w:bCs w:val="0"/>
        <w:i w:val="0"/>
        <w:iCs w:val="0"/>
        <w:caps w:val="0"/>
        <w:smallCaps w:val="0"/>
        <w:strike w:val="0"/>
        <w:dstrike w:val="0"/>
        <w:snapToGrid w:val="0"/>
        <w:vanish w:val="0"/>
        <w:color w:val="5F497A"/>
        <w:spacing w:val="0"/>
        <w:w w:val="0"/>
        <w:kern w:val="0"/>
        <w:position w:val="0"/>
        <w:sz w:val="2"/>
        <w:szCs w:val="24"/>
        <w:u w:val="none"/>
        <w:vertAlign w:val="baseline"/>
      </w:rPr>
    </w:lvl>
    <w:lvl w:ilvl="3">
      <w:start w:val="1"/>
      <w:numFmt w:val="decimal"/>
      <w:lvlText w:val="%1.%2.%3.%4."/>
      <w:lvlJc w:val="left"/>
      <w:pPr>
        <w:ind w:left="-2592" w:hanging="648"/>
      </w:pPr>
      <w:rPr>
        <w:rFonts w:cs="Times New Roman" w:hint="default"/>
      </w:rPr>
    </w:lvl>
    <w:lvl w:ilvl="4">
      <w:start w:val="1"/>
      <w:numFmt w:val="decimal"/>
      <w:lvlText w:val="%1.%2.%3.%4.%5."/>
      <w:lvlJc w:val="left"/>
      <w:pPr>
        <w:ind w:left="-2088" w:hanging="792"/>
      </w:pPr>
      <w:rPr>
        <w:rFonts w:cs="Times New Roman" w:hint="default"/>
      </w:rPr>
    </w:lvl>
    <w:lvl w:ilvl="5">
      <w:start w:val="1"/>
      <w:numFmt w:val="decimal"/>
      <w:lvlText w:val="%1.%2.%3.%4.%5.%6."/>
      <w:lvlJc w:val="left"/>
      <w:pPr>
        <w:ind w:left="-1584" w:hanging="936"/>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576" w:hanging="1224"/>
      </w:pPr>
      <w:rPr>
        <w:rFonts w:cs="Times New Roman" w:hint="default"/>
      </w:rPr>
    </w:lvl>
    <w:lvl w:ilvl="8">
      <w:start w:val="1"/>
      <w:numFmt w:val="decimal"/>
      <w:lvlText w:val="%1.%2.%3.%4.%5.%6.%7.%8.%9."/>
      <w:lvlJc w:val="left"/>
      <w:pPr>
        <w:ind w:hanging="1440"/>
      </w:pPr>
      <w:rPr>
        <w:rFonts w:cs="Times New Roman" w:hint="default"/>
      </w:rPr>
    </w:lvl>
  </w:abstractNum>
  <w:abstractNum w:abstractNumId="40">
    <w:nsid w:val="655A7E60"/>
    <w:multiLevelType w:val="hybridMultilevel"/>
    <w:tmpl w:val="0F1E4E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8776D8E"/>
    <w:multiLevelType w:val="hybridMultilevel"/>
    <w:tmpl w:val="62640272"/>
    <w:lvl w:ilvl="0" w:tplc="28883E34">
      <w:start w:val="1"/>
      <w:numFmt w:val="bullet"/>
      <w:pStyle w:val="BulletedListIndent2"/>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6D354E66"/>
    <w:multiLevelType w:val="hybridMultilevel"/>
    <w:tmpl w:val="15583970"/>
    <w:lvl w:ilvl="0" w:tplc="5C7461EC">
      <w:start w:val="1"/>
      <w:numFmt w:val="bullet"/>
      <w:pStyle w:val="BulletedList0"/>
      <w:lvlText w:val=""/>
      <w:lvlJc w:val="left"/>
      <w:pPr>
        <w:tabs>
          <w:tab w:val="num" w:pos="720"/>
        </w:tabs>
        <w:ind w:left="720" w:hanging="360"/>
      </w:pPr>
      <w:rPr>
        <w:rFonts w:ascii="Symbol" w:hAnsi="Symbol" w:hint="default"/>
        <w:sz w:val="20"/>
        <w:szCs w:val="18"/>
      </w:rPr>
    </w:lvl>
    <w:lvl w:ilvl="1" w:tplc="AAB44284">
      <w:start w:val="1"/>
      <w:numFmt w:val="decimal"/>
      <w:lvlText w:val="%2."/>
      <w:lvlJc w:val="left"/>
      <w:pPr>
        <w:tabs>
          <w:tab w:val="num" w:pos="1440"/>
        </w:tabs>
        <w:ind w:left="1440" w:hanging="360"/>
      </w:pPr>
      <w:rPr>
        <w:rFonts w:ascii="Times New Roman" w:hAnsi="Times New Roman" w:hint="default"/>
        <w:sz w:val="24"/>
        <w:szCs w:val="16"/>
      </w:rPr>
    </w:lvl>
    <w:lvl w:ilvl="2" w:tplc="CFCEC5E6">
      <w:start w:val="1"/>
      <w:numFmt w:val="bullet"/>
      <w:lvlText w:val=""/>
      <w:lvlJc w:val="left"/>
      <w:pPr>
        <w:tabs>
          <w:tab w:val="num" w:pos="2160"/>
        </w:tabs>
        <w:ind w:left="2160" w:hanging="360"/>
      </w:pPr>
      <w:rPr>
        <w:rFonts w:ascii="Wingdings" w:hAnsi="Wingdings" w:hint="default"/>
      </w:rPr>
    </w:lvl>
    <w:lvl w:ilvl="3" w:tplc="8F9235E0" w:tentative="1">
      <w:start w:val="1"/>
      <w:numFmt w:val="bullet"/>
      <w:lvlText w:val=""/>
      <w:lvlJc w:val="left"/>
      <w:pPr>
        <w:tabs>
          <w:tab w:val="num" w:pos="2880"/>
        </w:tabs>
        <w:ind w:left="2880" w:hanging="360"/>
      </w:pPr>
      <w:rPr>
        <w:rFonts w:ascii="Symbol" w:hAnsi="Symbol" w:hint="default"/>
      </w:rPr>
    </w:lvl>
    <w:lvl w:ilvl="4" w:tplc="5E6E3C5E" w:tentative="1">
      <w:start w:val="1"/>
      <w:numFmt w:val="bullet"/>
      <w:lvlText w:val="o"/>
      <w:lvlJc w:val="left"/>
      <w:pPr>
        <w:tabs>
          <w:tab w:val="num" w:pos="3600"/>
        </w:tabs>
        <w:ind w:left="3600" w:hanging="360"/>
      </w:pPr>
      <w:rPr>
        <w:rFonts w:ascii="Courier New" w:hAnsi="Courier New" w:cs="Courier New" w:hint="default"/>
      </w:rPr>
    </w:lvl>
    <w:lvl w:ilvl="5" w:tplc="31A4BC18" w:tentative="1">
      <w:start w:val="1"/>
      <w:numFmt w:val="bullet"/>
      <w:lvlText w:val=""/>
      <w:lvlJc w:val="left"/>
      <w:pPr>
        <w:tabs>
          <w:tab w:val="num" w:pos="4320"/>
        </w:tabs>
        <w:ind w:left="4320" w:hanging="360"/>
      </w:pPr>
      <w:rPr>
        <w:rFonts w:ascii="Wingdings" w:hAnsi="Wingdings" w:hint="default"/>
      </w:rPr>
    </w:lvl>
    <w:lvl w:ilvl="6" w:tplc="87180A94" w:tentative="1">
      <w:start w:val="1"/>
      <w:numFmt w:val="bullet"/>
      <w:lvlText w:val=""/>
      <w:lvlJc w:val="left"/>
      <w:pPr>
        <w:tabs>
          <w:tab w:val="num" w:pos="5040"/>
        </w:tabs>
        <w:ind w:left="5040" w:hanging="360"/>
      </w:pPr>
      <w:rPr>
        <w:rFonts w:ascii="Symbol" w:hAnsi="Symbol" w:hint="default"/>
      </w:rPr>
    </w:lvl>
    <w:lvl w:ilvl="7" w:tplc="44EA5B98" w:tentative="1">
      <w:start w:val="1"/>
      <w:numFmt w:val="bullet"/>
      <w:lvlText w:val="o"/>
      <w:lvlJc w:val="left"/>
      <w:pPr>
        <w:tabs>
          <w:tab w:val="num" w:pos="5760"/>
        </w:tabs>
        <w:ind w:left="5760" w:hanging="360"/>
      </w:pPr>
      <w:rPr>
        <w:rFonts w:ascii="Courier New" w:hAnsi="Courier New" w:cs="Courier New" w:hint="default"/>
      </w:rPr>
    </w:lvl>
    <w:lvl w:ilvl="8" w:tplc="6EE844FE" w:tentative="1">
      <w:start w:val="1"/>
      <w:numFmt w:val="bullet"/>
      <w:lvlText w:val=""/>
      <w:lvlJc w:val="left"/>
      <w:pPr>
        <w:tabs>
          <w:tab w:val="num" w:pos="6480"/>
        </w:tabs>
        <w:ind w:left="6480" w:hanging="360"/>
      </w:pPr>
      <w:rPr>
        <w:rFonts w:ascii="Wingdings" w:hAnsi="Wingdings" w:hint="default"/>
      </w:rPr>
    </w:lvl>
  </w:abstractNum>
  <w:abstractNum w:abstractNumId="43">
    <w:nsid w:val="78355E45"/>
    <w:multiLevelType w:val="hybridMultilevel"/>
    <w:tmpl w:val="9F1437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AA9671F"/>
    <w:multiLevelType w:val="hybridMultilevel"/>
    <w:tmpl w:val="FE222774"/>
    <w:lvl w:ilvl="0" w:tplc="9988730C">
      <w:start w:val="1"/>
      <w:numFmt w:val="decimal"/>
      <w:pStyle w:val="NumberedList"/>
      <w:lvlText w:val="%1."/>
      <w:lvlJc w:val="left"/>
      <w:pPr>
        <w:tabs>
          <w:tab w:val="num" w:pos="360"/>
        </w:tabs>
        <w:ind w:left="360" w:hanging="360"/>
      </w:pPr>
      <w:rPr>
        <w:rFonts w:ascii="Verdana" w:hAnsi="Verdana" w:hint="default"/>
        <w:sz w:val="20"/>
        <w:szCs w:val="16"/>
      </w:rPr>
    </w:lvl>
    <w:lvl w:ilvl="1" w:tplc="0409000F">
      <w:start w:val="1"/>
      <w:numFmt w:val="decimal"/>
      <w:lvlText w:val="%2."/>
      <w:lvlJc w:val="left"/>
      <w:pPr>
        <w:tabs>
          <w:tab w:val="num" w:pos="1440"/>
        </w:tabs>
        <w:ind w:left="1440" w:hanging="360"/>
      </w:pPr>
      <w:rPr>
        <w:rFonts w:hint="default"/>
        <w:sz w:val="16"/>
        <w:szCs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B5E1B60"/>
    <w:multiLevelType w:val="hybridMultilevel"/>
    <w:tmpl w:val="5D8C4888"/>
    <w:lvl w:ilvl="0" w:tplc="28883E34">
      <w:start w:val="1"/>
      <w:numFmt w:val="bullet"/>
      <w:pStyle w:val="Bulletlistindent1"/>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E52EAFF4">
      <w:numFmt w:val="bullet"/>
      <w:lvlText w:val="•"/>
      <w:lvlJc w:val="left"/>
      <w:pPr>
        <w:ind w:left="2880" w:hanging="720"/>
      </w:pPr>
      <w:rPr>
        <w:rFonts w:ascii="Tahoma" w:eastAsia="Times New Roman" w:hAnsi="Tahoma" w:cs="Tahoma"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
  </w:num>
  <w:num w:numId="4">
    <w:abstractNumId w:val="16"/>
  </w:num>
  <w:num w:numId="5">
    <w:abstractNumId w:val="39"/>
  </w:num>
  <w:num w:numId="6">
    <w:abstractNumId w:val="17"/>
    <w:lvlOverride w:ilvl="0">
      <w:startOverride w:val="1"/>
    </w:lvlOverride>
  </w:num>
  <w:num w:numId="7">
    <w:abstractNumId w:val="35"/>
  </w:num>
  <w:num w:numId="8">
    <w:abstractNumId w:val="11"/>
  </w:num>
  <w:num w:numId="9">
    <w:abstractNumId w:val="42"/>
  </w:num>
  <w:num w:numId="10">
    <w:abstractNumId w:val="30"/>
  </w:num>
  <w:num w:numId="11">
    <w:abstractNumId w:val="37"/>
  </w:num>
  <w:num w:numId="12">
    <w:abstractNumId w:val="13"/>
  </w:num>
  <w:num w:numId="13">
    <w:abstractNumId w:val="12"/>
  </w:num>
  <w:num w:numId="14">
    <w:abstractNumId w:val="43"/>
  </w:num>
  <w:num w:numId="15">
    <w:abstractNumId w:val="21"/>
  </w:num>
  <w:num w:numId="16">
    <w:abstractNumId w:val="26"/>
  </w:num>
  <w:num w:numId="17">
    <w:abstractNumId w:val="28"/>
  </w:num>
  <w:num w:numId="18">
    <w:abstractNumId w:val="33"/>
  </w:num>
  <w:num w:numId="19">
    <w:abstractNumId w:val="15"/>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1"/>
  </w:num>
  <w:num w:numId="28">
    <w:abstractNumId w:val="0"/>
  </w:num>
  <w:num w:numId="29">
    <w:abstractNumId w:val="25"/>
  </w:num>
  <w:num w:numId="30">
    <w:abstractNumId w:val="19"/>
  </w:num>
  <w:num w:numId="31">
    <w:abstractNumId w:val="23"/>
  </w:num>
  <w:num w:numId="32">
    <w:abstractNumId w:val="24"/>
  </w:num>
  <w:num w:numId="33">
    <w:abstractNumId w:val="44"/>
  </w:num>
  <w:num w:numId="34">
    <w:abstractNumId w:val="41"/>
  </w:num>
  <w:num w:numId="35">
    <w:abstractNumId w:val="32"/>
  </w:num>
  <w:num w:numId="36">
    <w:abstractNumId w:val="45"/>
  </w:num>
  <w:num w:numId="37">
    <w:abstractNumId w:val="27"/>
  </w:num>
  <w:num w:numId="38">
    <w:abstractNumId w:val="38"/>
  </w:num>
  <w:num w:numId="39">
    <w:abstractNumId w:val="34"/>
  </w:num>
  <w:num w:numId="40">
    <w:abstractNumId w:val="10"/>
  </w:num>
  <w:num w:numId="41">
    <w:abstractNumId w:val="20"/>
  </w:num>
  <w:num w:numId="42">
    <w:abstractNumId w:val="20"/>
  </w:num>
  <w:num w:numId="43">
    <w:abstractNumId w:val="18"/>
  </w:num>
  <w:num w:numId="44">
    <w:abstractNumId w:val="40"/>
  </w:num>
  <w:num w:numId="45">
    <w:abstractNumId w:val="36"/>
  </w:num>
  <w:num w:numId="46">
    <w:abstractNumId w:val="22"/>
  </w:num>
  <w:num w:numId="47">
    <w:abstractNumId w:val="29"/>
  </w:num>
  <w:num w:numId="48">
    <w:abstractNumId w:val="31"/>
  </w:num>
  <w:num w:numId="49">
    <w:abstractNumId w:val="20"/>
  </w:num>
  <w:num w:numId="50">
    <w:abstractNumId w:val="20"/>
  </w:num>
  <w:num w:numId="51">
    <w:abstractNumId w:val="20"/>
  </w:num>
  <w:num w:numId="52">
    <w:abstractNumId w:val="20"/>
  </w:num>
  <w:num w:numId="53">
    <w:abstractNumId w:val="20"/>
  </w:num>
  <w:num w:numId="5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540"/>
    <w:rsid w:val="00001F45"/>
    <w:rsid w:val="00003054"/>
    <w:rsid w:val="00003F85"/>
    <w:rsid w:val="0000427D"/>
    <w:rsid w:val="00004F8A"/>
    <w:rsid w:val="000052A1"/>
    <w:rsid w:val="000057D5"/>
    <w:rsid w:val="0000581C"/>
    <w:rsid w:val="000068E8"/>
    <w:rsid w:val="000072DB"/>
    <w:rsid w:val="00007B3A"/>
    <w:rsid w:val="0001058E"/>
    <w:rsid w:val="00010DD2"/>
    <w:rsid w:val="00010DF5"/>
    <w:rsid w:val="000117DA"/>
    <w:rsid w:val="00011B71"/>
    <w:rsid w:val="00011E44"/>
    <w:rsid w:val="00013331"/>
    <w:rsid w:val="00014A51"/>
    <w:rsid w:val="00014C1E"/>
    <w:rsid w:val="00016A02"/>
    <w:rsid w:val="00021137"/>
    <w:rsid w:val="00021F84"/>
    <w:rsid w:val="0002239B"/>
    <w:rsid w:val="000226C1"/>
    <w:rsid w:val="000227CA"/>
    <w:rsid w:val="0002585C"/>
    <w:rsid w:val="00025E22"/>
    <w:rsid w:val="00030613"/>
    <w:rsid w:val="00030ACA"/>
    <w:rsid w:val="00030DDE"/>
    <w:rsid w:val="000311F9"/>
    <w:rsid w:val="00031C07"/>
    <w:rsid w:val="000327F0"/>
    <w:rsid w:val="0003743F"/>
    <w:rsid w:val="00037538"/>
    <w:rsid w:val="00037E3D"/>
    <w:rsid w:val="00040B22"/>
    <w:rsid w:val="000423B2"/>
    <w:rsid w:val="00042545"/>
    <w:rsid w:val="00044FCF"/>
    <w:rsid w:val="00045490"/>
    <w:rsid w:val="00045EFE"/>
    <w:rsid w:val="00046833"/>
    <w:rsid w:val="00046A9B"/>
    <w:rsid w:val="00047421"/>
    <w:rsid w:val="00050374"/>
    <w:rsid w:val="00050AD7"/>
    <w:rsid w:val="00052850"/>
    <w:rsid w:val="00052AF3"/>
    <w:rsid w:val="0005439D"/>
    <w:rsid w:val="000549FF"/>
    <w:rsid w:val="00056CAF"/>
    <w:rsid w:val="00056F78"/>
    <w:rsid w:val="00057690"/>
    <w:rsid w:val="00062A4F"/>
    <w:rsid w:val="0006386E"/>
    <w:rsid w:val="0006541F"/>
    <w:rsid w:val="00066B3F"/>
    <w:rsid w:val="00066B5C"/>
    <w:rsid w:val="00073F9F"/>
    <w:rsid w:val="00074A68"/>
    <w:rsid w:val="00075332"/>
    <w:rsid w:val="00077AF7"/>
    <w:rsid w:val="0008024C"/>
    <w:rsid w:val="00080492"/>
    <w:rsid w:val="00081093"/>
    <w:rsid w:val="00081209"/>
    <w:rsid w:val="00087CC3"/>
    <w:rsid w:val="0009032E"/>
    <w:rsid w:val="00091DAE"/>
    <w:rsid w:val="0009244E"/>
    <w:rsid w:val="00093998"/>
    <w:rsid w:val="0009401A"/>
    <w:rsid w:val="0009433B"/>
    <w:rsid w:val="00094749"/>
    <w:rsid w:val="000952BB"/>
    <w:rsid w:val="00095C9F"/>
    <w:rsid w:val="00096CB6"/>
    <w:rsid w:val="000975F6"/>
    <w:rsid w:val="000A0050"/>
    <w:rsid w:val="000A389B"/>
    <w:rsid w:val="000A48C3"/>
    <w:rsid w:val="000A4B8E"/>
    <w:rsid w:val="000A56B7"/>
    <w:rsid w:val="000A5E1A"/>
    <w:rsid w:val="000A691E"/>
    <w:rsid w:val="000A704E"/>
    <w:rsid w:val="000B07BA"/>
    <w:rsid w:val="000B07F9"/>
    <w:rsid w:val="000B0979"/>
    <w:rsid w:val="000B103A"/>
    <w:rsid w:val="000B18DE"/>
    <w:rsid w:val="000B29C5"/>
    <w:rsid w:val="000B4C34"/>
    <w:rsid w:val="000B5390"/>
    <w:rsid w:val="000B581E"/>
    <w:rsid w:val="000B62BB"/>
    <w:rsid w:val="000C1BC4"/>
    <w:rsid w:val="000C22B9"/>
    <w:rsid w:val="000C2D7D"/>
    <w:rsid w:val="000C3771"/>
    <w:rsid w:val="000C3AB7"/>
    <w:rsid w:val="000C47D5"/>
    <w:rsid w:val="000C4806"/>
    <w:rsid w:val="000C4CCC"/>
    <w:rsid w:val="000C635A"/>
    <w:rsid w:val="000C65EB"/>
    <w:rsid w:val="000C6F2C"/>
    <w:rsid w:val="000C7FF9"/>
    <w:rsid w:val="000D06CB"/>
    <w:rsid w:val="000D0B63"/>
    <w:rsid w:val="000D1320"/>
    <w:rsid w:val="000D5959"/>
    <w:rsid w:val="000D6E7A"/>
    <w:rsid w:val="000E0814"/>
    <w:rsid w:val="000E0BAB"/>
    <w:rsid w:val="000E0D3D"/>
    <w:rsid w:val="000E158A"/>
    <w:rsid w:val="000E1E12"/>
    <w:rsid w:val="000E252D"/>
    <w:rsid w:val="000E2A84"/>
    <w:rsid w:val="000E5343"/>
    <w:rsid w:val="000E55EE"/>
    <w:rsid w:val="000E5A34"/>
    <w:rsid w:val="000E5D4D"/>
    <w:rsid w:val="000E5F8D"/>
    <w:rsid w:val="000E65B6"/>
    <w:rsid w:val="000E665E"/>
    <w:rsid w:val="000E6977"/>
    <w:rsid w:val="000E71E6"/>
    <w:rsid w:val="000E782B"/>
    <w:rsid w:val="000F3F3B"/>
    <w:rsid w:val="000F5055"/>
    <w:rsid w:val="000F617D"/>
    <w:rsid w:val="00100D62"/>
    <w:rsid w:val="00100EA3"/>
    <w:rsid w:val="00102293"/>
    <w:rsid w:val="0010247B"/>
    <w:rsid w:val="00102C48"/>
    <w:rsid w:val="001055CE"/>
    <w:rsid w:val="0010609A"/>
    <w:rsid w:val="00106C6D"/>
    <w:rsid w:val="00110D69"/>
    <w:rsid w:val="00110D86"/>
    <w:rsid w:val="0011105A"/>
    <w:rsid w:val="00111B1B"/>
    <w:rsid w:val="00111C59"/>
    <w:rsid w:val="00112848"/>
    <w:rsid w:val="0011290E"/>
    <w:rsid w:val="00112E81"/>
    <w:rsid w:val="00113908"/>
    <w:rsid w:val="00113EB9"/>
    <w:rsid w:val="001148DD"/>
    <w:rsid w:val="00114A73"/>
    <w:rsid w:val="00116253"/>
    <w:rsid w:val="001176FE"/>
    <w:rsid w:val="001212D5"/>
    <w:rsid w:val="00121B4B"/>
    <w:rsid w:val="00125691"/>
    <w:rsid w:val="00125E88"/>
    <w:rsid w:val="001265F6"/>
    <w:rsid w:val="00126A78"/>
    <w:rsid w:val="00126E1B"/>
    <w:rsid w:val="00127229"/>
    <w:rsid w:val="001278ED"/>
    <w:rsid w:val="00127DC4"/>
    <w:rsid w:val="001317E6"/>
    <w:rsid w:val="00131A7F"/>
    <w:rsid w:val="00131BF6"/>
    <w:rsid w:val="00134AB3"/>
    <w:rsid w:val="00135DB3"/>
    <w:rsid w:val="00136315"/>
    <w:rsid w:val="00136E4F"/>
    <w:rsid w:val="00140561"/>
    <w:rsid w:val="0014245D"/>
    <w:rsid w:val="00144779"/>
    <w:rsid w:val="00145797"/>
    <w:rsid w:val="00146059"/>
    <w:rsid w:val="0014703D"/>
    <w:rsid w:val="001501BC"/>
    <w:rsid w:val="0015193D"/>
    <w:rsid w:val="00151D22"/>
    <w:rsid w:val="001527F2"/>
    <w:rsid w:val="00153733"/>
    <w:rsid w:val="001537DB"/>
    <w:rsid w:val="00153D9E"/>
    <w:rsid w:val="0015465A"/>
    <w:rsid w:val="00154E69"/>
    <w:rsid w:val="00156412"/>
    <w:rsid w:val="001565EF"/>
    <w:rsid w:val="001567FC"/>
    <w:rsid w:val="001568BF"/>
    <w:rsid w:val="001621E7"/>
    <w:rsid w:val="001640E2"/>
    <w:rsid w:val="001658D9"/>
    <w:rsid w:val="00166BDF"/>
    <w:rsid w:val="00167192"/>
    <w:rsid w:val="00170272"/>
    <w:rsid w:val="00170514"/>
    <w:rsid w:val="00172018"/>
    <w:rsid w:val="00172394"/>
    <w:rsid w:val="0017357A"/>
    <w:rsid w:val="00174B6C"/>
    <w:rsid w:val="0017568A"/>
    <w:rsid w:val="00177969"/>
    <w:rsid w:val="00180039"/>
    <w:rsid w:val="001802FD"/>
    <w:rsid w:val="00181117"/>
    <w:rsid w:val="00183028"/>
    <w:rsid w:val="00186244"/>
    <w:rsid w:val="0018668C"/>
    <w:rsid w:val="001922FD"/>
    <w:rsid w:val="00192B68"/>
    <w:rsid w:val="00194E42"/>
    <w:rsid w:val="0019597E"/>
    <w:rsid w:val="00197889"/>
    <w:rsid w:val="00197B33"/>
    <w:rsid w:val="001A03AF"/>
    <w:rsid w:val="001A0D02"/>
    <w:rsid w:val="001A1632"/>
    <w:rsid w:val="001A3BCC"/>
    <w:rsid w:val="001A4590"/>
    <w:rsid w:val="001A55C2"/>
    <w:rsid w:val="001A67C6"/>
    <w:rsid w:val="001A7E7C"/>
    <w:rsid w:val="001B0ACB"/>
    <w:rsid w:val="001B1839"/>
    <w:rsid w:val="001B2C2D"/>
    <w:rsid w:val="001B44DF"/>
    <w:rsid w:val="001C2903"/>
    <w:rsid w:val="001C2DD6"/>
    <w:rsid w:val="001C2EB3"/>
    <w:rsid w:val="001C71A5"/>
    <w:rsid w:val="001C7314"/>
    <w:rsid w:val="001C7789"/>
    <w:rsid w:val="001D079D"/>
    <w:rsid w:val="001D1189"/>
    <w:rsid w:val="001D135E"/>
    <w:rsid w:val="001D16F7"/>
    <w:rsid w:val="001D1E6B"/>
    <w:rsid w:val="001D2ECF"/>
    <w:rsid w:val="001D398B"/>
    <w:rsid w:val="001D451F"/>
    <w:rsid w:val="001D4A69"/>
    <w:rsid w:val="001D4BDA"/>
    <w:rsid w:val="001D5412"/>
    <w:rsid w:val="001D5559"/>
    <w:rsid w:val="001D6229"/>
    <w:rsid w:val="001D6308"/>
    <w:rsid w:val="001D6B62"/>
    <w:rsid w:val="001D6CDB"/>
    <w:rsid w:val="001D7102"/>
    <w:rsid w:val="001D7446"/>
    <w:rsid w:val="001E0AFA"/>
    <w:rsid w:val="001E1E05"/>
    <w:rsid w:val="001E1F67"/>
    <w:rsid w:val="001E3ED0"/>
    <w:rsid w:val="001E57C9"/>
    <w:rsid w:val="001E7DAA"/>
    <w:rsid w:val="001F0C37"/>
    <w:rsid w:val="001F1158"/>
    <w:rsid w:val="001F11B0"/>
    <w:rsid w:val="001F2948"/>
    <w:rsid w:val="001F36AD"/>
    <w:rsid w:val="001F447B"/>
    <w:rsid w:val="001F4DE1"/>
    <w:rsid w:val="001F4FB3"/>
    <w:rsid w:val="001F574D"/>
    <w:rsid w:val="001F5906"/>
    <w:rsid w:val="001F68BF"/>
    <w:rsid w:val="001F797B"/>
    <w:rsid w:val="00202D0C"/>
    <w:rsid w:val="00203199"/>
    <w:rsid w:val="0020357C"/>
    <w:rsid w:val="00203F24"/>
    <w:rsid w:val="0020481F"/>
    <w:rsid w:val="00204B0C"/>
    <w:rsid w:val="00205691"/>
    <w:rsid w:val="002061E0"/>
    <w:rsid w:val="00206DCA"/>
    <w:rsid w:val="0020759B"/>
    <w:rsid w:val="00210EE8"/>
    <w:rsid w:val="00211D9C"/>
    <w:rsid w:val="00212601"/>
    <w:rsid w:val="00212D51"/>
    <w:rsid w:val="002153F9"/>
    <w:rsid w:val="00216385"/>
    <w:rsid w:val="00220C75"/>
    <w:rsid w:val="00221278"/>
    <w:rsid w:val="00221BE7"/>
    <w:rsid w:val="002237CA"/>
    <w:rsid w:val="00226A04"/>
    <w:rsid w:val="00227A0E"/>
    <w:rsid w:val="002306AD"/>
    <w:rsid w:val="0023090A"/>
    <w:rsid w:val="00231CC3"/>
    <w:rsid w:val="00231D6F"/>
    <w:rsid w:val="002324B7"/>
    <w:rsid w:val="00232B26"/>
    <w:rsid w:val="00232C4A"/>
    <w:rsid w:val="00233115"/>
    <w:rsid w:val="00233AF4"/>
    <w:rsid w:val="00234127"/>
    <w:rsid w:val="00235892"/>
    <w:rsid w:val="002361BC"/>
    <w:rsid w:val="002362E9"/>
    <w:rsid w:val="00240A8E"/>
    <w:rsid w:val="00240D8D"/>
    <w:rsid w:val="0024147B"/>
    <w:rsid w:val="00241E2F"/>
    <w:rsid w:val="0024252A"/>
    <w:rsid w:val="00242F4D"/>
    <w:rsid w:val="0024318F"/>
    <w:rsid w:val="00243901"/>
    <w:rsid w:val="00243CB0"/>
    <w:rsid w:val="0024432F"/>
    <w:rsid w:val="0024517C"/>
    <w:rsid w:val="002465A0"/>
    <w:rsid w:val="00246761"/>
    <w:rsid w:val="00246C60"/>
    <w:rsid w:val="00246DB7"/>
    <w:rsid w:val="00247080"/>
    <w:rsid w:val="0024735F"/>
    <w:rsid w:val="0024778D"/>
    <w:rsid w:val="00247DE4"/>
    <w:rsid w:val="002502A4"/>
    <w:rsid w:val="00250FFB"/>
    <w:rsid w:val="002516D8"/>
    <w:rsid w:val="00251998"/>
    <w:rsid w:val="00251FFD"/>
    <w:rsid w:val="00252370"/>
    <w:rsid w:val="002534BC"/>
    <w:rsid w:val="002535E2"/>
    <w:rsid w:val="0025699E"/>
    <w:rsid w:val="002571E4"/>
    <w:rsid w:val="00260B68"/>
    <w:rsid w:val="0026159B"/>
    <w:rsid w:val="00262447"/>
    <w:rsid w:val="00262C6A"/>
    <w:rsid w:val="00263F19"/>
    <w:rsid w:val="0026474C"/>
    <w:rsid w:val="002659DC"/>
    <w:rsid w:val="002672C4"/>
    <w:rsid w:val="00267953"/>
    <w:rsid w:val="002707CA"/>
    <w:rsid w:val="0027135C"/>
    <w:rsid w:val="00272009"/>
    <w:rsid w:val="00272770"/>
    <w:rsid w:val="00272A69"/>
    <w:rsid w:val="00272B56"/>
    <w:rsid w:val="0027426A"/>
    <w:rsid w:val="002750D6"/>
    <w:rsid w:val="002759D2"/>
    <w:rsid w:val="00275B1E"/>
    <w:rsid w:val="00275D73"/>
    <w:rsid w:val="00276C4D"/>
    <w:rsid w:val="00276D50"/>
    <w:rsid w:val="00277992"/>
    <w:rsid w:val="00280A1D"/>
    <w:rsid w:val="002812CF"/>
    <w:rsid w:val="002815BF"/>
    <w:rsid w:val="00282977"/>
    <w:rsid w:val="00282E7D"/>
    <w:rsid w:val="00283005"/>
    <w:rsid w:val="0028364D"/>
    <w:rsid w:val="002854CA"/>
    <w:rsid w:val="00286A9F"/>
    <w:rsid w:val="00287C67"/>
    <w:rsid w:val="00287CF2"/>
    <w:rsid w:val="00287DB8"/>
    <w:rsid w:val="00291C7C"/>
    <w:rsid w:val="00292DCC"/>
    <w:rsid w:val="00294D41"/>
    <w:rsid w:val="00294E5C"/>
    <w:rsid w:val="002957BB"/>
    <w:rsid w:val="00295819"/>
    <w:rsid w:val="002962B3"/>
    <w:rsid w:val="00297372"/>
    <w:rsid w:val="00297E03"/>
    <w:rsid w:val="002A0033"/>
    <w:rsid w:val="002A0222"/>
    <w:rsid w:val="002A1147"/>
    <w:rsid w:val="002A4145"/>
    <w:rsid w:val="002A5891"/>
    <w:rsid w:val="002A5CD6"/>
    <w:rsid w:val="002A616C"/>
    <w:rsid w:val="002A61D0"/>
    <w:rsid w:val="002A7927"/>
    <w:rsid w:val="002A7C33"/>
    <w:rsid w:val="002B0346"/>
    <w:rsid w:val="002B13D0"/>
    <w:rsid w:val="002B1A8D"/>
    <w:rsid w:val="002B31E0"/>
    <w:rsid w:val="002B37E3"/>
    <w:rsid w:val="002B4216"/>
    <w:rsid w:val="002B449B"/>
    <w:rsid w:val="002C0855"/>
    <w:rsid w:val="002C0D7C"/>
    <w:rsid w:val="002C17DD"/>
    <w:rsid w:val="002C252C"/>
    <w:rsid w:val="002C33B4"/>
    <w:rsid w:val="002C47DD"/>
    <w:rsid w:val="002C5429"/>
    <w:rsid w:val="002C6E18"/>
    <w:rsid w:val="002C750C"/>
    <w:rsid w:val="002C79CF"/>
    <w:rsid w:val="002C7F8A"/>
    <w:rsid w:val="002D0924"/>
    <w:rsid w:val="002D1054"/>
    <w:rsid w:val="002D2130"/>
    <w:rsid w:val="002D256B"/>
    <w:rsid w:val="002D291F"/>
    <w:rsid w:val="002D38CC"/>
    <w:rsid w:val="002D4CE9"/>
    <w:rsid w:val="002D646C"/>
    <w:rsid w:val="002D7F64"/>
    <w:rsid w:val="002E544A"/>
    <w:rsid w:val="002E736D"/>
    <w:rsid w:val="002F05A7"/>
    <w:rsid w:val="002F19D1"/>
    <w:rsid w:val="002F257B"/>
    <w:rsid w:val="002F2CEA"/>
    <w:rsid w:val="002F4141"/>
    <w:rsid w:val="002F4968"/>
    <w:rsid w:val="002F51DA"/>
    <w:rsid w:val="002F533A"/>
    <w:rsid w:val="002F600E"/>
    <w:rsid w:val="002F6317"/>
    <w:rsid w:val="002F7F1A"/>
    <w:rsid w:val="003009BF"/>
    <w:rsid w:val="003012B0"/>
    <w:rsid w:val="00302072"/>
    <w:rsid w:val="003045BA"/>
    <w:rsid w:val="00306400"/>
    <w:rsid w:val="00307772"/>
    <w:rsid w:val="00310DF2"/>
    <w:rsid w:val="003114EC"/>
    <w:rsid w:val="0031611E"/>
    <w:rsid w:val="00317731"/>
    <w:rsid w:val="00321066"/>
    <w:rsid w:val="00321868"/>
    <w:rsid w:val="003218F7"/>
    <w:rsid w:val="0032216C"/>
    <w:rsid w:val="00322503"/>
    <w:rsid w:val="00324486"/>
    <w:rsid w:val="00324F87"/>
    <w:rsid w:val="00325A4C"/>
    <w:rsid w:val="0033043F"/>
    <w:rsid w:val="00331BB9"/>
    <w:rsid w:val="0033225E"/>
    <w:rsid w:val="00332ECB"/>
    <w:rsid w:val="00333059"/>
    <w:rsid w:val="00333634"/>
    <w:rsid w:val="0033429B"/>
    <w:rsid w:val="00334B92"/>
    <w:rsid w:val="00334BBD"/>
    <w:rsid w:val="00334F58"/>
    <w:rsid w:val="003369A0"/>
    <w:rsid w:val="003369D5"/>
    <w:rsid w:val="00336E76"/>
    <w:rsid w:val="0033788E"/>
    <w:rsid w:val="00337C0A"/>
    <w:rsid w:val="003405BC"/>
    <w:rsid w:val="003419F9"/>
    <w:rsid w:val="00344D62"/>
    <w:rsid w:val="00345EDF"/>
    <w:rsid w:val="0034621F"/>
    <w:rsid w:val="00347BF3"/>
    <w:rsid w:val="00347D34"/>
    <w:rsid w:val="003510CA"/>
    <w:rsid w:val="00352000"/>
    <w:rsid w:val="003521FC"/>
    <w:rsid w:val="0035349A"/>
    <w:rsid w:val="0035376E"/>
    <w:rsid w:val="003538F2"/>
    <w:rsid w:val="003562F8"/>
    <w:rsid w:val="003578E7"/>
    <w:rsid w:val="00357DEC"/>
    <w:rsid w:val="00360E0E"/>
    <w:rsid w:val="0036120E"/>
    <w:rsid w:val="00361F1C"/>
    <w:rsid w:val="003624FE"/>
    <w:rsid w:val="00362ACC"/>
    <w:rsid w:val="003646A1"/>
    <w:rsid w:val="00364E23"/>
    <w:rsid w:val="003656CE"/>
    <w:rsid w:val="00366061"/>
    <w:rsid w:val="00367162"/>
    <w:rsid w:val="003672DF"/>
    <w:rsid w:val="00370DF4"/>
    <w:rsid w:val="00370ECC"/>
    <w:rsid w:val="0037106F"/>
    <w:rsid w:val="003710EE"/>
    <w:rsid w:val="00371970"/>
    <w:rsid w:val="0037213E"/>
    <w:rsid w:val="00372421"/>
    <w:rsid w:val="003729C2"/>
    <w:rsid w:val="003740DC"/>
    <w:rsid w:val="003744DB"/>
    <w:rsid w:val="00374ECA"/>
    <w:rsid w:val="003752DA"/>
    <w:rsid w:val="003773E4"/>
    <w:rsid w:val="003800C8"/>
    <w:rsid w:val="00380329"/>
    <w:rsid w:val="0038124C"/>
    <w:rsid w:val="00382BDA"/>
    <w:rsid w:val="00382CA9"/>
    <w:rsid w:val="00384313"/>
    <w:rsid w:val="00386A62"/>
    <w:rsid w:val="00386AF2"/>
    <w:rsid w:val="00386F6B"/>
    <w:rsid w:val="0039074A"/>
    <w:rsid w:val="00390A95"/>
    <w:rsid w:val="00391012"/>
    <w:rsid w:val="003912F0"/>
    <w:rsid w:val="003915CD"/>
    <w:rsid w:val="00391B66"/>
    <w:rsid w:val="00391DA0"/>
    <w:rsid w:val="00392E86"/>
    <w:rsid w:val="003960D6"/>
    <w:rsid w:val="003A0841"/>
    <w:rsid w:val="003A2CE9"/>
    <w:rsid w:val="003A446A"/>
    <w:rsid w:val="003A5FB4"/>
    <w:rsid w:val="003A6DDE"/>
    <w:rsid w:val="003A7173"/>
    <w:rsid w:val="003B0DF6"/>
    <w:rsid w:val="003B0ED6"/>
    <w:rsid w:val="003B3391"/>
    <w:rsid w:val="003B3BCE"/>
    <w:rsid w:val="003B5EED"/>
    <w:rsid w:val="003B7886"/>
    <w:rsid w:val="003B7DDA"/>
    <w:rsid w:val="003C19CF"/>
    <w:rsid w:val="003C3DC2"/>
    <w:rsid w:val="003C44A0"/>
    <w:rsid w:val="003C4AD3"/>
    <w:rsid w:val="003C4EE9"/>
    <w:rsid w:val="003C53D3"/>
    <w:rsid w:val="003C64AF"/>
    <w:rsid w:val="003C720C"/>
    <w:rsid w:val="003C75A0"/>
    <w:rsid w:val="003D2A6B"/>
    <w:rsid w:val="003D3700"/>
    <w:rsid w:val="003D5FC0"/>
    <w:rsid w:val="003D66A3"/>
    <w:rsid w:val="003E0D58"/>
    <w:rsid w:val="003E2419"/>
    <w:rsid w:val="003E48A4"/>
    <w:rsid w:val="003E59AC"/>
    <w:rsid w:val="003E5B1A"/>
    <w:rsid w:val="003E6768"/>
    <w:rsid w:val="003E69E5"/>
    <w:rsid w:val="003E6B6C"/>
    <w:rsid w:val="003E70BA"/>
    <w:rsid w:val="003F0445"/>
    <w:rsid w:val="003F10A2"/>
    <w:rsid w:val="003F1E5D"/>
    <w:rsid w:val="003F2B0B"/>
    <w:rsid w:val="003F3C15"/>
    <w:rsid w:val="003F480D"/>
    <w:rsid w:val="003F4906"/>
    <w:rsid w:val="003F5685"/>
    <w:rsid w:val="003F693C"/>
    <w:rsid w:val="00400604"/>
    <w:rsid w:val="00401922"/>
    <w:rsid w:val="00402C69"/>
    <w:rsid w:val="00402FF6"/>
    <w:rsid w:val="00404E9E"/>
    <w:rsid w:val="00405911"/>
    <w:rsid w:val="00405FA7"/>
    <w:rsid w:val="00406298"/>
    <w:rsid w:val="004071B1"/>
    <w:rsid w:val="0041059F"/>
    <w:rsid w:val="00411AAE"/>
    <w:rsid w:val="0041301E"/>
    <w:rsid w:val="00413A01"/>
    <w:rsid w:val="00413EDB"/>
    <w:rsid w:val="00415217"/>
    <w:rsid w:val="00415319"/>
    <w:rsid w:val="00416411"/>
    <w:rsid w:val="00417890"/>
    <w:rsid w:val="00421EED"/>
    <w:rsid w:val="004222DE"/>
    <w:rsid w:val="004236C6"/>
    <w:rsid w:val="00423DF5"/>
    <w:rsid w:val="0042415C"/>
    <w:rsid w:val="00426565"/>
    <w:rsid w:val="00426AC4"/>
    <w:rsid w:val="00426F8A"/>
    <w:rsid w:val="00427C65"/>
    <w:rsid w:val="00427F96"/>
    <w:rsid w:val="0043048E"/>
    <w:rsid w:val="00430D2B"/>
    <w:rsid w:val="004321F8"/>
    <w:rsid w:val="00432296"/>
    <w:rsid w:val="00432452"/>
    <w:rsid w:val="00432C68"/>
    <w:rsid w:val="004338BA"/>
    <w:rsid w:val="00433D47"/>
    <w:rsid w:val="00433FE3"/>
    <w:rsid w:val="00434C7B"/>
    <w:rsid w:val="00435223"/>
    <w:rsid w:val="004355E2"/>
    <w:rsid w:val="0043739D"/>
    <w:rsid w:val="00437D67"/>
    <w:rsid w:val="00437EF1"/>
    <w:rsid w:val="004435B4"/>
    <w:rsid w:val="0044392B"/>
    <w:rsid w:val="004463A2"/>
    <w:rsid w:val="00446CDA"/>
    <w:rsid w:val="004473E9"/>
    <w:rsid w:val="00447636"/>
    <w:rsid w:val="00450533"/>
    <w:rsid w:val="004513C8"/>
    <w:rsid w:val="004525AD"/>
    <w:rsid w:val="00454F95"/>
    <w:rsid w:val="0045632D"/>
    <w:rsid w:val="00456723"/>
    <w:rsid w:val="00460677"/>
    <w:rsid w:val="00460B86"/>
    <w:rsid w:val="00460C2A"/>
    <w:rsid w:val="004623E8"/>
    <w:rsid w:val="00462B6D"/>
    <w:rsid w:val="00462F5C"/>
    <w:rsid w:val="00463466"/>
    <w:rsid w:val="00463C1B"/>
    <w:rsid w:val="00463C7B"/>
    <w:rsid w:val="00464BCF"/>
    <w:rsid w:val="00464D2E"/>
    <w:rsid w:val="00464FAF"/>
    <w:rsid w:val="00464FC5"/>
    <w:rsid w:val="004675F7"/>
    <w:rsid w:val="004678D1"/>
    <w:rsid w:val="00470152"/>
    <w:rsid w:val="00470869"/>
    <w:rsid w:val="00471E6B"/>
    <w:rsid w:val="004725D8"/>
    <w:rsid w:val="004726D0"/>
    <w:rsid w:val="00473009"/>
    <w:rsid w:val="00476478"/>
    <w:rsid w:val="00477378"/>
    <w:rsid w:val="00481557"/>
    <w:rsid w:val="004818A8"/>
    <w:rsid w:val="00482412"/>
    <w:rsid w:val="004829BE"/>
    <w:rsid w:val="00484BC0"/>
    <w:rsid w:val="00484C01"/>
    <w:rsid w:val="004855B6"/>
    <w:rsid w:val="00486A59"/>
    <w:rsid w:val="00487EF7"/>
    <w:rsid w:val="00490A94"/>
    <w:rsid w:val="00490C98"/>
    <w:rsid w:val="0049104D"/>
    <w:rsid w:val="00491862"/>
    <w:rsid w:val="00491BB8"/>
    <w:rsid w:val="00493445"/>
    <w:rsid w:val="00493A8A"/>
    <w:rsid w:val="00493D41"/>
    <w:rsid w:val="00494757"/>
    <w:rsid w:val="00495709"/>
    <w:rsid w:val="00495722"/>
    <w:rsid w:val="00495E5C"/>
    <w:rsid w:val="004960CC"/>
    <w:rsid w:val="00497839"/>
    <w:rsid w:val="00497BE2"/>
    <w:rsid w:val="004A0BD3"/>
    <w:rsid w:val="004A18B0"/>
    <w:rsid w:val="004A1EA7"/>
    <w:rsid w:val="004A2251"/>
    <w:rsid w:val="004A295E"/>
    <w:rsid w:val="004A2F32"/>
    <w:rsid w:val="004A340F"/>
    <w:rsid w:val="004A3AE7"/>
    <w:rsid w:val="004A3D21"/>
    <w:rsid w:val="004A4563"/>
    <w:rsid w:val="004A495A"/>
    <w:rsid w:val="004A7358"/>
    <w:rsid w:val="004A736E"/>
    <w:rsid w:val="004B0873"/>
    <w:rsid w:val="004B0FEA"/>
    <w:rsid w:val="004B2046"/>
    <w:rsid w:val="004B223C"/>
    <w:rsid w:val="004B289E"/>
    <w:rsid w:val="004B5063"/>
    <w:rsid w:val="004B5613"/>
    <w:rsid w:val="004B6928"/>
    <w:rsid w:val="004C0257"/>
    <w:rsid w:val="004C11F1"/>
    <w:rsid w:val="004C2D71"/>
    <w:rsid w:val="004C348B"/>
    <w:rsid w:val="004C3F63"/>
    <w:rsid w:val="004C5F61"/>
    <w:rsid w:val="004D14CD"/>
    <w:rsid w:val="004D1D82"/>
    <w:rsid w:val="004D2C2D"/>
    <w:rsid w:val="004D3CD0"/>
    <w:rsid w:val="004D3EE1"/>
    <w:rsid w:val="004D6D5D"/>
    <w:rsid w:val="004D7048"/>
    <w:rsid w:val="004E1650"/>
    <w:rsid w:val="004E1C19"/>
    <w:rsid w:val="004E1CB6"/>
    <w:rsid w:val="004E3B4F"/>
    <w:rsid w:val="004E42F5"/>
    <w:rsid w:val="004E6AC1"/>
    <w:rsid w:val="004E705E"/>
    <w:rsid w:val="004E709F"/>
    <w:rsid w:val="004E79BD"/>
    <w:rsid w:val="004F0F37"/>
    <w:rsid w:val="004F1D68"/>
    <w:rsid w:val="004F37B9"/>
    <w:rsid w:val="004F583F"/>
    <w:rsid w:val="004F6B6C"/>
    <w:rsid w:val="004F763E"/>
    <w:rsid w:val="0050034B"/>
    <w:rsid w:val="00500983"/>
    <w:rsid w:val="00500D2B"/>
    <w:rsid w:val="00502850"/>
    <w:rsid w:val="00503036"/>
    <w:rsid w:val="005030F3"/>
    <w:rsid w:val="00503CE7"/>
    <w:rsid w:val="0050696C"/>
    <w:rsid w:val="005078DB"/>
    <w:rsid w:val="00510136"/>
    <w:rsid w:val="00510157"/>
    <w:rsid w:val="00510275"/>
    <w:rsid w:val="00511320"/>
    <w:rsid w:val="005116DE"/>
    <w:rsid w:val="005127D6"/>
    <w:rsid w:val="0051329A"/>
    <w:rsid w:val="00515129"/>
    <w:rsid w:val="0051673D"/>
    <w:rsid w:val="00517145"/>
    <w:rsid w:val="00517F0C"/>
    <w:rsid w:val="00520546"/>
    <w:rsid w:val="00520B26"/>
    <w:rsid w:val="0052138A"/>
    <w:rsid w:val="00522475"/>
    <w:rsid w:val="00522F21"/>
    <w:rsid w:val="00523E40"/>
    <w:rsid w:val="00527702"/>
    <w:rsid w:val="00527F2F"/>
    <w:rsid w:val="00530736"/>
    <w:rsid w:val="00530D0B"/>
    <w:rsid w:val="00530E12"/>
    <w:rsid w:val="005368CB"/>
    <w:rsid w:val="00536C86"/>
    <w:rsid w:val="005402EF"/>
    <w:rsid w:val="005408AF"/>
    <w:rsid w:val="00541169"/>
    <w:rsid w:val="005418E4"/>
    <w:rsid w:val="005422C0"/>
    <w:rsid w:val="00542375"/>
    <w:rsid w:val="005441BC"/>
    <w:rsid w:val="00545A92"/>
    <w:rsid w:val="005469D3"/>
    <w:rsid w:val="00547998"/>
    <w:rsid w:val="005506E3"/>
    <w:rsid w:val="005506FF"/>
    <w:rsid w:val="00551353"/>
    <w:rsid w:val="00552CB3"/>
    <w:rsid w:val="00554DF6"/>
    <w:rsid w:val="005567FF"/>
    <w:rsid w:val="0055775B"/>
    <w:rsid w:val="00560F58"/>
    <w:rsid w:val="00561477"/>
    <w:rsid w:val="00561D0C"/>
    <w:rsid w:val="005621AA"/>
    <w:rsid w:val="0056265E"/>
    <w:rsid w:val="00562F9E"/>
    <w:rsid w:val="005668E1"/>
    <w:rsid w:val="00566C45"/>
    <w:rsid w:val="005676BF"/>
    <w:rsid w:val="00567D39"/>
    <w:rsid w:val="005703B8"/>
    <w:rsid w:val="00570536"/>
    <w:rsid w:val="00570A84"/>
    <w:rsid w:val="00570D03"/>
    <w:rsid w:val="00571D25"/>
    <w:rsid w:val="00572130"/>
    <w:rsid w:val="00572742"/>
    <w:rsid w:val="00573A4D"/>
    <w:rsid w:val="0057418A"/>
    <w:rsid w:val="00575003"/>
    <w:rsid w:val="005750EB"/>
    <w:rsid w:val="00575992"/>
    <w:rsid w:val="0057681B"/>
    <w:rsid w:val="00577FF4"/>
    <w:rsid w:val="00580728"/>
    <w:rsid w:val="00580D5B"/>
    <w:rsid w:val="0058231D"/>
    <w:rsid w:val="00582EF8"/>
    <w:rsid w:val="00583BCA"/>
    <w:rsid w:val="005850EC"/>
    <w:rsid w:val="00585387"/>
    <w:rsid w:val="005854B2"/>
    <w:rsid w:val="00586770"/>
    <w:rsid w:val="005871D0"/>
    <w:rsid w:val="00591E48"/>
    <w:rsid w:val="00592B88"/>
    <w:rsid w:val="00593D61"/>
    <w:rsid w:val="0059445C"/>
    <w:rsid w:val="00595EE7"/>
    <w:rsid w:val="005965CC"/>
    <w:rsid w:val="005A05AF"/>
    <w:rsid w:val="005A0FE9"/>
    <w:rsid w:val="005A17AA"/>
    <w:rsid w:val="005A2715"/>
    <w:rsid w:val="005A2873"/>
    <w:rsid w:val="005A2F8E"/>
    <w:rsid w:val="005A37AE"/>
    <w:rsid w:val="005A4343"/>
    <w:rsid w:val="005A445B"/>
    <w:rsid w:val="005A49F3"/>
    <w:rsid w:val="005B31B2"/>
    <w:rsid w:val="005B5BD3"/>
    <w:rsid w:val="005B6F94"/>
    <w:rsid w:val="005B6FD9"/>
    <w:rsid w:val="005C03DB"/>
    <w:rsid w:val="005C04BF"/>
    <w:rsid w:val="005C2418"/>
    <w:rsid w:val="005C31B1"/>
    <w:rsid w:val="005C35EB"/>
    <w:rsid w:val="005C4C8C"/>
    <w:rsid w:val="005C50B8"/>
    <w:rsid w:val="005C56A3"/>
    <w:rsid w:val="005C630C"/>
    <w:rsid w:val="005C6E78"/>
    <w:rsid w:val="005D030B"/>
    <w:rsid w:val="005D0535"/>
    <w:rsid w:val="005D0DB0"/>
    <w:rsid w:val="005D0FBB"/>
    <w:rsid w:val="005D1166"/>
    <w:rsid w:val="005D1DC0"/>
    <w:rsid w:val="005D1EE9"/>
    <w:rsid w:val="005D209A"/>
    <w:rsid w:val="005D319B"/>
    <w:rsid w:val="005D38FA"/>
    <w:rsid w:val="005D3A2F"/>
    <w:rsid w:val="005D5D91"/>
    <w:rsid w:val="005D69DB"/>
    <w:rsid w:val="005D7374"/>
    <w:rsid w:val="005D7D2C"/>
    <w:rsid w:val="005E230D"/>
    <w:rsid w:val="005E320C"/>
    <w:rsid w:val="005E3B6F"/>
    <w:rsid w:val="005E4FBE"/>
    <w:rsid w:val="005E5B7D"/>
    <w:rsid w:val="005E5CBF"/>
    <w:rsid w:val="005E74DA"/>
    <w:rsid w:val="005E7CE7"/>
    <w:rsid w:val="005F4580"/>
    <w:rsid w:val="005F5720"/>
    <w:rsid w:val="005F6A21"/>
    <w:rsid w:val="005F7370"/>
    <w:rsid w:val="005F7427"/>
    <w:rsid w:val="005F7A8D"/>
    <w:rsid w:val="00600AC4"/>
    <w:rsid w:val="00601307"/>
    <w:rsid w:val="00601C8D"/>
    <w:rsid w:val="00601D0D"/>
    <w:rsid w:val="00602A02"/>
    <w:rsid w:val="00602AFE"/>
    <w:rsid w:val="00602D90"/>
    <w:rsid w:val="00603093"/>
    <w:rsid w:val="00604112"/>
    <w:rsid w:val="00604A76"/>
    <w:rsid w:val="00605CF1"/>
    <w:rsid w:val="0060692D"/>
    <w:rsid w:val="00607007"/>
    <w:rsid w:val="00610058"/>
    <w:rsid w:val="006101A4"/>
    <w:rsid w:val="006114B7"/>
    <w:rsid w:val="0061363E"/>
    <w:rsid w:val="0061368F"/>
    <w:rsid w:val="0061413A"/>
    <w:rsid w:val="00615539"/>
    <w:rsid w:val="0062176E"/>
    <w:rsid w:val="00622833"/>
    <w:rsid w:val="00622E30"/>
    <w:rsid w:val="0062320E"/>
    <w:rsid w:val="00623475"/>
    <w:rsid w:val="0062422A"/>
    <w:rsid w:val="0062576E"/>
    <w:rsid w:val="006257EA"/>
    <w:rsid w:val="00626303"/>
    <w:rsid w:val="00626674"/>
    <w:rsid w:val="00630830"/>
    <w:rsid w:val="0063115F"/>
    <w:rsid w:val="006319C9"/>
    <w:rsid w:val="0063403D"/>
    <w:rsid w:val="00636A18"/>
    <w:rsid w:val="00641719"/>
    <w:rsid w:val="00641D9D"/>
    <w:rsid w:val="00642B7D"/>
    <w:rsid w:val="006438EB"/>
    <w:rsid w:val="006454BA"/>
    <w:rsid w:val="00646308"/>
    <w:rsid w:val="006464F3"/>
    <w:rsid w:val="00646C1E"/>
    <w:rsid w:val="0064720B"/>
    <w:rsid w:val="00650CA1"/>
    <w:rsid w:val="00651193"/>
    <w:rsid w:val="00652F43"/>
    <w:rsid w:val="00653FC5"/>
    <w:rsid w:val="006542F7"/>
    <w:rsid w:val="00654774"/>
    <w:rsid w:val="00654931"/>
    <w:rsid w:val="00655713"/>
    <w:rsid w:val="00656B9A"/>
    <w:rsid w:val="006631C6"/>
    <w:rsid w:val="00663DD1"/>
    <w:rsid w:val="00666FDA"/>
    <w:rsid w:val="0066757C"/>
    <w:rsid w:val="0066786F"/>
    <w:rsid w:val="00667A29"/>
    <w:rsid w:val="00671171"/>
    <w:rsid w:val="0067200B"/>
    <w:rsid w:val="006733E8"/>
    <w:rsid w:val="00673585"/>
    <w:rsid w:val="00674B97"/>
    <w:rsid w:val="00674C32"/>
    <w:rsid w:val="006758D7"/>
    <w:rsid w:val="00675F93"/>
    <w:rsid w:val="00676275"/>
    <w:rsid w:val="00680D47"/>
    <w:rsid w:val="0068174A"/>
    <w:rsid w:val="00681D4A"/>
    <w:rsid w:val="00682D66"/>
    <w:rsid w:val="006843F7"/>
    <w:rsid w:val="0068567F"/>
    <w:rsid w:val="00687934"/>
    <w:rsid w:val="00687AAA"/>
    <w:rsid w:val="00687DC6"/>
    <w:rsid w:val="00690B15"/>
    <w:rsid w:val="00692B41"/>
    <w:rsid w:val="00693B2B"/>
    <w:rsid w:val="006951A1"/>
    <w:rsid w:val="00695EDA"/>
    <w:rsid w:val="00696843"/>
    <w:rsid w:val="00696ED3"/>
    <w:rsid w:val="00697757"/>
    <w:rsid w:val="006977E6"/>
    <w:rsid w:val="00697F1B"/>
    <w:rsid w:val="006A0B4D"/>
    <w:rsid w:val="006A103B"/>
    <w:rsid w:val="006A2167"/>
    <w:rsid w:val="006A229E"/>
    <w:rsid w:val="006A2FC6"/>
    <w:rsid w:val="006A33F3"/>
    <w:rsid w:val="006A3632"/>
    <w:rsid w:val="006A47F5"/>
    <w:rsid w:val="006A4E80"/>
    <w:rsid w:val="006A5110"/>
    <w:rsid w:val="006A5460"/>
    <w:rsid w:val="006A6013"/>
    <w:rsid w:val="006A6086"/>
    <w:rsid w:val="006A6333"/>
    <w:rsid w:val="006A6445"/>
    <w:rsid w:val="006A7F57"/>
    <w:rsid w:val="006B1CFD"/>
    <w:rsid w:val="006B28C6"/>
    <w:rsid w:val="006B2D38"/>
    <w:rsid w:val="006B383C"/>
    <w:rsid w:val="006B49FA"/>
    <w:rsid w:val="006B512D"/>
    <w:rsid w:val="006B51D2"/>
    <w:rsid w:val="006B61D7"/>
    <w:rsid w:val="006B702B"/>
    <w:rsid w:val="006B709A"/>
    <w:rsid w:val="006C2D97"/>
    <w:rsid w:val="006C33AD"/>
    <w:rsid w:val="006C40F9"/>
    <w:rsid w:val="006C4298"/>
    <w:rsid w:val="006C52BF"/>
    <w:rsid w:val="006C5FA8"/>
    <w:rsid w:val="006D03E7"/>
    <w:rsid w:val="006D1608"/>
    <w:rsid w:val="006D1AAE"/>
    <w:rsid w:val="006D20F3"/>
    <w:rsid w:val="006D410B"/>
    <w:rsid w:val="006D478F"/>
    <w:rsid w:val="006D54AA"/>
    <w:rsid w:val="006D647F"/>
    <w:rsid w:val="006D7836"/>
    <w:rsid w:val="006D7F6C"/>
    <w:rsid w:val="006E061E"/>
    <w:rsid w:val="006E1BBE"/>
    <w:rsid w:val="006E3695"/>
    <w:rsid w:val="006E4778"/>
    <w:rsid w:val="006F0B34"/>
    <w:rsid w:val="006F2A88"/>
    <w:rsid w:val="006F490A"/>
    <w:rsid w:val="006F5B58"/>
    <w:rsid w:val="006F61E8"/>
    <w:rsid w:val="006F63C7"/>
    <w:rsid w:val="006F7847"/>
    <w:rsid w:val="006F7A64"/>
    <w:rsid w:val="00700758"/>
    <w:rsid w:val="007013BD"/>
    <w:rsid w:val="007022FB"/>
    <w:rsid w:val="007038B8"/>
    <w:rsid w:val="0070465A"/>
    <w:rsid w:val="0070567B"/>
    <w:rsid w:val="00705ED8"/>
    <w:rsid w:val="00706249"/>
    <w:rsid w:val="00707149"/>
    <w:rsid w:val="0070784A"/>
    <w:rsid w:val="00707A59"/>
    <w:rsid w:val="00711930"/>
    <w:rsid w:val="0071209C"/>
    <w:rsid w:val="007123C3"/>
    <w:rsid w:val="0071241E"/>
    <w:rsid w:val="0071253C"/>
    <w:rsid w:val="007126D0"/>
    <w:rsid w:val="0071273C"/>
    <w:rsid w:val="00713A11"/>
    <w:rsid w:val="00713BA9"/>
    <w:rsid w:val="00713FDD"/>
    <w:rsid w:val="0071491C"/>
    <w:rsid w:val="00714AFF"/>
    <w:rsid w:val="00715D60"/>
    <w:rsid w:val="0071612D"/>
    <w:rsid w:val="007173F0"/>
    <w:rsid w:val="00721051"/>
    <w:rsid w:val="00721874"/>
    <w:rsid w:val="00723295"/>
    <w:rsid w:val="00723ACC"/>
    <w:rsid w:val="00724997"/>
    <w:rsid w:val="00724ACB"/>
    <w:rsid w:val="00726005"/>
    <w:rsid w:val="007262FF"/>
    <w:rsid w:val="0072665B"/>
    <w:rsid w:val="007330DC"/>
    <w:rsid w:val="00733437"/>
    <w:rsid w:val="00733E8A"/>
    <w:rsid w:val="00734B69"/>
    <w:rsid w:val="00734DF9"/>
    <w:rsid w:val="00735B61"/>
    <w:rsid w:val="00735CDC"/>
    <w:rsid w:val="0073605C"/>
    <w:rsid w:val="00736554"/>
    <w:rsid w:val="007407C3"/>
    <w:rsid w:val="00740B43"/>
    <w:rsid w:val="007416D5"/>
    <w:rsid w:val="00742190"/>
    <w:rsid w:val="00742210"/>
    <w:rsid w:val="00742404"/>
    <w:rsid w:val="0074284C"/>
    <w:rsid w:val="00743631"/>
    <w:rsid w:val="00745560"/>
    <w:rsid w:val="007458DA"/>
    <w:rsid w:val="00747031"/>
    <w:rsid w:val="0075092E"/>
    <w:rsid w:val="00750C36"/>
    <w:rsid w:val="00754137"/>
    <w:rsid w:val="007551C1"/>
    <w:rsid w:val="00756235"/>
    <w:rsid w:val="0076031E"/>
    <w:rsid w:val="00760345"/>
    <w:rsid w:val="00760F7D"/>
    <w:rsid w:val="00761FAA"/>
    <w:rsid w:val="00762330"/>
    <w:rsid w:val="00762DA7"/>
    <w:rsid w:val="00763059"/>
    <w:rsid w:val="00764185"/>
    <w:rsid w:val="0076490A"/>
    <w:rsid w:val="00765432"/>
    <w:rsid w:val="00765F61"/>
    <w:rsid w:val="0077235A"/>
    <w:rsid w:val="00772C35"/>
    <w:rsid w:val="00774274"/>
    <w:rsid w:val="007755A0"/>
    <w:rsid w:val="00776E7A"/>
    <w:rsid w:val="0078018D"/>
    <w:rsid w:val="007804D3"/>
    <w:rsid w:val="00780A6B"/>
    <w:rsid w:val="00781210"/>
    <w:rsid w:val="00781A78"/>
    <w:rsid w:val="00782E5D"/>
    <w:rsid w:val="00783375"/>
    <w:rsid w:val="00785CBB"/>
    <w:rsid w:val="00785EA0"/>
    <w:rsid w:val="00787864"/>
    <w:rsid w:val="0079002F"/>
    <w:rsid w:val="00790D06"/>
    <w:rsid w:val="00791126"/>
    <w:rsid w:val="00791676"/>
    <w:rsid w:val="00791F50"/>
    <w:rsid w:val="00792260"/>
    <w:rsid w:val="0079235F"/>
    <w:rsid w:val="00792946"/>
    <w:rsid w:val="00792AB1"/>
    <w:rsid w:val="007933AE"/>
    <w:rsid w:val="007946A3"/>
    <w:rsid w:val="0079525F"/>
    <w:rsid w:val="007954D8"/>
    <w:rsid w:val="00796333"/>
    <w:rsid w:val="007A1B4F"/>
    <w:rsid w:val="007A207F"/>
    <w:rsid w:val="007A2104"/>
    <w:rsid w:val="007A210C"/>
    <w:rsid w:val="007A2DFE"/>
    <w:rsid w:val="007A309F"/>
    <w:rsid w:val="007A321E"/>
    <w:rsid w:val="007A4AB1"/>
    <w:rsid w:val="007A5907"/>
    <w:rsid w:val="007A63F7"/>
    <w:rsid w:val="007B01C3"/>
    <w:rsid w:val="007B0488"/>
    <w:rsid w:val="007B064A"/>
    <w:rsid w:val="007B133F"/>
    <w:rsid w:val="007B1CE9"/>
    <w:rsid w:val="007B1F0C"/>
    <w:rsid w:val="007B25A9"/>
    <w:rsid w:val="007B5417"/>
    <w:rsid w:val="007B5597"/>
    <w:rsid w:val="007B59F4"/>
    <w:rsid w:val="007B7AB4"/>
    <w:rsid w:val="007C2758"/>
    <w:rsid w:val="007C3C01"/>
    <w:rsid w:val="007C3CEA"/>
    <w:rsid w:val="007C5AC3"/>
    <w:rsid w:val="007C603A"/>
    <w:rsid w:val="007C631D"/>
    <w:rsid w:val="007C7A6F"/>
    <w:rsid w:val="007C7BE5"/>
    <w:rsid w:val="007C7C7E"/>
    <w:rsid w:val="007D0515"/>
    <w:rsid w:val="007D2388"/>
    <w:rsid w:val="007D2550"/>
    <w:rsid w:val="007D2720"/>
    <w:rsid w:val="007D3889"/>
    <w:rsid w:val="007D4520"/>
    <w:rsid w:val="007D551F"/>
    <w:rsid w:val="007D5914"/>
    <w:rsid w:val="007D61E4"/>
    <w:rsid w:val="007D672C"/>
    <w:rsid w:val="007D720A"/>
    <w:rsid w:val="007E3E82"/>
    <w:rsid w:val="007E4F76"/>
    <w:rsid w:val="007E5DDC"/>
    <w:rsid w:val="007E7593"/>
    <w:rsid w:val="007F0C77"/>
    <w:rsid w:val="007F0FD3"/>
    <w:rsid w:val="007F1B92"/>
    <w:rsid w:val="007F2198"/>
    <w:rsid w:val="007F259C"/>
    <w:rsid w:val="007F26F2"/>
    <w:rsid w:val="007F2AF3"/>
    <w:rsid w:val="007F2EAB"/>
    <w:rsid w:val="007F301E"/>
    <w:rsid w:val="007F4E89"/>
    <w:rsid w:val="007F5573"/>
    <w:rsid w:val="007F5FD5"/>
    <w:rsid w:val="007F6640"/>
    <w:rsid w:val="00800D4D"/>
    <w:rsid w:val="00801ACE"/>
    <w:rsid w:val="00801B54"/>
    <w:rsid w:val="00801F4C"/>
    <w:rsid w:val="0080224B"/>
    <w:rsid w:val="00802B79"/>
    <w:rsid w:val="00802EAD"/>
    <w:rsid w:val="00802F98"/>
    <w:rsid w:val="00802FB5"/>
    <w:rsid w:val="008070B8"/>
    <w:rsid w:val="00807247"/>
    <w:rsid w:val="008078BF"/>
    <w:rsid w:val="00807E69"/>
    <w:rsid w:val="00810172"/>
    <w:rsid w:val="00810936"/>
    <w:rsid w:val="008111C8"/>
    <w:rsid w:val="0081173F"/>
    <w:rsid w:val="008118EE"/>
    <w:rsid w:val="008123C7"/>
    <w:rsid w:val="00812A1C"/>
    <w:rsid w:val="00814F18"/>
    <w:rsid w:val="0081507A"/>
    <w:rsid w:val="0081561D"/>
    <w:rsid w:val="00815BB6"/>
    <w:rsid w:val="00817A38"/>
    <w:rsid w:val="0082019D"/>
    <w:rsid w:val="00820307"/>
    <w:rsid w:val="00820409"/>
    <w:rsid w:val="008223AC"/>
    <w:rsid w:val="008227A8"/>
    <w:rsid w:val="00824190"/>
    <w:rsid w:val="00824614"/>
    <w:rsid w:val="008257E4"/>
    <w:rsid w:val="0082610B"/>
    <w:rsid w:val="00826B23"/>
    <w:rsid w:val="008279D9"/>
    <w:rsid w:val="0083071C"/>
    <w:rsid w:val="0083096B"/>
    <w:rsid w:val="00830BC9"/>
    <w:rsid w:val="00830D63"/>
    <w:rsid w:val="00831F9C"/>
    <w:rsid w:val="00832492"/>
    <w:rsid w:val="00834A8D"/>
    <w:rsid w:val="00837A2C"/>
    <w:rsid w:val="00840687"/>
    <w:rsid w:val="008441FF"/>
    <w:rsid w:val="00844571"/>
    <w:rsid w:val="00846C74"/>
    <w:rsid w:val="0084717A"/>
    <w:rsid w:val="00847475"/>
    <w:rsid w:val="00851F2D"/>
    <w:rsid w:val="00852597"/>
    <w:rsid w:val="0085290D"/>
    <w:rsid w:val="00852AD2"/>
    <w:rsid w:val="00852B12"/>
    <w:rsid w:val="00854951"/>
    <w:rsid w:val="00855025"/>
    <w:rsid w:val="00856148"/>
    <w:rsid w:val="00857829"/>
    <w:rsid w:val="00857BC6"/>
    <w:rsid w:val="00860465"/>
    <w:rsid w:val="00860A8B"/>
    <w:rsid w:val="008615D6"/>
    <w:rsid w:val="00861DF4"/>
    <w:rsid w:val="008626D1"/>
    <w:rsid w:val="00863BCF"/>
    <w:rsid w:val="00865030"/>
    <w:rsid w:val="008652DF"/>
    <w:rsid w:val="00865652"/>
    <w:rsid w:val="008667F3"/>
    <w:rsid w:val="0086689F"/>
    <w:rsid w:val="00866FF1"/>
    <w:rsid w:val="00870B54"/>
    <w:rsid w:val="00871324"/>
    <w:rsid w:val="008713CB"/>
    <w:rsid w:val="00872BD7"/>
    <w:rsid w:val="00873F41"/>
    <w:rsid w:val="00877C0C"/>
    <w:rsid w:val="008802CC"/>
    <w:rsid w:val="00880410"/>
    <w:rsid w:val="00883E99"/>
    <w:rsid w:val="00885C1B"/>
    <w:rsid w:val="0088661E"/>
    <w:rsid w:val="008912F3"/>
    <w:rsid w:val="008926E3"/>
    <w:rsid w:val="00892833"/>
    <w:rsid w:val="00893C4A"/>
    <w:rsid w:val="00893EED"/>
    <w:rsid w:val="008948DA"/>
    <w:rsid w:val="00896646"/>
    <w:rsid w:val="008972C3"/>
    <w:rsid w:val="008974C6"/>
    <w:rsid w:val="008979CF"/>
    <w:rsid w:val="00897CDB"/>
    <w:rsid w:val="008A00A0"/>
    <w:rsid w:val="008A18B9"/>
    <w:rsid w:val="008A2B5D"/>
    <w:rsid w:val="008A3D8C"/>
    <w:rsid w:val="008A4454"/>
    <w:rsid w:val="008A44B6"/>
    <w:rsid w:val="008A5025"/>
    <w:rsid w:val="008A50F9"/>
    <w:rsid w:val="008A59EA"/>
    <w:rsid w:val="008A68D2"/>
    <w:rsid w:val="008A6A2B"/>
    <w:rsid w:val="008A6D82"/>
    <w:rsid w:val="008A73E2"/>
    <w:rsid w:val="008B0243"/>
    <w:rsid w:val="008B07CE"/>
    <w:rsid w:val="008B1048"/>
    <w:rsid w:val="008B1872"/>
    <w:rsid w:val="008B1A14"/>
    <w:rsid w:val="008B22E5"/>
    <w:rsid w:val="008B52E7"/>
    <w:rsid w:val="008B57DB"/>
    <w:rsid w:val="008B5D43"/>
    <w:rsid w:val="008B5FFC"/>
    <w:rsid w:val="008B6EC3"/>
    <w:rsid w:val="008B7C9D"/>
    <w:rsid w:val="008C015A"/>
    <w:rsid w:val="008C1C5D"/>
    <w:rsid w:val="008C1CB7"/>
    <w:rsid w:val="008C2300"/>
    <w:rsid w:val="008C3F0C"/>
    <w:rsid w:val="008C46A8"/>
    <w:rsid w:val="008C5C68"/>
    <w:rsid w:val="008C5DE4"/>
    <w:rsid w:val="008C651C"/>
    <w:rsid w:val="008C6907"/>
    <w:rsid w:val="008C6DAB"/>
    <w:rsid w:val="008D26ED"/>
    <w:rsid w:val="008D3623"/>
    <w:rsid w:val="008D39FE"/>
    <w:rsid w:val="008D41B8"/>
    <w:rsid w:val="008D443B"/>
    <w:rsid w:val="008D477E"/>
    <w:rsid w:val="008D4BA5"/>
    <w:rsid w:val="008D61E5"/>
    <w:rsid w:val="008D62F0"/>
    <w:rsid w:val="008D68A1"/>
    <w:rsid w:val="008D6DD8"/>
    <w:rsid w:val="008D6FBB"/>
    <w:rsid w:val="008D6FC5"/>
    <w:rsid w:val="008D71F4"/>
    <w:rsid w:val="008D75D9"/>
    <w:rsid w:val="008E3378"/>
    <w:rsid w:val="008E4478"/>
    <w:rsid w:val="008E46BD"/>
    <w:rsid w:val="008E4E9C"/>
    <w:rsid w:val="008E586B"/>
    <w:rsid w:val="008E6C48"/>
    <w:rsid w:val="008E6DEF"/>
    <w:rsid w:val="008F1D53"/>
    <w:rsid w:val="008F1FD2"/>
    <w:rsid w:val="008F2B50"/>
    <w:rsid w:val="008F2D07"/>
    <w:rsid w:val="008F3B62"/>
    <w:rsid w:val="008F3C0A"/>
    <w:rsid w:val="008F52A6"/>
    <w:rsid w:val="008F5405"/>
    <w:rsid w:val="008F6928"/>
    <w:rsid w:val="008F7F7E"/>
    <w:rsid w:val="0090001C"/>
    <w:rsid w:val="009000D8"/>
    <w:rsid w:val="009009A0"/>
    <w:rsid w:val="00901A07"/>
    <w:rsid w:val="00902ED6"/>
    <w:rsid w:val="00902F58"/>
    <w:rsid w:val="009043B7"/>
    <w:rsid w:val="00905175"/>
    <w:rsid w:val="00910ADF"/>
    <w:rsid w:val="00910BB5"/>
    <w:rsid w:val="0091141D"/>
    <w:rsid w:val="00912295"/>
    <w:rsid w:val="009123D1"/>
    <w:rsid w:val="0091367A"/>
    <w:rsid w:val="009157AC"/>
    <w:rsid w:val="0091679A"/>
    <w:rsid w:val="00917060"/>
    <w:rsid w:val="00920140"/>
    <w:rsid w:val="00920C3F"/>
    <w:rsid w:val="00922933"/>
    <w:rsid w:val="00922C3B"/>
    <w:rsid w:val="00922DEE"/>
    <w:rsid w:val="009245CB"/>
    <w:rsid w:val="00924ADA"/>
    <w:rsid w:val="0092514F"/>
    <w:rsid w:val="00925AC6"/>
    <w:rsid w:val="00926C95"/>
    <w:rsid w:val="00927341"/>
    <w:rsid w:val="009306FB"/>
    <w:rsid w:val="009313AF"/>
    <w:rsid w:val="0093377D"/>
    <w:rsid w:val="0093514C"/>
    <w:rsid w:val="009373CE"/>
    <w:rsid w:val="00937EDB"/>
    <w:rsid w:val="009402EA"/>
    <w:rsid w:val="00941AC0"/>
    <w:rsid w:val="009438FC"/>
    <w:rsid w:val="00945625"/>
    <w:rsid w:val="00945A72"/>
    <w:rsid w:val="009463B2"/>
    <w:rsid w:val="009477FB"/>
    <w:rsid w:val="00947A8B"/>
    <w:rsid w:val="00950893"/>
    <w:rsid w:val="009528FE"/>
    <w:rsid w:val="00952B6C"/>
    <w:rsid w:val="00954382"/>
    <w:rsid w:val="00954655"/>
    <w:rsid w:val="00954C11"/>
    <w:rsid w:val="009551BC"/>
    <w:rsid w:val="00956530"/>
    <w:rsid w:val="00956939"/>
    <w:rsid w:val="00960F2C"/>
    <w:rsid w:val="009611D0"/>
    <w:rsid w:val="00964C50"/>
    <w:rsid w:val="00967790"/>
    <w:rsid w:val="009712EE"/>
    <w:rsid w:val="0097157A"/>
    <w:rsid w:val="00971B66"/>
    <w:rsid w:val="00971EC7"/>
    <w:rsid w:val="0097316A"/>
    <w:rsid w:val="00973238"/>
    <w:rsid w:val="009733CA"/>
    <w:rsid w:val="009758D9"/>
    <w:rsid w:val="00975A14"/>
    <w:rsid w:val="00976BDD"/>
    <w:rsid w:val="00977409"/>
    <w:rsid w:val="00977FEA"/>
    <w:rsid w:val="00980E05"/>
    <w:rsid w:val="00981577"/>
    <w:rsid w:val="00982361"/>
    <w:rsid w:val="009824AD"/>
    <w:rsid w:val="00984078"/>
    <w:rsid w:val="00985DAF"/>
    <w:rsid w:val="00987244"/>
    <w:rsid w:val="00990C08"/>
    <w:rsid w:val="009916E3"/>
    <w:rsid w:val="00992B28"/>
    <w:rsid w:val="00992DC2"/>
    <w:rsid w:val="0099338A"/>
    <w:rsid w:val="00996302"/>
    <w:rsid w:val="0099732F"/>
    <w:rsid w:val="009A16D0"/>
    <w:rsid w:val="009A1C3E"/>
    <w:rsid w:val="009A27D7"/>
    <w:rsid w:val="009A2C74"/>
    <w:rsid w:val="009A2DBE"/>
    <w:rsid w:val="009A3215"/>
    <w:rsid w:val="009A3B18"/>
    <w:rsid w:val="009A4EF5"/>
    <w:rsid w:val="009A533B"/>
    <w:rsid w:val="009A6154"/>
    <w:rsid w:val="009A6868"/>
    <w:rsid w:val="009A6A1B"/>
    <w:rsid w:val="009A6B78"/>
    <w:rsid w:val="009A76D5"/>
    <w:rsid w:val="009B0314"/>
    <w:rsid w:val="009B0CFA"/>
    <w:rsid w:val="009B3C99"/>
    <w:rsid w:val="009B555A"/>
    <w:rsid w:val="009B7022"/>
    <w:rsid w:val="009B79E3"/>
    <w:rsid w:val="009C12FE"/>
    <w:rsid w:val="009C1473"/>
    <w:rsid w:val="009C20D4"/>
    <w:rsid w:val="009C2680"/>
    <w:rsid w:val="009C2E92"/>
    <w:rsid w:val="009C30F8"/>
    <w:rsid w:val="009C3973"/>
    <w:rsid w:val="009C49E0"/>
    <w:rsid w:val="009C4CBE"/>
    <w:rsid w:val="009C4FF7"/>
    <w:rsid w:val="009C5FBA"/>
    <w:rsid w:val="009D0F25"/>
    <w:rsid w:val="009D1377"/>
    <w:rsid w:val="009D295D"/>
    <w:rsid w:val="009D2D20"/>
    <w:rsid w:val="009D4F18"/>
    <w:rsid w:val="009D5298"/>
    <w:rsid w:val="009D5A39"/>
    <w:rsid w:val="009D7F6D"/>
    <w:rsid w:val="009E0FEA"/>
    <w:rsid w:val="009E13E5"/>
    <w:rsid w:val="009E19FF"/>
    <w:rsid w:val="009E1B42"/>
    <w:rsid w:val="009E43A3"/>
    <w:rsid w:val="009E558B"/>
    <w:rsid w:val="009F363F"/>
    <w:rsid w:val="009F5774"/>
    <w:rsid w:val="009F5A1D"/>
    <w:rsid w:val="009F5DDB"/>
    <w:rsid w:val="009F6C49"/>
    <w:rsid w:val="009F778A"/>
    <w:rsid w:val="00A0073D"/>
    <w:rsid w:val="00A0081B"/>
    <w:rsid w:val="00A0101A"/>
    <w:rsid w:val="00A036B8"/>
    <w:rsid w:val="00A039C9"/>
    <w:rsid w:val="00A0404D"/>
    <w:rsid w:val="00A0421C"/>
    <w:rsid w:val="00A05469"/>
    <w:rsid w:val="00A0647F"/>
    <w:rsid w:val="00A0660C"/>
    <w:rsid w:val="00A077ED"/>
    <w:rsid w:val="00A07CE2"/>
    <w:rsid w:val="00A10465"/>
    <w:rsid w:val="00A10685"/>
    <w:rsid w:val="00A10C2E"/>
    <w:rsid w:val="00A111F9"/>
    <w:rsid w:val="00A125C8"/>
    <w:rsid w:val="00A1339A"/>
    <w:rsid w:val="00A15809"/>
    <w:rsid w:val="00A16BE8"/>
    <w:rsid w:val="00A16DA3"/>
    <w:rsid w:val="00A16FA9"/>
    <w:rsid w:val="00A17236"/>
    <w:rsid w:val="00A17382"/>
    <w:rsid w:val="00A20E80"/>
    <w:rsid w:val="00A213AC"/>
    <w:rsid w:val="00A217FA"/>
    <w:rsid w:val="00A2283F"/>
    <w:rsid w:val="00A23E14"/>
    <w:rsid w:val="00A24205"/>
    <w:rsid w:val="00A26BD2"/>
    <w:rsid w:val="00A27AF1"/>
    <w:rsid w:val="00A27D76"/>
    <w:rsid w:val="00A308EF"/>
    <w:rsid w:val="00A30975"/>
    <w:rsid w:val="00A317E4"/>
    <w:rsid w:val="00A32E56"/>
    <w:rsid w:val="00A36B1A"/>
    <w:rsid w:val="00A3798C"/>
    <w:rsid w:val="00A37FEE"/>
    <w:rsid w:val="00A40EC8"/>
    <w:rsid w:val="00A40F5E"/>
    <w:rsid w:val="00A4175E"/>
    <w:rsid w:val="00A44423"/>
    <w:rsid w:val="00A44CCA"/>
    <w:rsid w:val="00A4631C"/>
    <w:rsid w:val="00A473C9"/>
    <w:rsid w:val="00A47B2C"/>
    <w:rsid w:val="00A50771"/>
    <w:rsid w:val="00A51C97"/>
    <w:rsid w:val="00A52BEB"/>
    <w:rsid w:val="00A53241"/>
    <w:rsid w:val="00A53561"/>
    <w:rsid w:val="00A53CEF"/>
    <w:rsid w:val="00A5458E"/>
    <w:rsid w:val="00A54BC0"/>
    <w:rsid w:val="00A571F8"/>
    <w:rsid w:val="00A6009A"/>
    <w:rsid w:val="00A6175F"/>
    <w:rsid w:val="00A61E31"/>
    <w:rsid w:val="00A62F85"/>
    <w:rsid w:val="00A6382A"/>
    <w:rsid w:val="00A63848"/>
    <w:rsid w:val="00A63B0A"/>
    <w:rsid w:val="00A660CC"/>
    <w:rsid w:val="00A662EE"/>
    <w:rsid w:val="00A6650B"/>
    <w:rsid w:val="00A67B0D"/>
    <w:rsid w:val="00A7076C"/>
    <w:rsid w:val="00A730D5"/>
    <w:rsid w:val="00A7376E"/>
    <w:rsid w:val="00A80311"/>
    <w:rsid w:val="00A81AA2"/>
    <w:rsid w:val="00A82964"/>
    <w:rsid w:val="00A829EF"/>
    <w:rsid w:val="00A82DA1"/>
    <w:rsid w:val="00A8356B"/>
    <w:rsid w:val="00A84584"/>
    <w:rsid w:val="00A86836"/>
    <w:rsid w:val="00A90A97"/>
    <w:rsid w:val="00A939A2"/>
    <w:rsid w:val="00A93F98"/>
    <w:rsid w:val="00A94621"/>
    <w:rsid w:val="00A94DCC"/>
    <w:rsid w:val="00A94E63"/>
    <w:rsid w:val="00A94FE5"/>
    <w:rsid w:val="00A9670D"/>
    <w:rsid w:val="00A97DC0"/>
    <w:rsid w:val="00AA0C25"/>
    <w:rsid w:val="00AA1149"/>
    <w:rsid w:val="00AA1D57"/>
    <w:rsid w:val="00AA32E6"/>
    <w:rsid w:val="00AA3715"/>
    <w:rsid w:val="00AA3984"/>
    <w:rsid w:val="00AA4463"/>
    <w:rsid w:val="00AA548D"/>
    <w:rsid w:val="00AA595F"/>
    <w:rsid w:val="00AB1477"/>
    <w:rsid w:val="00AB1DD2"/>
    <w:rsid w:val="00AB2B6A"/>
    <w:rsid w:val="00AB33EA"/>
    <w:rsid w:val="00AB40F5"/>
    <w:rsid w:val="00AB5292"/>
    <w:rsid w:val="00AB6592"/>
    <w:rsid w:val="00AB697D"/>
    <w:rsid w:val="00AB72BB"/>
    <w:rsid w:val="00AC1B81"/>
    <w:rsid w:val="00AC1D22"/>
    <w:rsid w:val="00AC27C9"/>
    <w:rsid w:val="00AC351F"/>
    <w:rsid w:val="00AC3E36"/>
    <w:rsid w:val="00AC4FFB"/>
    <w:rsid w:val="00AC58B3"/>
    <w:rsid w:val="00AC69C8"/>
    <w:rsid w:val="00AC74CA"/>
    <w:rsid w:val="00AD0E5E"/>
    <w:rsid w:val="00AD4A37"/>
    <w:rsid w:val="00AD516A"/>
    <w:rsid w:val="00AD575C"/>
    <w:rsid w:val="00AD641A"/>
    <w:rsid w:val="00AD6504"/>
    <w:rsid w:val="00AD7ACC"/>
    <w:rsid w:val="00AE222D"/>
    <w:rsid w:val="00AE236C"/>
    <w:rsid w:val="00AE2377"/>
    <w:rsid w:val="00AE278E"/>
    <w:rsid w:val="00AE3CCA"/>
    <w:rsid w:val="00AE41E2"/>
    <w:rsid w:val="00AE46AA"/>
    <w:rsid w:val="00AE48A2"/>
    <w:rsid w:val="00AE569D"/>
    <w:rsid w:val="00AE6FD6"/>
    <w:rsid w:val="00AF225F"/>
    <w:rsid w:val="00AF24E7"/>
    <w:rsid w:val="00AF3C04"/>
    <w:rsid w:val="00AF3CE7"/>
    <w:rsid w:val="00AF40B1"/>
    <w:rsid w:val="00AF4303"/>
    <w:rsid w:val="00AF484A"/>
    <w:rsid w:val="00AF5088"/>
    <w:rsid w:val="00AF53B0"/>
    <w:rsid w:val="00AF59C9"/>
    <w:rsid w:val="00AF60F8"/>
    <w:rsid w:val="00AF666B"/>
    <w:rsid w:val="00AF717B"/>
    <w:rsid w:val="00AF78E8"/>
    <w:rsid w:val="00B00312"/>
    <w:rsid w:val="00B00405"/>
    <w:rsid w:val="00B009B6"/>
    <w:rsid w:val="00B013AD"/>
    <w:rsid w:val="00B017A0"/>
    <w:rsid w:val="00B02152"/>
    <w:rsid w:val="00B02EDB"/>
    <w:rsid w:val="00B03AB1"/>
    <w:rsid w:val="00B04A65"/>
    <w:rsid w:val="00B05069"/>
    <w:rsid w:val="00B05443"/>
    <w:rsid w:val="00B062B6"/>
    <w:rsid w:val="00B073DC"/>
    <w:rsid w:val="00B07797"/>
    <w:rsid w:val="00B106EC"/>
    <w:rsid w:val="00B108FE"/>
    <w:rsid w:val="00B11D5B"/>
    <w:rsid w:val="00B12238"/>
    <w:rsid w:val="00B122E8"/>
    <w:rsid w:val="00B123F1"/>
    <w:rsid w:val="00B124B8"/>
    <w:rsid w:val="00B13077"/>
    <w:rsid w:val="00B13241"/>
    <w:rsid w:val="00B1417C"/>
    <w:rsid w:val="00B1456D"/>
    <w:rsid w:val="00B150C9"/>
    <w:rsid w:val="00B163BD"/>
    <w:rsid w:val="00B163D2"/>
    <w:rsid w:val="00B171FD"/>
    <w:rsid w:val="00B17BC4"/>
    <w:rsid w:val="00B20A9E"/>
    <w:rsid w:val="00B23DB5"/>
    <w:rsid w:val="00B2448F"/>
    <w:rsid w:val="00B2669C"/>
    <w:rsid w:val="00B303F3"/>
    <w:rsid w:val="00B3182B"/>
    <w:rsid w:val="00B32A53"/>
    <w:rsid w:val="00B341C0"/>
    <w:rsid w:val="00B3553F"/>
    <w:rsid w:val="00B37736"/>
    <w:rsid w:val="00B40AEC"/>
    <w:rsid w:val="00B41284"/>
    <w:rsid w:val="00B41803"/>
    <w:rsid w:val="00B41973"/>
    <w:rsid w:val="00B419E9"/>
    <w:rsid w:val="00B41F39"/>
    <w:rsid w:val="00B4408C"/>
    <w:rsid w:val="00B44EC0"/>
    <w:rsid w:val="00B464B3"/>
    <w:rsid w:val="00B5019E"/>
    <w:rsid w:val="00B515F2"/>
    <w:rsid w:val="00B51882"/>
    <w:rsid w:val="00B5222D"/>
    <w:rsid w:val="00B52715"/>
    <w:rsid w:val="00B52CE7"/>
    <w:rsid w:val="00B53B2D"/>
    <w:rsid w:val="00B53EAE"/>
    <w:rsid w:val="00B541BE"/>
    <w:rsid w:val="00B54D2D"/>
    <w:rsid w:val="00B554EB"/>
    <w:rsid w:val="00B56A7D"/>
    <w:rsid w:val="00B57208"/>
    <w:rsid w:val="00B57550"/>
    <w:rsid w:val="00B604C1"/>
    <w:rsid w:val="00B61073"/>
    <w:rsid w:val="00B61273"/>
    <w:rsid w:val="00B612C6"/>
    <w:rsid w:val="00B61E03"/>
    <w:rsid w:val="00B63804"/>
    <w:rsid w:val="00B63E0D"/>
    <w:rsid w:val="00B64BC8"/>
    <w:rsid w:val="00B64C47"/>
    <w:rsid w:val="00B65680"/>
    <w:rsid w:val="00B728FF"/>
    <w:rsid w:val="00B73C4A"/>
    <w:rsid w:val="00B74215"/>
    <w:rsid w:val="00B74F43"/>
    <w:rsid w:val="00B75235"/>
    <w:rsid w:val="00B76CB8"/>
    <w:rsid w:val="00B77755"/>
    <w:rsid w:val="00B777EF"/>
    <w:rsid w:val="00B77D7B"/>
    <w:rsid w:val="00B80905"/>
    <w:rsid w:val="00B80EA1"/>
    <w:rsid w:val="00B81AB4"/>
    <w:rsid w:val="00B81DF0"/>
    <w:rsid w:val="00B8290A"/>
    <w:rsid w:val="00B83772"/>
    <w:rsid w:val="00B83CCD"/>
    <w:rsid w:val="00B84525"/>
    <w:rsid w:val="00B84C76"/>
    <w:rsid w:val="00B84E2B"/>
    <w:rsid w:val="00B86328"/>
    <w:rsid w:val="00B90139"/>
    <w:rsid w:val="00B91FC8"/>
    <w:rsid w:val="00B92B74"/>
    <w:rsid w:val="00B92C29"/>
    <w:rsid w:val="00B93787"/>
    <w:rsid w:val="00B93CF8"/>
    <w:rsid w:val="00B94294"/>
    <w:rsid w:val="00B96285"/>
    <w:rsid w:val="00B9660B"/>
    <w:rsid w:val="00B97030"/>
    <w:rsid w:val="00B97753"/>
    <w:rsid w:val="00B9788F"/>
    <w:rsid w:val="00B97E89"/>
    <w:rsid w:val="00BA18B8"/>
    <w:rsid w:val="00BA3018"/>
    <w:rsid w:val="00BA3ADB"/>
    <w:rsid w:val="00BA3EFF"/>
    <w:rsid w:val="00BA4945"/>
    <w:rsid w:val="00BA5DD3"/>
    <w:rsid w:val="00BA6577"/>
    <w:rsid w:val="00BA6A9E"/>
    <w:rsid w:val="00BA758D"/>
    <w:rsid w:val="00BA7D9F"/>
    <w:rsid w:val="00BB0906"/>
    <w:rsid w:val="00BB0C75"/>
    <w:rsid w:val="00BB0FF0"/>
    <w:rsid w:val="00BB1567"/>
    <w:rsid w:val="00BB2945"/>
    <w:rsid w:val="00BB2A2F"/>
    <w:rsid w:val="00BB3B6E"/>
    <w:rsid w:val="00BB3D32"/>
    <w:rsid w:val="00BB44DB"/>
    <w:rsid w:val="00BB48A4"/>
    <w:rsid w:val="00BB5186"/>
    <w:rsid w:val="00BB5F6F"/>
    <w:rsid w:val="00BB67CB"/>
    <w:rsid w:val="00BC015F"/>
    <w:rsid w:val="00BC048E"/>
    <w:rsid w:val="00BC16CF"/>
    <w:rsid w:val="00BC2627"/>
    <w:rsid w:val="00BC2815"/>
    <w:rsid w:val="00BC380F"/>
    <w:rsid w:val="00BC5597"/>
    <w:rsid w:val="00BC5A2B"/>
    <w:rsid w:val="00BC6D29"/>
    <w:rsid w:val="00BC7FEB"/>
    <w:rsid w:val="00BD1A1E"/>
    <w:rsid w:val="00BD1B02"/>
    <w:rsid w:val="00BD3A0E"/>
    <w:rsid w:val="00BD4109"/>
    <w:rsid w:val="00BD5735"/>
    <w:rsid w:val="00BD6519"/>
    <w:rsid w:val="00BD6CC1"/>
    <w:rsid w:val="00BD6D97"/>
    <w:rsid w:val="00BE100B"/>
    <w:rsid w:val="00BE1D20"/>
    <w:rsid w:val="00BE2F46"/>
    <w:rsid w:val="00BE4683"/>
    <w:rsid w:val="00BE4F91"/>
    <w:rsid w:val="00BE5EE5"/>
    <w:rsid w:val="00BE7DE6"/>
    <w:rsid w:val="00BF1281"/>
    <w:rsid w:val="00BF2EAA"/>
    <w:rsid w:val="00BF409B"/>
    <w:rsid w:val="00BF4245"/>
    <w:rsid w:val="00BF587B"/>
    <w:rsid w:val="00BF5E7E"/>
    <w:rsid w:val="00BF76A4"/>
    <w:rsid w:val="00C00205"/>
    <w:rsid w:val="00C01250"/>
    <w:rsid w:val="00C01DC9"/>
    <w:rsid w:val="00C0376A"/>
    <w:rsid w:val="00C03978"/>
    <w:rsid w:val="00C05227"/>
    <w:rsid w:val="00C06739"/>
    <w:rsid w:val="00C07630"/>
    <w:rsid w:val="00C10341"/>
    <w:rsid w:val="00C10DD6"/>
    <w:rsid w:val="00C10E7D"/>
    <w:rsid w:val="00C114FB"/>
    <w:rsid w:val="00C11E5A"/>
    <w:rsid w:val="00C12A85"/>
    <w:rsid w:val="00C13C0C"/>
    <w:rsid w:val="00C13FD7"/>
    <w:rsid w:val="00C1405C"/>
    <w:rsid w:val="00C14953"/>
    <w:rsid w:val="00C15F28"/>
    <w:rsid w:val="00C164DB"/>
    <w:rsid w:val="00C1652F"/>
    <w:rsid w:val="00C1668C"/>
    <w:rsid w:val="00C176F0"/>
    <w:rsid w:val="00C17BDA"/>
    <w:rsid w:val="00C17EB5"/>
    <w:rsid w:val="00C20677"/>
    <w:rsid w:val="00C21587"/>
    <w:rsid w:val="00C21646"/>
    <w:rsid w:val="00C22EA3"/>
    <w:rsid w:val="00C23137"/>
    <w:rsid w:val="00C23866"/>
    <w:rsid w:val="00C24480"/>
    <w:rsid w:val="00C24D2F"/>
    <w:rsid w:val="00C24FAB"/>
    <w:rsid w:val="00C25FCA"/>
    <w:rsid w:val="00C273C3"/>
    <w:rsid w:val="00C27862"/>
    <w:rsid w:val="00C30D99"/>
    <w:rsid w:val="00C31CCD"/>
    <w:rsid w:val="00C32485"/>
    <w:rsid w:val="00C34A96"/>
    <w:rsid w:val="00C34CA4"/>
    <w:rsid w:val="00C3765A"/>
    <w:rsid w:val="00C37D9E"/>
    <w:rsid w:val="00C37EE6"/>
    <w:rsid w:val="00C40423"/>
    <w:rsid w:val="00C408CB"/>
    <w:rsid w:val="00C42C01"/>
    <w:rsid w:val="00C4576A"/>
    <w:rsid w:val="00C457E6"/>
    <w:rsid w:val="00C45E3C"/>
    <w:rsid w:val="00C45F33"/>
    <w:rsid w:val="00C45F64"/>
    <w:rsid w:val="00C46C5B"/>
    <w:rsid w:val="00C5124F"/>
    <w:rsid w:val="00C5328A"/>
    <w:rsid w:val="00C55117"/>
    <w:rsid w:val="00C555F2"/>
    <w:rsid w:val="00C55ABD"/>
    <w:rsid w:val="00C55ED5"/>
    <w:rsid w:val="00C56CDE"/>
    <w:rsid w:val="00C6108B"/>
    <w:rsid w:val="00C618D7"/>
    <w:rsid w:val="00C61A1C"/>
    <w:rsid w:val="00C62A8A"/>
    <w:rsid w:val="00C62B00"/>
    <w:rsid w:val="00C63243"/>
    <w:rsid w:val="00C633B2"/>
    <w:rsid w:val="00C63A13"/>
    <w:rsid w:val="00C6447B"/>
    <w:rsid w:val="00C66165"/>
    <w:rsid w:val="00C67C16"/>
    <w:rsid w:val="00C7121D"/>
    <w:rsid w:val="00C7155E"/>
    <w:rsid w:val="00C71F69"/>
    <w:rsid w:val="00C728E5"/>
    <w:rsid w:val="00C73CF4"/>
    <w:rsid w:val="00C743C2"/>
    <w:rsid w:val="00C7586E"/>
    <w:rsid w:val="00C764D8"/>
    <w:rsid w:val="00C80B40"/>
    <w:rsid w:val="00C814A9"/>
    <w:rsid w:val="00C823E6"/>
    <w:rsid w:val="00C83376"/>
    <w:rsid w:val="00C834AD"/>
    <w:rsid w:val="00C83523"/>
    <w:rsid w:val="00C84460"/>
    <w:rsid w:val="00C8473A"/>
    <w:rsid w:val="00C847A2"/>
    <w:rsid w:val="00C850CB"/>
    <w:rsid w:val="00C85F29"/>
    <w:rsid w:val="00C86D6B"/>
    <w:rsid w:val="00C9068C"/>
    <w:rsid w:val="00C91874"/>
    <w:rsid w:val="00C91F33"/>
    <w:rsid w:val="00C94687"/>
    <w:rsid w:val="00C94902"/>
    <w:rsid w:val="00C94CC9"/>
    <w:rsid w:val="00C94EDD"/>
    <w:rsid w:val="00C96918"/>
    <w:rsid w:val="00C96D45"/>
    <w:rsid w:val="00C96DF8"/>
    <w:rsid w:val="00CA0366"/>
    <w:rsid w:val="00CA0741"/>
    <w:rsid w:val="00CA1461"/>
    <w:rsid w:val="00CA4440"/>
    <w:rsid w:val="00CA4922"/>
    <w:rsid w:val="00CA5D61"/>
    <w:rsid w:val="00CA621F"/>
    <w:rsid w:val="00CA73A9"/>
    <w:rsid w:val="00CB14AE"/>
    <w:rsid w:val="00CB14DE"/>
    <w:rsid w:val="00CB1CA3"/>
    <w:rsid w:val="00CB24B7"/>
    <w:rsid w:val="00CB4D92"/>
    <w:rsid w:val="00CB6FAC"/>
    <w:rsid w:val="00CC091E"/>
    <w:rsid w:val="00CC17B9"/>
    <w:rsid w:val="00CC18DD"/>
    <w:rsid w:val="00CC1C74"/>
    <w:rsid w:val="00CC1CF9"/>
    <w:rsid w:val="00CC4B43"/>
    <w:rsid w:val="00CC4BDD"/>
    <w:rsid w:val="00CC54C7"/>
    <w:rsid w:val="00CC59CF"/>
    <w:rsid w:val="00CC5DFD"/>
    <w:rsid w:val="00CC734D"/>
    <w:rsid w:val="00CD0840"/>
    <w:rsid w:val="00CD1255"/>
    <w:rsid w:val="00CD1989"/>
    <w:rsid w:val="00CD215A"/>
    <w:rsid w:val="00CD3B57"/>
    <w:rsid w:val="00CD46D2"/>
    <w:rsid w:val="00CD47FA"/>
    <w:rsid w:val="00CD5B1A"/>
    <w:rsid w:val="00CD6424"/>
    <w:rsid w:val="00CD6CFC"/>
    <w:rsid w:val="00CD6DFB"/>
    <w:rsid w:val="00CE0596"/>
    <w:rsid w:val="00CE307A"/>
    <w:rsid w:val="00CE3E51"/>
    <w:rsid w:val="00CE468A"/>
    <w:rsid w:val="00CE4BF4"/>
    <w:rsid w:val="00CE6112"/>
    <w:rsid w:val="00CE7BDD"/>
    <w:rsid w:val="00CF0742"/>
    <w:rsid w:val="00CF0D86"/>
    <w:rsid w:val="00CF2286"/>
    <w:rsid w:val="00CF3FE4"/>
    <w:rsid w:val="00CF4FEA"/>
    <w:rsid w:val="00CF51C8"/>
    <w:rsid w:val="00D02855"/>
    <w:rsid w:val="00D02AB5"/>
    <w:rsid w:val="00D042DF"/>
    <w:rsid w:val="00D04958"/>
    <w:rsid w:val="00D05D25"/>
    <w:rsid w:val="00D060AD"/>
    <w:rsid w:val="00D06756"/>
    <w:rsid w:val="00D10D4D"/>
    <w:rsid w:val="00D12C67"/>
    <w:rsid w:val="00D1357B"/>
    <w:rsid w:val="00D135E4"/>
    <w:rsid w:val="00D14A70"/>
    <w:rsid w:val="00D174B4"/>
    <w:rsid w:val="00D17B1D"/>
    <w:rsid w:val="00D17E6A"/>
    <w:rsid w:val="00D20B70"/>
    <w:rsid w:val="00D216BB"/>
    <w:rsid w:val="00D22208"/>
    <w:rsid w:val="00D226C9"/>
    <w:rsid w:val="00D2278B"/>
    <w:rsid w:val="00D22BF0"/>
    <w:rsid w:val="00D22F5F"/>
    <w:rsid w:val="00D23221"/>
    <w:rsid w:val="00D23FCC"/>
    <w:rsid w:val="00D24FAD"/>
    <w:rsid w:val="00D2719D"/>
    <w:rsid w:val="00D30139"/>
    <w:rsid w:val="00D30EDA"/>
    <w:rsid w:val="00D31149"/>
    <w:rsid w:val="00D315D3"/>
    <w:rsid w:val="00D31701"/>
    <w:rsid w:val="00D31BBC"/>
    <w:rsid w:val="00D33B4E"/>
    <w:rsid w:val="00D374FC"/>
    <w:rsid w:val="00D400BA"/>
    <w:rsid w:val="00D430A5"/>
    <w:rsid w:val="00D4537D"/>
    <w:rsid w:val="00D45CC9"/>
    <w:rsid w:val="00D47E11"/>
    <w:rsid w:val="00D504AF"/>
    <w:rsid w:val="00D5052E"/>
    <w:rsid w:val="00D50C73"/>
    <w:rsid w:val="00D5111D"/>
    <w:rsid w:val="00D518E1"/>
    <w:rsid w:val="00D5210C"/>
    <w:rsid w:val="00D53465"/>
    <w:rsid w:val="00D53609"/>
    <w:rsid w:val="00D53F64"/>
    <w:rsid w:val="00D54E20"/>
    <w:rsid w:val="00D55F46"/>
    <w:rsid w:val="00D56373"/>
    <w:rsid w:val="00D56489"/>
    <w:rsid w:val="00D60CBD"/>
    <w:rsid w:val="00D61E8A"/>
    <w:rsid w:val="00D64414"/>
    <w:rsid w:val="00D6522F"/>
    <w:rsid w:val="00D65B8C"/>
    <w:rsid w:val="00D664B0"/>
    <w:rsid w:val="00D664EB"/>
    <w:rsid w:val="00D6772C"/>
    <w:rsid w:val="00D717C5"/>
    <w:rsid w:val="00D72C82"/>
    <w:rsid w:val="00D733A1"/>
    <w:rsid w:val="00D7500D"/>
    <w:rsid w:val="00D7529B"/>
    <w:rsid w:val="00D75924"/>
    <w:rsid w:val="00D77A21"/>
    <w:rsid w:val="00D8247E"/>
    <w:rsid w:val="00D83AF3"/>
    <w:rsid w:val="00D84BC5"/>
    <w:rsid w:val="00D84FC4"/>
    <w:rsid w:val="00D8639E"/>
    <w:rsid w:val="00D86A63"/>
    <w:rsid w:val="00D8760E"/>
    <w:rsid w:val="00D90026"/>
    <w:rsid w:val="00D9051D"/>
    <w:rsid w:val="00D91589"/>
    <w:rsid w:val="00D91C03"/>
    <w:rsid w:val="00D91F03"/>
    <w:rsid w:val="00D921F0"/>
    <w:rsid w:val="00D934D8"/>
    <w:rsid w:val="00D9385F"/>
    <w:rsid w:val="00D9456B"/>
    <w:rsid w:val="00DA15F1"/>
    <w:rsid w:val="00DA2D26"/>
    <w:rsid w:val="00DA3D4A"/>
    <w:rsid w:val="00DB0172"/>
    <w:rsid w:val="00DB0B54"/>
    <w:rsid w:val="00DB162E"/>
    <w:rsid w:val="00DB1641"/>
    <w:rsid w:val="00DB2029"/>
    <w:rsid w:val="00DB22CF"/>
    <w:rsid w:val="00DB26EC"/>
    <w:rsid w:val="00DB32CC"/>
    <w:rsid w:val="00DB367E"/>
    <w:rsid w:val="00DB36ED"/>
    <w:rsid w:val="00DB3A8E"/>
    <w:rsid w:val="00DB4B96"/>
    <w:rsid w:val="00DB5847"/>
    <w:rsid w:val="00DB5DA3"/>
    <w:rsid w:val="00DB72AA"/>
    <w:rsid w:val="00DB7D38"/>
    <w:rsid w:val="00DC013A"/>
    <w:rsid w:val="00DC1BBF"/>
    <w:rsid w:val="00DC22EF"/>
    <w:rsid w:val="00DC24A2"/>
    <w:rsid w:val="00DC2BC2"/>
    <w:rsid w:val="00DC4224"/>
    <w:rsid w:val="00DC4255"/>
    <w:rsid w:val="00DC4446"/>
    <w:rsid w:val="00DC6013"/>
    <w:rsid w:val="00DC7E0F"/>
    <w:rsid w:val="00DD0D4B"/>
    <w:rsid w:val="00DD2342"/>
    <w:rsid w:val="00DD2C68"/>
    <w:rsid w:val="00DD4A30"/>
    <w:rsid w:val="00DD56C3"/>
    <w:rsid w:val="00DD60F2"/>
    <w:rsid w:val="00DD6A09"/>
    <w:rsid w:val="00DD6CB6"/>
    <w:rsid w:val="00DD7457"/>
    <w:rsid w:val="00DD7A07"/>
    <w:rsid w:val="00DD7A8F"/>
    <w:rsid w:val="00DD7AB5"/>
    <w:rsid w:val="00DE123F"/>
    <w:rsid w:val="00DE2208"/>
    <w:rsid w:val="00DE236D"/>
    <w:rsid w:val="00DE4859"/>
    <w:rsid w:val="00DE4A06"/>
    <w:rsid w:val="00DE6FF6"/>
    <w:rsid w:val="00DE73BA"/>
    <w:rsid w:val="00DF2580"/>
    <w:rsid w:val="00DF39A7"/>
    <w:rsid w:val="00DF4163"/>
    <w:rsid w:val="00DF445F"/>
    <w:rsid w:val="00DF4737"/>
    <w:rsid w:val="00DF4906"/>
    <w:rsid w:val="00DF5BEC"/>
    <w:rsid w:val="00E006A4"/>
    <w:rsid w:val="00E03CA2"/>
    <w:rsid w:val="00E0507D"/>
    <w:rsid w:val="00E055BA"/>
    <w:rsid w:val="00E057AE"/>
    <w:rsid w:val="00E06208"/>
    <w:rsid w:val="00E06D97"/>
    <w:rsid w:val="00E06DED"/>
    <w:rsid w:val="00E071C8"/>
    <w:rsid w:val="00E07403"/>
    <w:rsid w:val="00E1017E"/>
    <w:rsid w:val="00E109A4"/>
    <w:rsid w:val="00E10B5A"/>
    <w:rsid w:val="00E129FD"/>
    <w:rsid w:val="00E13FA6"/>
    <w:rsid w:val="00E1490F"/>
    <w:rsid w:val="00E14D37"/>
    <w:rsid w:val="00E14FF6"/>
    <w:rsid w:val="00E150AA"/>
    <w:rsid w:val="00E15111"/>
    <w:rsid w:val="00E15B2A"/>
    <w:rsid w:val="00E1600F"/>
    <w:rsid w:val="00E16B1D"/>
    <w:rsid w:val="00E16BFD"/>
    <w:rsid w:val="00E1723A"/>
    <w:rsid w:val="00E17F72"/>
    <w:rsid w:val="00E20A87"/>
    <w:rsid w:val="00E2112D"/>
    <w:rsid w:val="00E22020"/>
    <w:rsid w:val="00E22EBB"/>
    <w:rsid w:val="00E22F65"/>
    <w:rsid w:val="00E23E1D"/>
    <w:rsid w:val="00E23FDA"/>
    <w:rsid w:val="00E24986"/>
    <w:rsid w:val="00E2509C"/>
    <w:rsid w:val="00E251AB"/>
    <w:rsid w:val="00E264A7"/>
    <w:rsid w:val="00E305C7"/>
    <w:rsid w:val="00E308CB"/>
    <w:rsid w:val="00E3258C"/>
    <w:rsid w:val="00E325CE"/>
    <w:rsid w:val="00E360F1"/>
    <w:rsid w:val="00E364E4"/>
    <w:rsid w:val="00E36BD1"/>
    <w:rsid w:val="00E4056B"/>
    <w:rsid w:val="00E4295F"/>
    <w:rsid w:val="00E42BAE"/>
    <w:rsid w:val="00E42CF4"/>
    <w:rsid w:val="00E42E78"/>
    <w:rsid w:val="00E4362A"/>
    <w:rsid w:val="00E46271"/>
    <w:rsid w:val="00E46994"/>
    <w:rsid w:val="00E50F1A"/>
    <w:rsid w:val="00E513D8"/>
    <w:rsid w:val="00E52EEA"/>
    <w:rsid w:val="00E53948"/>
    <w:rsid w:val="00E54CC1"/>
    <w:rsid w:val="00E55F5C"/>
    <w:rsid w:val="00E57A7E"/>
    <w:rsid w:val="00E60377"/>
    <w:rsid w:val="00E609AA"/>
    <w:rsid w:val="00E60AD5"/>
    <w:rsid w:val="00E6129E"/>
    <w:rsid w:val="00E613E5"/>
    <w:rsid w:val="00E61574"/>
    <w:rsid w:val="00E618A4"/>
    <w:rsid w:val="00E62648"/>
    <w:rsid w:val="00E629DA"/>
    <w:rsid w:val="00E62D71"/>
    <w:rsid w:val="00E6481C"/>
    <w:rsid w:val="00E648B8"/>
    <w:rsid w:val="00E6650A"/>
    <w:rsid w:val="00E672B3"/>
    <w:rsid w:val="00E6780B"/>
    <w:rsid w:val="00E7018C"/>
    <w:rsid w:val="00E7039A"/>
    <w:rsid w:val="00E707CC"/>
    <w:rsid w:val="00E71785"/>
    <w:rsid w:val="00E7225E"/>
    <w:rsid w:val="00E73699"/>
    <w:rsid w:val="00E736BB"/>
    <w:rsid w:val="00E7379F"/>
    <w:rsid w:val="00E73862"/>
    <w:rsid w:val="00E739D4"/>
    <w:rsid w:val="00E743E9"/>
    <w:rsid w:val="00E74F6C"/>
    <w:rsid w:val="00E755C9"/>
    <w:rsid w:val="00E763C3"/>
    <w:rsid w:val="00E77F82"/>
    <w:rsid w:val="00E814CB"/>
    <w:rsid w:val="00E821DC"/>
    <w:rsid w:val="00E83CBC"/>
    <w:rsid w:val="00E84662"/>
    <w:rsid w:val="00E84BEE"/>
    <w:rsid w:val="00E855CE"/>
    <w:rsid w:val="00E858E0"/>
    <w:rsid w:val="00E85EE7"/>
    <w:rsid w:val="00E91BD6"/>
    <w:rsid w:val="00E93E1A"/>
    <w:rsid w:val="00E962FC"/>
    <w:rsid w:val="00E96C05"/>
    <w:rsid w:val="00E96D67"/>
    <w:rsid w:val="00E979CB"/>
    <w:rsid w:val="00EA04FF"/>
    <w:rsid w:val="00EA0644"/>
    <w:rsid w:val="00EA13EA"/>
    <w:rsid w:val="00EA17E5"/>
    <w:rsid w:val="00EA29F1"/>
    <w:rsid w:val="00EA2B07"/>
    <w:rsid w:val="00EA2E76"/>
    <w:rsid w:val="00EA3A2E"/>
    <w:rsid w:val="00EA49A1"/>
    <w:rsid w:val="00EA5069"/>
    <w:rsid w:val="00EA5242"/>
    <w:rsid w:val="00EA559C"/>
    <w:rsid w:val="00EA606B"/>
    <w:rsid w:val="00EA6613"/>
    <w:rsid w:val="00EA68C5"/>
    <w:rsid w:val="00EA6E7D"/>
    <w:rsid w:val="00EA7079"/>
    <w:rsid w:val="00EB0D96"/>
    <w:rsid w:val="00EB29E2"/>
    <w:rsid w:val="00EB3727"/>
    <w:rsid w:val="00EB389F"/>
    <w:rsid w:val="00EB39A0"/>
    <w:rsid w:val="00EB3E36"/>
    <w:rsid w:val="00EB4CA2"/>
    <w:rsid w:val="00EB4FA2"/>
    <w:rsid w:val="00EC1719"/>
    <w:rsid w:val="00EC1906"/>
    <w:rsid w:val="00EC2BA1"/>
    <w:rsid w:val="00EC3DEF"/>
    <w:rsid w:val="00EC3ED1"/>
    <w:rsid w:val="00EC5F06"/>
    <w:rsid w:val="00ED0D48"/>
    <w:rsid w:val="00ED1C9D"/>
    <w:rsid w:val="00ED2D68"/>
    <w:rsid w:val="00ED2F6A"/>
    <w:rsid w:val="00ED3505"/>
    <w:rsid w:val="00ED5356"/>
    <w:rsid w:val="00ED573F"/>
    <w:rsid w:val="00ED58E2"/>
    <w:rsid w:val="00ED5D5F"/>
    <w:rsid w:val="00ED5E7B"/>
    <w:rsid w:val="00ED6D21"/>
    <w:rsid w:val="00ED7741"/>
    <w:rsid w:val="00EE0CD6"/>
    <w:rsid w:val="00EE0F72"/>
    <w:rsid w:val="00EE1F7E"/>
    <w:rsid w:val="00EE2D8D"/>
    <w:rsid w:val="00EE2F32"/>
    <w:rsid w:val="00EE3CB7"/>
    <w:rsid w:val="00EE3D0B"/>
    <w:rsid w:val="00EE56C9"/>
    <w:rsid w:val="00EE66A9"/>
    <w:rsid w:val="00EE73C3"/>
    <w:rsid w:val="00EE7B25"/>
    <w:rsid w:val="00EF0F06"/>
    <w:rsid w:val="00EF1BEA"/>
    <w:rsid w:val="00EF2D13"/>
    <w:rsid w:val="00EF2FD2"/>
    <w:rsid w:val="00EF3407"/>
    <w:rsid w:val="00EF3423"/>
    <w:rsid w:val="00EF3CD7"/>
    <w:rsid w:val="00EF51A7"/>
    <w:rsid w:val="00EF59C7"/>
    <w:rsid w:val="00EF682A"/>
    <w:rsid w:val="00EF6C6D"/>
    <w:rsid w:val="00F0094E"/>
    <w:rsid w:val="00F01053"/>
    <w:rsid w:val="00F02203"/>
    <w:rsid w:val="00F024AD"/>
    <w:rsid w:val="00F04566"/>
    <w:rsid w:val="00F048B8"/>
    <w:rsid w:val="00F04E93"/>
    <w:rsid w:val="00F06453"/>
    <w:rsid w:val="00F07797"/>
    <w:rsid w:val="00F100EE"/>
    <w:rsid w:val="00F11FE2"/>
    <w:rsid w:val="00F1201D"/>
    <w:rsid w:val="00F149C4"/>
    <w:rsid w:val="00F151BB"/>
    <w:rsid w:val="00F15440"/>
    <w:rsid w:val="00F15656"/>
    <w:rsid w:val="00F15D68"/>
    <w:rsid w:val="00F15E81"/>
    <w:rsid w:val="00F1623A"/>
    <w:rsid w:val="00F166B1"/>
    <w:rsid w:val="00F17397"/>
    <w:rsid w:val="00F207DB"/>
    <w:rsid w:val="00F210E1"/>
    <w:rsid w:val="00F212DE"/>
    <w:rsid w:val="00F23D48"/>
    <w:rsid w:val="00F25288"/>
    <w:rsid w:val="00F328CE"/>
    <w:rsid w:val="00F329B2"/>
    <w:rsid w:val="00F343C0"/>
    <w:rsid w:val="00F345DA"/>
    <w:rsid w:val="00F34DBD"/>
    <w:rsid w:val="00F363A8"/>
    <w:rsid w:val="00F36802"/>
    <w:rsid w:val="00F37A61"/>
    <w:rsid w:val="00F40F8A"/>
    <w:rsid w:val="00F412A9"/>
    <w:rsid w:val="00F4453F"/>
    <w:rsid w:val="00F45B31"/>
    <w:rsid w:val="00F45B53"/>
    <w:rsid w:val="00F503C9"/>
    <w:rsid w:val="00F51C81"/>
    <w:rsid w:val="00F60405"/>
    <w:rsid w:val="00F60C60"/>
    <w:rsid w:val="00F60DD3"/>
    <w:rsid w:val="00F61774"/>
    <w:rsid w:val="00F62507"/>
    <w:rsid w:val="00F6265C"/>
    <w:rsid w:val="00F627D2"/>
    <w:rsid w:val="00F63C62"/>
    <w:rsid w:val="00F66259"/>
    <w:rsid w:val="00F664F1"/>
    <w:rsid w:val="00F66A17"/>
    <w:rsid w:val="00F67D4D"/>
    <w:rsid w:val="00F67F80"/>
    <w:rsid w:val="00F70909"/>
    <w:rsid w:val="00F70D28"/>
    <w:rsid w:val="00F70D38"/>
    <w:rsid w:val="00F72ED9"/>
    <w:rsid w:val="00F73222"/>
    <w:rsid w:val="00F73F97"/>
    <w:rsid w:val="00F7486A"/>
    <w:rsid w:val="00F760A3"/>
    <w:rsid w:val="00F82A94"/>
    <w:rsid w:val="00F82FC9"/>
    <w:rsid w:val="00F8397C"/>
    <w:rsid w:val="00F8588F"/>
    <w:rsid w:val="00F878A3"/>
    <w:rsid w:val="00F91225"/>
    <w:rsid w:val="00F93518"/>
    <w:rsid w:val="00F93896"/>
    <w:rsid w:val="00F93AF3"/>
    <w:rsid w:val="00F93EB0"/>
    <w:rsid w:val="00F94690"/>
    <w:rsid w:val="00F94C7D"/>
    <w:rsid w:val="00F95861"/>
    <w:rsid w:val="00F959E2"/>
    <w:rsid w:val="00F964A6"/>
    <w:rsid w:val="00F9777C"/>
    <w:rsid w:val="00FA23F8"/>
    <w:rsid w:val="00FA33C0"/>
    <w:rsid w:val="00FA3540"/>
    <w:rsid w:val="00FA3627"/>
    <w:rsid w:val="00FA4CE8"/>
    <w:rsid w:val="00FA5A10"/>
    <w:rsid w:val="00FA6446"/>
    <w:rsid w:val="00FA73B9"/>
    <w:rsid w:val="00FA752A"/>
    <w:rsid w:val="00FB0844"/>
    <w:rsid w:val="00FB1BD8"/>
    <w:rsid w:val="00FB318A"/>
    <w:rsid w:val="00FB44A7"/>
    <w:rsid w:val="00FB4DF0"/>
    <w:rsid w:val="00FB5AEC"/>
    <w:rsid w:val="00FB6F31"/>
    <w:rsid w:val="00FB7AE8"/>
    <w:rsid w:val="00FC0F37"/>
    <w:rsid w:val="00FC2746"/>
    <w:rsid w:val="00FC2DEA"/>
    <w:rsid w:val="00FC3B8C"/>
    <w:rsid w:val="00FC461A"/>
    <w:rsid w:val="00FC5923"/>
    <w:rsid w:val="00FC5EF1"/>
    <w:rsid w:val="00FD0423"/>
    <w:rsid w:val="00FD0449"/>
    <w:rsid w:val="00FD1F15"/>
    <w:rsid w:val="00FD3335"/>
    <w:rsid w:val="00FD4611"/>
    <w:rsid w:val="00FD4E30"/>
    <w:rsid w:val="00FD6FAD"/>
    <w:rsid w:val="00FD7336"/>
    <w:rsid w:val="00FE06A1"/>
    <w:rsid w:val="00FE1258"/>
    <w:rsid w:val="00FE12FF"/>
    <w:rsid w:val="00FE136D"/>
    <w:rsid w:val="00FE2C0E"/>
    <w:rsid w:val="00FE2D63"/>
    <w:rsid w:val="00FE2F21"/>
    <w:rsid w:val="00FE33AF"/>
    <w:rsid w:val="00FE33DF"/>
    <w:rsid w:val="00FE47B7"/>
    <w:rsid w:val="00FE5CBB"/>
    <w:rsid w:val="00FE606C"/>
    <w:rsid w:val="00FE60D8"/>
    <w:rsid w:val="00FF0E46"/>
    <w:rsid w:val="00FF0FBB"/>
    <w:rsid w:val="00FF10ED"/>
    <w:rsid w:val="00FF37A4"/>
    <w:rsid w:val="00FF3D02"/>
    <w:rsid w:val="00FF4895"/>
    <w:rsid w:val="00FF499A"/>
    <w:rsid w:val="00FF7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 w:qFormat="1"/>
    <w:lsdException w:name="heading 3" w:locked="1" w:uiPriority="9" w:qFormat="1"/>
    <w:lsdException w:name="heading 4" w:locked="1"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locked="1" w:qFormat="1"/>
    <w:lsdException w:name="table of figures" w:uiPriority="99"/>
    <w:lsdException w:name="footnote reference" w:uiPriority="99" w:qFormat="1"/>
    <w:lsdException w:name="Title" w:locked="1" w:qFormat="1"/>
    <w:lsdException w:name="Body Text" w:qFormat="1"/>
    <w:lsdException w:name="Subtitle" w:locked="1" w:qFormat="1"/>
    <w:lsdException w:name="Hyperlink" w:locked="1" w:uiPriority="99"/>
    <w:lsdException w:name="FollowedHyperlink" w:uiPriority="99"/>
    <w:lsdException w:name="Strong" w:locked="1" w:qFormat="1"/>
    <w:lsdException w:name="Emphasis" w:locked="1"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534BC"/>
    <w:rPr>
      <w:sz w:val="24"/>
      <w:szCs w:val="24"/>
    </w:rPr>
  </w:style>
  <w:style w:type="paragraph" w:styleId="Heading1">
    <w:name w:val="heading 1"/>
    <w:aliases w:val="Chap Num,Chapter Level"/>
    <w:basedOn w:val="Normal"/>
    <w:next w:val="Normal"/>
    <w:link w:val="Heading1Char"/>
    <w:qFormat/>
    <w:rsid w:val="00602D90"/>
    <w:pPr>
      <w:keepNext/>
      <w:numPr>
        <w:numId w:val="2"/>
      </w:numPr>
      <w:spacing w:before="240" w:after="60"/>
      <w:outlineLvl w:val="0"/>
    </w:pPr>
    <w:rPr>
      <w:rFonts w:ascii="Arial" w:hAnsi="Arial" w:cs="Arial"/>
      <w:b/>
      <w:bCs/>
      <w:kern w:val="32"/>
      <w:szCs w:val="32"/>
    </w:rPr>
  </w:style>
  <w:style w:type="paragraph" w:styleId="Heading2">
    <w:name w:val="heading 2"/>
    <w:aliases w:val="1st Lvl Head"/>
    <w:basedOn w:val="Normal"/>
    <w:next w:val="Normal"/>
    <w:link w:val="Heading2Char"/>
    <w:uiPriority w:val="9"/>
    <w:qFormat/>
    <w:rsid w:val="00602D90"/>
    <w:pPr>
      <w:keepNext/>
      <w:numPr>
        <w:ilvl w:val="1"/>
        <w:numId w:val="2"/>
      </w:numPr>
      <w:spacing w:before="240" w:after="60"/>
      <w:outlineLvl w:val="1"/>
    </w:pPr>
    <w:rPr>
      <w:rFonts w:ascii="Arial" w:hAnsi="Arial" w:cs="Arial"/>
      <w:b/>
      <w:bCs/>
      <w:i/>
      <w:iCs/>
      <w:szCs w:val="28"/>
    </w:rPr>
  </w:style>
  <w:style w:type="paragraph" w:styleId="Heading3">
    <w:name w:val="heading 3"/>
    <w:aliases w:val="2nd Lvl Head"/>
    <w:basedOn w:val="Normal"/>
    <w:next w:val="Normal"/>
    <w:link w:val="Heading3Char"/>
    <w:uiPriority w:val="9"/>
    <w:qFormat/>
    <w:rsid w:val="00602D90"/>
    <w:pPr>
      <w:keepNext/>
      <w:numPr>
        <w:ilvl w:val="2"/>
        <w:numId w:val="2"/>
      </w:numPr>
      <w:spacing w:before="240" w:after="60"/>
      <w:outlineLvl w:val="2"/>
    </w:pPr>
    <w:rPr>
      <w:rFonts w:ascii="Arial" w:hAnsi="Arial" w:cs="Arial"/>
      <w:b/>
      <w:bCs/>
      <w:szCs w:val="26"/>
    </w:rPr>
  </w:style>
  <w:style w:type="paragraph" w:styleId="Heading4">
    <w:name w:val="heading 4"/>
    <w:aliases w:val="3rd Lvl Head"/>
    <w:basedOn w:val="Normal"/>
    <w:next w:val="Normal"/>
    <w:link w:val="Heading4Char"/>
    <w:qFormat/>
    <w:rsid w:val="00656B9A"/>
    <w:pPr>
      <w:keepNext/>
      <w:numPr>
        <w:ilvl w:val="3"/>
        <w:numId w:val="2"/>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656B9A"/>
    <w:pPr>
      <w:numPr>
        <w:ilvl w:val="4"/>
        <w:numId w:val="2"/>
      </w:numPr>
      <w:spacing w:before="240" w:after="60"/>
      <w:outlineLvl w:val="4"/>
    </w:pPr>
    <w:rPr>
      <w:rFonts w:ascii="Calibri" w:hAnsi="Calibri"/>
      <w:b/>
      <w:bCs/>
      <w:i/>
      <w:iCs/>
      <w:sz w:val="26"/>
      <w:szCs w:val="26"/>
    </w:rPr>
  </w:style>
  <w:style w:type="paragraph" w:styleId="Heading6">
    <w:name w:val="heading 6"/>
    <w:aliases w:val="Appendix Level"/>
    <w:basedOn w:val="Normal"/>
    <w:next w:val="Normal"/>
    <w:link w:val="Heading6Char"/>
    <w:uiPriority w:val="9"/>
    <w:qFormat/>
    <w:rsid w:val="00656B9A"/>
    <w:pPr>
      <w:numPr>
        <w:ilvl w:val="5"/>
        <w:numId w:val="2"/>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
    <w:qFormat/>
    <w:rsid w:val="00656B9A"/>
    <w:pPr>
      <w:numPr>
        <w:ilvl w:val="6"/>
        <w:numId w:val="2"/>
      </w:numPr>
      <w:spacing w:before="240" w:after="60"/>
      <w:outlineLvl w:val="6"/>
    </w:pPr>
    <w:rPr>
      <w:rFonts w:ascii="Calibri" w:hAnsi="Calibri"/>
    </w:rPr>
  </w:style>
  <w:style w:type="paragraph" w:styleId="Heading8">
    <w:name w:val="heading 8"/>
    <w:basedOn w:val="Normal"/>
    <w:next w:val="Normal"/>
    <w:link w:val="Heading8Char"/>
    <w:uiPriority w:val="9"/>
    <w:qFormat/>
    <w:rsid w:val="00656B9A"/>
    <w:pPr>
      <w:numPr>
        <w:ilvl w:val="7"/>
        <w:numId w:val="2"/>
      </w:numPr>
      <w:spacing w:before="240" w:after="60"/>
      <w:outlineLvl w:val="7"/>
    </w:pPr>
    <w:rPr>
      <w:rFonts w:ascii="Calibri" w:hAnsi="Calibri"/>
      <w:i/>
      <w:iCs/>
    </w:rPr>
  </w:style>
  <w:style w:type="paragraph" w:styleId="Heading9">
    <w:name w:val="heading 9"/>
    <w:basedOn w:val="Normal"/>
    <w:next w:val="Normal"/>
    <w:link w:val="Heading9Char"/>
    <w:uiPriority w:val="9"/>
    <w:qFormat/>
    <w:rsid w:val="00656B9A"/>
    <w:pPr>
      <w:numPr>
        <w:ilvl w:val="8"/>
        <w:numId w:val="2"/>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1st Lvl Head Char"/>
    <w:basedOn w:val="DefaultParagraphFont"/>
    <w:link w:val="Heading2"/>
    <w:uiPriority w:val="9"/>
    <w:locked/>
    <w:rsid w:val="00602D90"/>
    <w:rPr>
      <w:rFonts w:ascii="Arial" w:hAnsi="Arial" w:cs="Arial"/>
      <w:b/>
      <w:bCs/>
      <w:i/>
      <w:iCs/>
      <w:sz w:val="24"/>
      <w:szCs w:val="28"/>
    </w:rPr>
  </w:style>
  <w:style w:type="character" w:customStyle="1" w:styleId="Heading3Char">
    <w:name w:val="Heading 3 Char"/>
    <w:aliases w:val="2nd Lvl Head Char"/>
    <w:basedOn w:val="DefaultParagraphFont"/>
    <w:link w:val="Heading3"/>
    <w:uiPriority w:val="9"/>
    <w:locked/>
    <w:rsid w:val="00602D90"/>
    <w:rPr>
      <w:rFonts w:ascii="Arial" w:hAnsi="Arial" w:cs="Arial"/>
      <w:b/>
      <w:bCs/>
      <w:sz w:val="24"/>
      <w:szCs w:val="26"/>
    </w:rPr>
  </w:style>
  <w:style w:type="character" w:customStyle="1" w:styleId="Heading4Char">
    <w:name w:val="Heading 4 Char"/>
    <w:aliases w:val="3rd Lvl Head Char"/>
    <w:basedOn w:val="DefaultParagraphFont"/>
    <w:link w:val="Heading4"/>
    <w:locked/>
    <w:rsid w:val="00656B9A"/>
    <w:rPr>
      <w:rFonts w:ascii="Calibri" w:hAnsi="Calibri"/>
      <w:b/>
      <w:bCs/>
      <w:sz w:val="28"/>
      <w:szCs w:val="28"/>
    </w:rPr>
  </w:style>
  <w:style w:type="character" w:customStyle="1" w:styleId="Heading5Char">
    <w:name w:val="Heading 5 Char"/>
    <w:basedOn w:val="DefaultParagraphFont"/>
    <w:link w:val="Heading5"/>
    <w:uiPriority w:val="9"/>
    <w:locked/>
    <w:rsid w:val="00656B9A"/>
    <w:rPr>
      <w:rFonts w:ascii="Calibri" w:hAnsi="Calibri"/>
      <w:b/>
      <w:bCs/>
      <w:i/>
      <w:iCs/>
      <w:sz w:val="26"/>
      <w:szCs w:val="26"/>
    </w:rPr>
  </w:style>
  <w:style w:type="character" w:customStyle="1" w:styleId="Heading6Char">
    <w:name w:val="Heading 6 Char"/>
    <w:aliases w:val="Appendix Level Char"/>
    <w:basedOn w:val="DefaultParagraphFont"/>
    <w:link w:val="Heading6"/>
    <w:uiPriority w:val="9"/>
    <w:locked/>
    <w:rsid w:val="00656B9A"/>
    <w:rPr>
      <w:rFonts w:ascii="Calibri" w:hAnsi="Calibri"/>
      <w:b/>
      <w:bCs/>
      <w:sz w:val="22"/>
      <w:szCs w:val="22"/>
    </w:rPr>
  </w:style>
  <w:style w:type="character" w:customStyle="1" w:styleId="Heading7Char">
    <w:name w:val="Heading 7 Char"/>
    <w:basedOn w:val="DefaultParagraphFont"/>
    <w:link w:val="Heading7"/>
    <w:uiPriority w:val="9"/>
    <w:locked/>
    <w:rsid w:val="00656B9A"/>
    <w:rPr>
      <w:rFonts w:ascii="Calibri" w:hAnsi="Calibri"/>
      <w:sz w:val="24"/>
      <w:szCs w:val="24"/>
    </w:rPr>
  </w:style>
  <w:style w:type="character" w:customStyle="1" w:styleId="Heading8Char">
    <w:name w:val="Heading 8 Char"/>
    <w:basedOn w:val="DefaultParagraphFont"/>
    <w:link w:val="Heading8"/>
    <w:uiPriority w:val="9"/>
    <w:locked/>
    <w:rsid w:val="00656B9A"/>
    <w:rPr>
      <w:rFonts w:ascii="Calibri" w:hAnsi="Calibri"/>
      <w:i/>
      <w:iCs/>
      <w:sz w:val="24"/>
      <w:szCs w:val="24"/>
    </w:rPr>
  </w:style>
  <w:style w:type="character" w:customStyle="1" w:styleId="Heading9Char">
    <w:name w:val="Heading 9 Char"/>
    <w:basedOn w:val="DefaultParagraphFont"/>
    <w:link w:val="Heading9"/>
    <w:uiPriority w:val="9"/>
    <w:locked/>
    <w:rsid w:val="00656B9A"/>
    <w:rPr>
      <w:rFonts w:ascii="Cambria" w:hAnsi="Cambria"/>
      <w:sz w:val="22"/>
      <w:szCs w:val="22"/>
    </w:rPr>
  </w:style>
  <w:style w:type="paragraph" w:styleId="FootnoteText">
    <w:name w:val="footnote text"/>
    <w:aliases w:val="Footnote Text1 Char,Footnote Text Char Ch,Footnote Text Char1,Footnote Text Char Char,Footnote Text Char1 Char,Footnote Text Char Char Char,Footnote Text Char1 Char Char Char,Footnote Text Char Char1 Char Char Char,TBG Style,ALTS FOOTNOTE"/>
    <w:basedOn w:val="Normal"/>
    <w:link w:val="FootnoteTextChar"/>
    <w:uiPriority w:val="99"/>
    <w:rsid w:val="00602D90"/>
    <w:rPr>
      <w:sz w:val="20"/>
      <w:szCs w:val="20"/>
    </w:rPr>
  </w:style>
  <w:style w:type="character" w:customStyle="1" w:styleId="FootnoteTextChar">
    <w:name w:val="Footnote Text Char"/>
    <w:aliases w:val="Footnote Text1 Char Char,Footnote Text Char Ch Char,Footnote Text Char1 Char1,Footnote Text Char Char Char1,Footnote Text Char1 Char Char,Footnote Text Char Char Char Char,Footnote Text Char1 Char Char Char Char,TBG Style Char"/>
    <w:basedOn w:val="DefaultParagraphFont"/>
    <w:link w:val="FootnoteText"/>
    <w:uiPriority w:val="99"/>
    <w:locked/>
    <w:rsid w:val="00013331"/>
    <w:rPr>
      <w:rFonts w:cs="Times New Roman"/>
      <w:lang w:val="en-US" w:eastAsia="en-US" w:bidi="ar-SA"/>
    </w:rPr>
  </w:style>
  <w:style w:type="character" w:styleId="FootnoteReference">
    <w:name w:val="footnote reference"/>
    <w:aliases w:val="o,TT - Footnote Reference"/>
    <w:basedOn w:val="DefaultParagraphFont"/>
    <w:uiPriority w:val="99"/>
    <w:qFormat/>
    <w:rsid w:val="00602D90"/>
    <w:rPr>
      <w:rFonts w:cs="Times New Roman"/>
      <w:vertAlign w:val="superscript"/>
    </w:rPr>
  </w:style>
  <w:style w:type="paragraph" w:customStyle="1" w:styleId="TableCaption">
    <w:name w:val="Table Caption"/>
    <w:basedOn w:val="Caption"/>
    <w:link w:val="TableCaptionChar"/>
    <w:qFormat/>
    <w:rsid w:val="00602D90"/>
    <w:pPr>
      <w:keepNext/>
      <w:spacing w:after="120"/>
      <w:jc w:val="center"/>
    </w:pPr>
    <w:rPr>
      <w:sz w:val="24"/>
    </w:rPr>
  </w:style>
  <w:style w:type="paragraph" w:styleId="Caption">
    <w:name w:val="caption"/>
    <w:basedOn w:val="Normal"/>
    <w:next w:val="Normal"/>
    <w:qFormat/>
    <w:rsid w:val="00602D90"/>
    <w:rPr>
      <w:b/>
      <w:bCs/>
      <w:sz w:val="20"/>
      <w:szCs w:val="20"/>
    </w:rPr>
  </w:style>
  <w:style w:type="character" w:customStyle="1" w:styleId="TableCaptionChar">
    <w:name w:val="Table Caption Char"/>
    <w:basedOn w:val="DefaultParagraphFont"/>
    <w:link w:val="TableCaption"/>
    <w:locked/>
    <w:rsid w:val="00602D90"/>
    <w:rPr>
      <w:rFonts w:cs="Times New Roman"/>
      <w:b/>
      <w:bCs/>
      <w:sz w:val="24"/>
      <w:lang w:val="en-US" w:eastAsia="en-US" w:bidi="ar-SA"/>
    </w:rPr>
  </w:style>
  <w:style w:type="paragraph" w:customStyle="1" w:styleId="StyleCaptionCentered">
    <w:name w:val="Style Caption + Centered"/>
    <w:basedOn w:val="Caption"/>
    <w:link w:val="StyleCaptionCenteredChar"/>
    <w:rsid w:val="00602D90"/>
    <w:pPr>
      <w:keepNext/>
      <w:spacing w:after="120"/>
      <w:jc w:val="center"/>
    </w:pPr>
    <w:rPr>
      <w:sz w:val="24"/>
    </w:rPr>
  </w:style>
  <w:style w:type="character" w:customStyle="1" w:styleId="StyleCaptionCenteredChar">
    <w:name w:val="Style Caption + Centered Char"/>
    <w:basedOn w:val="DefaultParagraphFont"/>
    <w:link w:val="StyleCaptionCentered"/>
    <w:locked/>
    <w:rsid w:val="00602D90"/>
    <w:rPr>
      <w:rFonts w:cs="Times New Roman"/>
      <w:b/>
      <w:bCs/>
      <w:sz w:val="24"/>
      <w:lang w:val="en-US" w:eastAsia="en-US" w:bidi="ar-SA"/>
    </w:rPr>
  </w:style>
  <w:style w:type="paragraph" w:styleId="Footer">
    <w:name w:val="footer"/>
    <w:basedOn w:val="Normal"/>
    <w:link w:val="FooterChar"/>
    <w:uiPriority w:val="99"/>
    <w:rsid w:val="004C3F63"/>
    <w:pPr>
      <w:tabs>
        <w:tab w:val="center" w:pos="4320"/>
        <w:tab w:val="right" w:pos="8640"/>
      </w:tabs>
    </w:pPr>
  </w:style>
  <w:style w:type="character" w:customStyle="1" w:styleId="FooterChar">
    <w:name w:val="Footer Char"/>
    <w:basedOn w:val="DefaultParagraphFont"/>
    <w:link w:val="Footer"/>
    <w:uiPriority w:val="99"/>
    <w:locked/>
    <w:rsid w:val="00E618A4"/>
    <w:rPr>
      <w:rFonts w:cs="Times New Roman"/>
      <w:sz w:val="24"/>
      <w:szCs w:val="24"/>
    </w:rPr>
  </w:style>
  <w:style w:type="character" w:styleId="PageNumber">
    <w:name w:val="page number"/>
    <w:basedOn w:val="DefaultParagraphFont"/>
    <w:rsid w:val="004C3F63"/>
    <w:rPr>
      <w:rFonts w:cs="Times New Roman"/>
    </w:rPr>
  </w:style>
  <w:style w:type="paragraph" w:customStyle="1" w:styleId="FigureCaption">
    <w:name w:val="Figure Caption"/>
    <w:basedOn w:val="TableCaption"/>
    <w:link w:val="FigureCaptionChar"/>
    <w:qFormat/>
    <w:rsid w:val="00470869"/>
    <w:pPr>
      <w:keepNext w:val="0"/>
      <w:spacing w:after="240"/>
    </w:pPr>
  </w:style>
  <w:style w:type="character" w:customStyle="1" w:styleId="FigureCaptionChar">
    <w:name w:val="Figure Caption Char"/>
    <w:basedOn w:val="TableCaptionChar"/>
    <w:link w:val="FigureCaption"/>
    <w:locked/>
    <w:rsid w:val="00470869"/>
    <w:rPr>
      <w:rFonts w:cs="Times New Roman"/>
      <w:b/>
      <w:bCs/>
      <w:sz w:val="24"/>
      <w:lang w:val="en-US" w:eastAsia="en-US" w:bidi="ar-SA"/>
    </w:rPr>
  </w:style>
  <w:style w:type="table" w:styleId="TableGrid">
    <w:name w:val="Table Grid"/>
    <w:basedOn w:val="TableNormal"/>
    <w:rsid w:val="00470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7173F0"/>
    <w:pPr>
      <w:numPr>
        <w:numId w:val="1"/>
      </w:numPr>
      <w:spacing w:after="240"/>
    </w:pPr>
    <w:rPr>
      <w:rFonts w:ascii="Arial" w:hAnsi="Arial"/>
      <w:sz w:val="22"/>
      <w:szCs w:val="22"/>
    </w:rPr>
  </w:style>
  <w:style w:type="character" w:customStyle="1" w:styleId="CharChar">
    <w:name w:val="Char Char"/>
    <w:basedOn w:val="DefaultParagraphFont"/>
    <w:semiHidden/>
    <w:rsid w:val="00B80905"/>
    <w:rPr>
      <w:rFonts w:cs="Times New Roman"/>
      <w:sz w:val="20"/>
      <w:szCs w:val="20"/>
    </w:rPr>
  </w:style>
  <w:style w:type="character" w:styleId="Hyperlink">
    <w:name w:val="Hyperlink"/>
    <w:basedOn w:val="DefaultParagraphFont"/>
    <w:uiPriority w:val="99"/>
    <w:rsid w:val="00B80905"/>
    <w:rPr>
      <w:rFonts w:cs="Times New Roman"/>
      <w:color w:val="0000FF"/>
      <w:u w:val="single"/>
    </w:rPr>
  </w:style>
  <w:style w:type="paragraph" w:styleId="BodyTextIndent2">
    <w:name w:val="Body Text Indent 2"/>
    <w:basedOn w:val="Normal"/>
    <w:link w:val="BodyTextIndent2Char"/>
    <w:rsid w:val="00E15111"/>
    <w:pPr>
      <w:spacing w:after="120" w:line="480" w:lineRule="auto"/>
      <w:ind w:firstLine="720"/>
    </w:pPr>
  </w:style>
  <w:style w:type="paragraph" w:styleId="BalloonText">
    <w:name w:val="Balloon Text"/>
    <w:basedOn w:val="Normal"/>
    <w:link w:val="BalloonTextChar"/>
    <w:rsid w:val="003624FE"/>
    <w:rPr>
      <w:rFonts w:ascii="Tahoma" w:hAnsi="Tahoma" w:cs="Tahoma"/>
      <w:sz w:val="16"/>
      <w:szCs w:val="16"/>
    </w:rPr>
  </w:style>
  <w:style w:type="character" w:customStyle="1" w:styleId="BalloonTextChar">
    <w:name w:val="Balloon Text Char"/>
    <w:basedOn w:val="DefaultParagraphFont"/>
    <w:link w:val="BalloonText"/>
    <w:locked/>
    <w:rsid w:val="003624FE"/>
    <w:rPr>
      <w:rFonts w:ascii="Tahoma" w:hAnsi="Tahoma" w:cs="Tahoma"/>
      <w:sz w:val="16"/>
      <w:szCs w:val="16"/>
    </w:rPr>
  </w:style>
  <w:style w:type="character" w:styleId="CommentReference">
    <w:name w:val="annotation reference"/>
    <w:basedOn w:val="DefaultParagraphFont"/>
    <w:rsid w:val="0071241E"/>
    <w:rPr>
      <w:rFonts w:cs="Times New Roman"/>
      <w:sz w:val="16"/>
      <w:szCs w:val="16"/>
    </w:rPr>
  </w:style>
  <w:style w:type="paragraph" w:styleId="CommentText">
    <w:name w:val="annotation text"/>
    <w:basedOn w:val="Normal"/>
    <w:link w:val="CommentTextChar1"/>
    <w:rsid w:val="0071241E"/>
    <w:rPr>
      <w:sz w:val="20"/>
      <w:szCs w:val="20"/>
    </w:rPr>
  </w:style>
  <w:style w:type="character" w:customStyle="1" w:styleId="CommentTextChar1">
    <w:name w:val="Comment Text Char1"/>
    <w:basedOn w:val="DefaultParagraphFont"/>
    <w:link w:val="CommentText"/>
    <w:locked/>
    <w:rsid w:val="0071241E"/>
    <w:rPr>
      <w:rFonts w:cs="Times New Roman"/>
    </w:rPr>
  </w:style>
  <w:style w:type="paragraph" w:styleId="CommentSubject">
    <w:name w:val="annotation subject"/>
    <w:basedOn w:val="CommentText"/>
    <w:next w:val="CommentText"/>
    <w:link w:val="CommentSubjectChar"/>
    <w:rsid w:val="0071241E"/>
    <w:rPr>
      <w:b/>
      <w:bCs/>
    </w:rPr>
  </w:style>
  <w:style w:type="character" w:customStyle="1" w:styleId="CommentSubjectChar">
    <w:name w:val="Comment Subject Char"/>
    <w:basedOn w:val="CommentTextChar1"/>
    <w:link w:val="CommentSubject"/>
    <w:locked/>
    <w:rsid w:val="0071241E"/>
    <w:rPr>
      <w:rFonts w:cs="Times New Roman"/>
      <w:b/>
      <w:bCs/>
    </w:rPr>
  </w:style>
  <w:style w:type="paragraph" w:styleId="TOC1">
    <w:name w:val="toc 1"/>
    <w:basedOn w:val="Normal"/>
    <w:next w:val="Normal"/>
    <w:autoRedefine/>
    <w:uiPriority w:val="39"/>
    <w:rsid w:val="0071209C"/>
  </w:style>
  <w:style w:type="paragraph" w:styleId="TOC2">
    <w:name w:val="toc 2"/>
    <w:basedOn w:val="Normal"/>
    <w:next w:val="Normal"/>
    <w:autoRedefine/>
    <w:uiPriority w:val="39"/>
    <w:rsid w:val="0071209C"/>
    <w:pPr>
      <w:ind w:left="240"/>
    </w:pPr>
  </w:style>
  <w:style w:type="paragraph" w:styleId="TOC3">
    <w:name w:val="toc 3"/>
    <w:basedOn w:val="Normal"/>
    <w:next w:val="Normal"/>
    <w:link w:val="TOC3Char"/>
    <w:autoRedefine/>
    <w:uiPriority w:val="39"/>
    <w:rsid w:val="0071209C"/>
    <w:pPr>
      <w:ind w:left="480"/>
    </w:pPr>
  </w:style>
  <w:style w:type="paragraph" w:styleId="TOCHeading">
    <w:name w:val="TOC Heading"/>
    <w:basedOn w:val="Heading1"/>
    <w:next w:val="Normal"/>
    <w:uiPriority w:val="39"/>
    <w:qFormat/>
    <w:rsid w:val="00C4576A"/>
    <w:pPr>
      <w:keepLines/>
      <w:numPr>
        <w:numId w:val="0"/>
      </w:numPr>
      <w:spacing w:before="480" w:after="0" w:line="276" w:lineRule="auto"/>
      <w:outlineLvl w:val="9"/>
    </w:pPr>
    <w:rPr>
      <w:rFonts w:ascii="Cambria" w:hAnsi="Cambria" w:cs="Times New Roman"/>
      <w:color w:val="365F91"/>
      <w:kern w:val="0"/>
      <w:sz w:val="28"/>
      <w:szCs w:val="28"/>
    </w:rPr>
  </w:style>
  <w:style w:type="paragraph" w:styleId="Header">
    <w:name w:val="header"/>
    <w:basedOn w:val="Normal"/>
    <w:link w:val="HeaderChar"/>
    <w:rsid w:val="00C4576A"/>
    <w:pPr>
      <w:tabs>
        <w:tab w:val="center" w:pos="4680"/>
        <w:tab w:val="right" w:pos="9360"/>
      </w:tabs>
    </w:pPr>
  </w:style>
  <w:style w:type="character" w:customStyle="1" w:styleId="HeaderChar">
    <w:name w:val="Header Char"/>
    <w:basedOn w:val="DefaultParagraphFont"/>
    <w:link w:val="Header"/>
    <w:locked/>
    <w:rsid w:val="00C4576A"/>
    <w:rPr>
      <w:rFonts w:cs="Times New Roman"/>
      <w:sz w:val="24"/>
      <w:szCs w:val="24"/>
    </w:rPr>
  </w:style>
  <w:style w:type="paragraph" w:styleId="BodyTextIndent">
    <w:name w:val="Body Text Indent"/>
    <w:basedOn w:val="Normal"/>
    <w:link w:val="BodyTextIndentChar"/>
    <w:rsid w:val="002153F9"/>
    <w:pPr>
      <w:spacing w:after="120"/>
      <w:ind w:left="360"/>
    </w:pPr>
  </w:style>
  <w:style w:type="character" w:customStyle="1" w:styleId="BodyTextIndentChar">
    <w:name w:val="Body Text Indent Char"/>
    <w:basedOn w:val="DefaultParagraphFont"/>
    <w:link w:val="BodyTextIndent"/>
    <w:locked/>
    <w:rsid w:val="002153F9"/>
    <w:rPr>
      <w:rFonts w:cs="Times New Roman"/>
      <w:sz w:val="24"/>
      <w:szCs w:val="24"/>
    </w:rPr>
  </w:style>
  <w:style w:type="paragraph" w:styleId="ListNumber3">
    <w:name w:val="List Number 3"/>
    <w:basedOn w:val="Normal"/>
    <w:rsid w:val="002153F9"/>
    <w:pPr>
      <w:numPr>
        <w:numId w:val="3"/>
      </w:numPr>
      <w:spacing w:before="60" w:after="120"/>
    </w:pPr>
    <w:rPr>
      <w:szCs w:val="20"/>
    </w:rPr>
  </w:style>
  <w:style w:type="paragraph" w:customStyle="1" w:styleId="BodyParagraph">
    <w:name w:val="Body Paragraph"/>
    <w:link w:val="BodyParagraphChar"/>
    <w:uiPriority w:val="99"/>
    <w:qFormat/>
    <w:rsid w:val="00D02AB5"/>
    <w:pPr>
      <w:spacing w:after="240" w:line="312" w:lineRule="auto"/>
    </w:pPr>
    <w:rPr>
      <w:rFonts w:ascii="Arial" w:hAnsi="Arial"/>
      <w:szCs w:val="22"/>
    </w:rPr>
  </w:style>
  <w:style w:type="character" w:customStyle="1" w:styleId="BodyParagraphChar">
    <w:name w:val="Body Paragraph Char"/>
    <w:basedOn w:val="DefaultParagraphFont"/>
    <w:link w:val="BodyParagraph"/>
    <w:uiPriority w:val="99"/>
    <w:locked/>
    <w:rsid w:val="000E2A84"/>
    <w:rPr>
      <w:rFonts w:ascii="Arial" w:hAnsi="Arial" w:cs="Times New Roman"/>
      <w:sz w:val="22"/>
      <w:szCs w:val="22"/>
      <w:lang w:val="en-US" w:eastAsia="en-US" w:bidi="ar-SA"/>
    </w:rPr>
  </w:style>
  <w:style w:type="paragraph" w:customStyle="1" w:styleId="BodyBeforeBullet">
    <w:name w:val="Body Before Bullet"/>
    <w:basedOn w:val="BodyParagraph"/>
    <w:next w:val="Bullets"/>
    <w:qFormat/>
    <w:rsid w:val="00D02AB5"/>
    <w:pPr>
      <w:keepNext/>
      <w:spacing w:after="120"/>
    </w:pPr>
  </w:style>
  <w:style w:type="paragraph" w:customStyle="1" w:styleId="Bullets">
    <w:name w:val="Bullets"/>
    <w:basedOn w:val="Normal"/>
    <w:qFormat/>
    <w:rsid w:val="00D02AB5"/>
    <w:pPr>
      <w:numPr>
        <w:numId w:val="4"/>
      </w:numPr>
      <w:spacing w:after="120"/>
    </w:pPr>
    <w:rPr>
      <w:rFonts w:ascii="Arial" w:hAnsi="Arial" w:cs="Arial"/>
      <w:sz w:val="20"/>
      <w:szCs w:val="21"/>
    </w:rPr>
  </w:style>
  <w:style w:type="paragraph" w:customStyle="1" w:styleId="BulletLast">
    <w:name w:val="Bullet Last"/>
    <w:basedOn w:val="Bullets"/>
    <w:next w:val="BodyParagraph"/>
    <w:qFormat/>
    <w:rsid w:val="00D02AB5"/>
    <w:pPr>
      <w:spacing w:after="360"/>
    </w:pPr>
  </w:style>
  <w:style w:type="paragraph" w:customStyle="1" w:styleId="TableFigureCaption">
    <w:name w:val="Table Figure Caption"/>
    <w:basedOn w:val="Normal"/>
    <w:next w:val="BodyParaAfterTableFigure"/>
    <w:qFormat/>
    <w:rsid w:val="00D02AB5"/>
    <w:pPr>
      <w:keepNext/>
      <w:spacing w:after="120"/>
      <w:jc w:val="center"/>
    </w:pPr>
    <w:rPr>
      <w:rFonts w:ascii="Arial" w:hAnsi="Arial"/>
      <w:b/>
      <w:sz w:val="22"/>
      <w:szCs w:val="22"/>
    </w:rPr>
  </w:style>
  <w:style w:type="paragraph" w:customStyle="1" w:styleId="BodyParaAfterTableFigure">
    <w:name w:val="Body Para After Table Figure"/>
    <w:basedOn w:val="BodyParagraph"/>
    <w:next w:val="BodyParagraph"/>
    <w:link w:val="BodyParaAfterTableFigureChar"/>
    <w:qFormat/>
    <w:rsid w:val="00D02AB5"/>
    <w:pPr>
      <w:spacing w:before="360"/>
    </w:pPr>
  </w:style>
  <w:style w:type="character" w:customStyle="1" w:styleId="BodyParaAfterTableFigureChar">
    <w:name w:val="Body Para After Table Figure Char"/>
    <w:basedOn w:val="BodyParagraphChar"/>
    <w:link w:val="BodyParaAfterTableFigure"/>
    <w:locked/>
    <w:rsid w:val="00B84C76"/>
    <w:rPr>
      <w:rFonts w:ascii="Arial" w:hAnsi="Arial" w:cs="Times New Roman"/>
      <w:sz w:val="22"/>
      <w:szCs w:val="22"/>
      <w:lang w:val="en-US" w:eastAsia="en-US" w:bidi="ar-SA"/>
    </w:rPr>
  </w:style>
  <w:style w:type="paragraph" w:customStyle="1" w:styleId="TableHeader">
    <w:name w:val="Table Header"/>
    <w:qFormat/>
    <w:rsid w:val="00D02AB5"/>
    <w:pPr>
      <w:spacing w:before="100" w:after="100"/>
      <w:jc w:val="center"/>
    </w:pPr>
    <w:rPr>
      <w:rFonts w:ascii="Arial" w:hAnsi="Arial"/>
      <w:b/>
      <w:color w:val="FFFFFF"/>
      <w:szCs w:val="22"/>
    </w:rPr>
  </w:style>
  <w:style w:type="paragraph" w:customStyle="1" w:styleId="TableText">
    <w:name w:val="Table Text"/>
    <w:link w:val="TableTextChar"/>
    <w:qFormat/>
    <w:rsid w:val="00D02AB5"/>
    <w:pPr>
      <w:spacing w:before="60" w:after="60"/>
    </w:pPr>
    <w:rPr>
      <w:rFonts w:ascii="Arial" w:hAnsi="Arial"/>
      <w:sz w:val="18"/>
      <w:szCs w:val="22"/>
    </w:rPr>
  </w:style>
  <w:style w:type="character" w:customStyle="1" w:styleId="CommentTextChar">
    <w:name w:val="Comment Text Char"/>
    <w:basedOn w:val="DefaultParagraphFont"/>
    <w:locked/>
    <w:rsid w:val="00464D2E"/>
    <w:rPr>
      <w:rFonts w:cs="Times New Roman"/>
      <w:sz w:val="20"/>
      <w:szCs w:val="20"/>
    </w:rPr>
  </w:style>
  <w:style w:type="paragraph" w:styleId="DocumentMap">
    <w:name w:val="Document Map"/>
    <w:basedOn w:val="Normal"/>
    <w:link w:val="DocumentMapChar"/>
    <w:semiHidden/>
    <w:rsid w:val="00AE2377"/>
    <w:pPr>
      <w:shd w:val="clear" w:color="auto" w:fill="000080"/>
    </w:pPr>
    <w:rPr>
      <w:rFonts w:ascii="Tahoma" w:hAnsi="Tahoma" w:cs="Tahoma"/>
      <w:sz w:val="20"/>
      <w:szCs w:val="20"/>
    </w:rPr>
  </w:style>
  <w:style w:type="paragraph" w:customStyle="1" w:styleId="Footnote">
    <w:name w:val="Footnote"/>
    <w:basedOn w:val="FootnoteText"/>
    <w:qFormat/>
    <w:rsid w:val="00DB0172"/>
    <w:pPr>
      <w:spacing w:after="120"/>
    </w:pPr>
    <w:rPr>
      <w:rFonts w:ascii="Franklin Gothic Book" w:hAnsi="Franklin Gothic Book"/>
      <w:sz w:val="18"/>
    </w:rPr>
  </w:style>
  <w:style w:type="character" w:styleId="Strong">
    <w:name w:val="Strong"/>
    <w:basedOn w:val="DefaultParagraphFont"/>
    <w:qFormat/>
    <w:rsid w:val="00371970"/>
    <w:rPr>
      <w:rFonts w:cs="Times New Roman"/>
      <w:b/>
      <w:bCs/>
    </w:rPr>
  </w:style>
  <w:style w:type="paragraph" w:customStyle="1" w:styleId="AppendixHeading">
    <w:name w:val="Appendix Heading"/>
    <w:basedOn w:val="Heading1"/>
    <w:next w:val="BodyParagraph"/>
    <w:qFormat/>
    <w:rsid w:val="000E2A84"/>
    <w:pPr>
      <w:numPr>
        <w:numId w:val="5"/>
      </w:numPr>
      <w:spacing w:before="0" w:after="120"/>
    </w:pPr>
    <w:rPr>
      <w:rFonts w:ascii="TitilliumText22L Xb" w:hAnsi="TitilliumText22L Xb" w:cs="Times New Roman"/>
      <w:bCs w:val="0"/>
      <w:color w:val="433B67"/>
      <w:kern w:val="0"/>
      <w:sz w:val="28"/>
      <w:szCs w:val="28"/>
    </w:rPr>
  </w:style>
  <w:style w:type="paragraph" w:customStyle="1" w:styleId="AppendixHeading2">
    <w:name w:val="Appendix Heading 2"/>
    <w:basedOn w:val="Normal"/>
    <w:next w:val="BodyParagraph"/>
    <w:qFormat/>
    <w:rsid w:val="000E2A84"/>
    <w:pPr>
      <w:numPr>
        <w:ilvl w:val="1"/>
        <w:numId w:val="5"/>
      </w:numPr>
      <w:spacing w:after="60"/>
      <w:ind w:left="720" w:hanging="720"/>
    </w:pPr>
    <w:rPr>
      <w:rFonts w:ascii="Arial Bold" w:hAnsi="Arial Bold"/>
      <w:b/>
      <w:color w:val="5F497A"/>
      <w:sz w:val="26"/>
      <w:szCs w:val="22"/>
    </w:rPr>
  </w:style>
  <w:style w:type="paragraph" w:customStyle="1" w:styleId="AppendixHeading3">
    <w:name w:val="Appendix Heading 3"/>
    <w:basedOn w:val="Normal"/>
    <w:next w:val="BodyParagraph"/>
    <w:qFormat/>
    <w:rsid w:val="000E2A84"/>
    <w:pPr>
      <w:spacing w:after="60"/>
      <w:ind w:left="1260" w:hanging="900"/>
    </w:pPr>
    <w:rPr>
      <w:rFonts w:ascii="Arial Bold" w:hAnsi="Arial Bold"/>
      <w:b/>
      <w:color w:val="5F497A"/>
      <w:szCs w:val="22"/>
    </w:rPr>
  </w:style>
  <w:style w:type="paragraph" w:styleId="ListParagraph">
    <w:name w:val="List Paragraph"/>
    <w:basedOn w:val="Normal"/>
    <w:link w:val="ListParagraphChar"/>
    <w:uiPriority w:val="34"/>
    <w:qFormat/>
    <w:rsid w:val="00C17BDA"/>
    <w:pPr>
      <w:ind w:left="720"/>
      <w:contextualSpacing/>
    </w:pPr>
  </w:style>
  <w:style w:type="paragraph" w:customStyle="1" w:styleId="Numbers">
    <w:name w:val="Numbers"/>
    <w:rsid w:val="00372421"/>
    <w:pPr>
      <w:numPr>
        <w:numId w:val="6"/>
      </w:numPr>
      <w:spacing w:after="120"/>
    </w:pPr>
    <w:rPr>
      <w:rFonts w:ascii="Arial" w:hAnsi="Arial"/>
      <w:szCs w:val="28"/>
    </w:rPr>
  </w:style>
  <w:style w:type="character" w:customStyle="1" w:styleId="CharChar4">
    <w:name w:val="Char Char4"/>
    <w:locked/>
    <w:rsid w:val="008E586B"/>
    <w:rPr>
      <w:lang w:val="en-US" w:eastAsia="en-US" w:bidi="ar-SA"/>
    </w:rPr>
  </w:style>
  <w:style w:type="paragraph" w:customStyle="1" w:styleId="LetterSalutation">
    <w:name w:val="Letter Salutation"/>
    <w:next w:val="BodyParagraph"/>
    <w:qFormat/>
    <w:rsid w:val="002C17DD"/>
    <w:pPr>
      <w:spacing w:before="400" w:after="200"/>
    </w:pPr>
    <w:rPr>
      <w:rFonts w:ascii="Arial" w:hAnsi="Arial"/>
      <w:sz w:val="22"/>
      <w:szCs w:val="22"/>
    </w:rPr>
  </w:style>
  <w:style w:type="paragraph" w:styleId="BodyText">
    <w:name w:val="Body Text"/>
    <w:basedOn w:val="Normal"/>
    <w:link w:val="BodyTextChar"/>
    <w:qFormat/>
    <w:rsid w:val="009123D1"/>
    <w:pPr>
      <w:spacing w:after="120"/>
    </w:pPr>
  </w:style>
  <w:style w:type="character" w:customStyle="1" w:styleId="BodyTextChar">
    <w:name w:val="Body Text Char"/>
    <w:basedOn w:val="DefaultParagraphFont"/>
    <w:link w:val="BodyText"/>
    <w:rsid w:val="009123D1"/>
    <w:rPr>
      <w:sz w:val="24"/>
      <w:szCs w:val="24"/>
    </w:rPr>
  </w:style>
  <w:style w:type="paragraph" w:customStyle="1" w:styleId="BulletedList0">
    <w:name w:val="Bulleted List"/>
    <w:basedOn w:val="Normal"/>
    <w:link w:val="BulletedListCharChar"/>
    <w:qFormat/>
    <w:rsid w:val="009123D1"/>
    <w:pPr>
      <w:numPr>
        <w:numId w:val="9"/>
      </w:numPr>
      <w:spacing w:after="120" w:line="240" w:lineRule="atLeast"/>
      <w:contextualSpacing/>
    </w:pPr>
    <w:rPr>
      <w:rFonts w:ascii="Tahoma" w:hAnsi="Tahoma" w:cs="Tahoma"/>
      <w:spacing w:val="4"/>
      <w:sz w:val="20"/>
      <w:szCs w:val="18"/>
    </w:rPr>
  </w:style>
  <w:style w:type="character" w:styleId="Emphasis">
    <w:name w:val="Emphasis"/>
    <w:basedOn w:val="DefaultParagraphFont"/>
    <w:qFormat/>
    <w:locked/>
    <w:rsid w:val="00EA17E5"/>
    <w:rPr>
      <w:i/>
      <w:iCs/>
    </w:rPr>
  </w:style>
  <w:style w:type="character" w:customStyle="1" w:styleId="Heading1Char">
    <w:name w:val="Heading 1 Char"/>
    <w:aliases w:val="Chap Num Char,Chapter Level Char"/>
    <w:basedOn w:val="DefaultParagraphFont"/>
    <w:link w:val="Heading1"/>
    <w:rsid w:val="0027135C"/>
    <w:rPr>
      <w:rFonts w:ascii="Arial" w:hAnsi="Arial" w:cs="Arial"/>
      <w:b/>
      <w:bCs/>
      <w:kern w:val="32"/>
      <w:sz w:val="24"/>
      <w:szCs w:val="32"/>
    </w:rPr>
  </w:style>
  <w:style w:type="paragraph" w:customStyle="1" w:styleId="NumbersLast">
    <w:name w:val="Numbers Last"/>
    <w:basedOn w:val="Numbers"/>
    <w:next w:val="BodyParagraph"/>
    <w:rsid w:val="00AE569D"/>
    <w:pPr>
      <w:numPr>
        <w:numId w:val="12"/>
      </w:numPr>
      <w:spacing w:after="360"/>
    </w:pPr>
  </w:style>
  <w:style w:type="table" w:customStyle="1" w:styleId="NEXANTNEWTABLESTYLE">
    <w:name w:val="NEXANT NEW TABLE STYLE"/>
    <w:basedOn w:val="TableNormal"/>
    <w:uiPriority w:val="99"/>
    <w:rsid w:val="00883E99"/>
    <w:pPr>
      <w:tabs>
        <w:tab w:val="center" w:pos="720"/>
      </w:tabs>
    </w:pPr>
    <w:rPr>
      <w:rFonts w:ascii="Tms Rmn" w:hAnsi="Tms Rmn"/>
    </w:rPr>
    <w:tblPr>
      <w:tblBorders>
        <w:top w:val="single" w:sz="4" w:space="0" w:color="1F497D" w:themeColor="text2"/>
        <w:bottom w:val="single" w:sz="4" w:space="0" w:color="1F497D" w:themeColor="text2"/>
        <w:insideH w:val="single" w:sz="4" w:space="0" w:color="1F497D" w:themeColor="text2"/>
        <w:insideV w:val="dotted" w:sz="4" w:space="0" w:color="1F497D" w:themeColor="text2"/>
      </w:tblBorders>
    </w:tblPr>
    <w:tblStylePr w:type="firstRow">
      <w:pPr>
        <w:jc w:val="center"/>
      </w:pPr>
      <w:rPr>
        <w:rFonts w:ascii="Calibri" w:hAnsi="Calibri"/>
        <w:b/>
        <w:color w:val="FFFFFF" w:themeColor="background1"/>
      </w:rPr>
      <w:tblPr/>
      <w:tcPr>
        <w:tcBorders>
          <w:top w:val="nil"/>
          <w:left w:val="nil"/>
          <w:bottom w:val="nil"/>
          <w:right w:val="nil"/>
          <w:insideH w:val="nil"/>
          <w:insideV w:val="nil"/>
          <w:tl2br w:val="nil"/>
          <w:tr2bl w:val="nil"/>
        </w:tcBorders>
        <w:shd w:val="clear" w:color="auto" w:fill="1F497D" w:themeFill="text2"/>
      </w:tcPr>
    </w:tblStylePr>
  </w:style>
  <w:style w:type="paragraph" w:styleId="TOC4">
    <w:name w:val="toc 4"/>
    <w:basedOn w:val="Normal"/>
    <w:next w:val="Normal"/>
    <w:autoRedefine/>
    <w:uiPriority w:val="39"/>
    <w:unhideWhenUsed/>
    <w:rsid w:val="008E3378"/>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E3378"/>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E3378"/>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E3378"/>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E3378"/>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E3378"/>
    <w:pPr>
      <w:spacing w:after="100" w:line="276" w:lineRule="auto"/>
      <w:ind w:left="1760"/>
    </w:pPr>
    <w:rPr>
      <w:rFonts w:asciiTheme="minorHAnsi" w:eastAsiaTheme="minorEastAsia" w:hAnsiTheme="minorHAnsi" w:cstheme="minorBidi"/>
      <w:sz w:val="22"/>
      <w:szCs w:val="22"/>
    </w:rPr>
  </w:style>
  <w:style w:type="character" w:customStyle="1" w:styleId="HalflineChar">
    <w:name w:val="Halfline Char"/>
    <w:basedOn w:val="DefaultParagraphFont"/>
    <w:link w:val="Halfline"/>
    <w:locked/>
    <w:rsid w:val="00B03AB1"/>
    <w:rPr>
      <w:sz w:val="24"/>
      <w:szCs w:val="24"/>
    </w:rPr>
  </w:style>
  <w:style w:type="paragraph" w:customStyle="1" w:styleId="Halfline">
    <w:name w:val="Halfline"/>
    <w:basedOn w:val="Normal"/>
    <w:next w:val="Normal"/>
    <w:link w:val="HalflineChar"/>
    <w:qFormat/>
    <w:rsid w:val="00B03AB1"/>
    <w:pPr>
      <w:spacing w:after="130" w:line="130" w:lineRule="exact"/>
    </w:pPr>
  </w:style>
  <w:style w:type="character" w:customStyle="1" w:styleId="tablefootnoteChar">
    <w:name w:val="table footnote Char"/>
    <w:basedOn w:val="DefaultParagraphFont"/>
    <w:link w:val="tablefootnote"/>
    <w:locked/>
    <w:rsid w:val="004F1D68"/>
  </w:style>
  <w:style w:type="paragraph" w:customStyle="1" w:styleId="tablefootnote">
    <w:name w:val="table footnote"/>
    <w:basedOn w:val="Normal"/>
    <w:link w:val="tablefootnoteChar"/>
    <w:rsid w:val="004F1D68"/>
    <w:pPr>
      <w:keepNext/>
      <w:keepLines/>
      <w:tabs>
        <w:tab w:val="left" w:pos="274"/>
      </w:tabs>
      <w:spacing w:before="60"/>
      <w:ind w:left="274" w:hanging="274"/>
      <w:jc w:val="both"/>
    </w:pPr>
    <w:rPr>
      <w:sz w:val="20"/>
      <w:szCs w:val="20"/>
    </w:rPr>
  </w:style>
  <w:style w:type="table" w:customStyle="1" w:styleId="ItronBasic">
    <w:name w:val="ItronBasic"/>
    <w:basedOn w:val="TableNormal"/>
    <w:uiPriority w:val="99"/>
    <w:qFormat/>
    <w:rsid w:val="004F1D68"/>
    <w:rPr>
      <w:rFonts w:ascii="Tms Rmn" w:hAnsi="Tms Rmn"/>
    </w:rPr>
    <w:tblPr>
      <w:tblInd w:w="0" w:type="nil"/>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rPr>
        <w:b/>
      </w:rPr>
      <w:tblPr/>
      <w:tcPr>
        <w:tcBorders>
          <w:top w:val="single" w:sz="12" w:space="0" w:color="auto"/>
          <w:left w:val="single" w:sz="12" w:space="0" w:color="auto"/>
          <w:bottom w:val="single" w:sz="12" w:space="0" w:color="auto"/>
          <w:right w:val="single" w:sz="12" w:space="0" w:color="auto"/>
        </w:tcBorders>
        <w:shd w:val="clear" w:color="auto" w:fill="D9D9D9" w:themeFill="background1" w:themeFillShade="D9"/>
      </w:tcPr>
    </w:tblStylePr>
  </w:style>
  <w:style w:type="character" w:customStyle="1" w:styleId="BulletedListCharChar">
    <w:name w:val="Bulleted List Char Char"/>
    <w:basedOn w:val="DefaultParagraphFont"/>
    <w:link w:val="BulletedList0"/>
    <w:rsid w:val="00031C07"/>
    <w:rPr>
      <w:rFonts w:ascii="Tahoma" w:hAnsi="Tahoma" w:cs="Tahoma"/>
      <w:spacing w:val="4"/>
      <w:szCs w:val="18"/>
    </w:rPr>
  </w:style>
  <w:style w:type="paragraph" w:styleId="Title">
    <w:name w:val="Title"/>
    <w:basedOn w:val="Normal"/>
    <w:link w:val="TitleChar"/>
    <w:locked/>
    <w:rsid w:val="00B9660B"/>
    <w:pPr>
      <w:spacing w:before="3480" w:line="312" w:lineRule="auto"/>
    </w:pPr>
    <w:rPr>
      <w:rFonts w:ascii="Tahoma" w:hAnsi="Tahoma"/>
      <w:b/>
      <w:caps/>
      <w:sz w:val="36"/>
      <w:szCs w:val="40"/>
    </w:rPr>
  </w:style>
  <w:style w:type="character" w:customStyle="1" w:styleId="TitleChar">
    <w:name w:val="Title Char"/>
    <w:basedOn w:val="DefaultParagraphFont"/>
    <w:link w:val="Title"/>
    <w:rsid w:val="00B9660B"/>
    <w:rPr>
      <w:rFonts w:ascii="Tahoma" w:hAnsi="Tahoma"/>
      <w:b/>
      <w:caps/>
      <w:sz w:val="36"/>
      <w:szCs w:val="40"/>
    </w:rPr>
  </w:style>
  <w:style w:type="table" w:customStyle="1" w:styleId="LightShading1">
    <w:name w:val="Light Shading1"/>
    <w:basedOn w:val="TableNormal"/>
    <w:uiPriority w:val="60"/>
    <w:rsid w:val="00B9660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mpanyInformation">
    <w:name w:val="Company Information"/>
    <w:basedOn w:val="Normal"/>
    <w:link w:val="CompanyInformationChar"/>
    <w:semiHidden/>
    <w:rsid w:val="00B9660B"/>
    <w:rPr>
      <w:rFonts w:ascii="Verdana" w:hAnsi="Verdana"/>
      <w:color w:val="808080"/>
      <w:sz w:val="15"/>
      <w:szCs w:val="20"/>
    </w:rPr>
  </w:style>
  <w:style w:type="character" w:customStyle="1" w:styleId="CompanyInformationChar">
    <w:name w:val="Company Information Char"/>
    <w:basedOn w:val="DefaultParagraphFont"/>
    <w:link w:val="CompanyInformation"/>
    <w:semiHidden/>
    <w:rsid w:val="00B9660B"/>
    <w:rPr>
      <w:rFonts w:ascii="Verdana" w:hAnsi="Verdana"/>
      <w:color w:val="808080"/>
      <w:sz w:val="15"/>
    </w:rPr>
  </w:style>
  <w:style w:type="paragraph" w:customStyle="1" w:styleId="CompanyInformationBold">
    <w:name w:val="Company Information Bold"/>
    <w:basedOn w:val="CompanyInformation"/>
    <w:semiHidden/>
    <w:rsid w:val="00B9660B"/>
    <w:rPr>
      <w:b/>
    </w:rPr>
  </w:style>
  <w:style w:type="paragraph" w:customStyle="1" w:styleId="CompanyInformationItalic">
    <w:name w:val="Company Information Italic"/>
    <w:basedOn w:val="CompanyInformation"/>
    <w:link w:val="CompanyInformationItalicChar"/>
    <w:semiHidden/>
    <w:rsid w:val="00B9660B"/>
    <w:rPr>
      <w:i/>
    </w:rPr>
  </w:style>
  <w:style w:type="character" w:customStyle="1" w:styleId="CompanyInformationItalicChar">
    <w:name w:val="Company Information Italic Char"/>
    <w:basedOn w:val="CompanyInformationChar"/>
    <w:link w:val="CompanyInformationItalic"/>
    <w:semiHidden/>
    <w:rsid w:val="00B9660B"/>
    <w:rPr>
      <w:rFonts w:ascii="Verdana" w:hAnsi="Verdana"/>
      <w:i/>
      <w:color w:val="808080"/>
      <w:sz w:val="15"/>
    </w:rPr>
  </w:style>
  <w:style w:type="paragraph" w:customStyle="1" w:styleId="InsideTitle">
    <w:name w:val="Inside Title"/>
    <w:basedOn w:val="Normal"/>
    <w:link w:val="InsideTitleChar"/>
    <w:semiHidden/>
    <w:rsid w:val="00B9660B"/>
    <w:pPr>
      <w:keepNext/>
      <w:spacing w:before="3480"/>
    </w:pPr>
    <w:rPr>
      <w:rFonts w:ascii="Verdana" w:hAnsi="Verdana"/>
      <w:b/>
      <w:sz w:val="32"/>
      <w:szCs w:val="20"/>
    </w:rPr>
  </w:style>
  <w:style w:type="paragraph" w:customStyle="1" w:styleId="InsideSubtitle">
    <w:name w:val="Inside Subtitle"/>
    <w:basedOn w:val="Normal"/>
    <w:semiHidden/>
    <w:rsid w:val="00B9660B"/>
    <w:pPr>
      <w:spacing w:before="120" w:after="200"/>
    </w:pPr>
    <w:rPr>
      <w:rFonts w:ascii="Verdana" w:hAnsi="Verdana"/>
      <w:b/>
      <w:i/>
      <w:color w:val="008000"/>
      <w:sz w:val="22"/>
      <w:szCs w:val="22"/>
    </w:rPr>
  </w:style>
  <w:style w:type="paragraph" w:customStyle="1" w:styleId="NumberedList">
    <w:name w:val="Numbered List"/>
    <w:link w:val="NumberedListCharChar"/>
    <w:qFormat/>
    <w:rsid w:val="00B9660B"/>
    <w:pPr>
      <w:numPr>
        <w:numId w:val="33"/>
      </w:numPr>
      <w:spacing w:after="120" w:line="240" w:lineRule="atLeast"/>
    </w:pPr>
    <w:rPr>
      <w:rFonts w:ascii="Tahoma" w:hAnsi="Tahoma" w:cs="Tahoma"/>
      <w:spacing w:val="4"/>
      <w:szCs w:val="18"/>
    </w:rPr>
  </w:style>
  <w:style w:type="character" w:customStyle="1" w:styleId="NumberedListCharChar">
    <w:name w:val="Numbered List Char Char"/>
    <w:basedOn w:val="DefaultParagraphFont"/>
    <w:link w:val="NumberedList"/>
    <w:rsid w:val="00B9660B"/>
    <w:rPr>
      <w:rFonts w:ascii="Tahoma" w:hAnsi="Tahoma" w:cs="Tahoma"/>
      <w:spacing w:val="4"/>
      <w:szCs w:val="18"/>
    </w:rPr>
  </w:style>
  <w:style w:type="paragraph" w:customStyle="1" w:styleId="BlockQuotation">
    <w:name w:val="Block Quotation"/>
    <w:basedOn w:val="Normal"/>
    <w:link w:val="BlockQuotationChar"/>
    <w:rsid w:val="00B9660B"/>
    <w:pPr>
      <w:spacing w:before="80" w:after="80" w:line="312" w:lineRule="auto"/>
      <w:ind w:left="720"/>
    </w:pPr>
    <w:rPr>
      <w:rFonts w:ascii="Tahoma" w:hAnsi="Tahoma" w:cs="Tahoma"/>
      <w:spacing w:val="-4"/>
      <w:sz w:val="17"/>
      <w:szCs w:val="17"/>
    </w:rPr>
  </w:style>
  <w:style w:type="character" w:customStyle="1" w:styleId="BlockQuotationChar">
    <w:name w:val="Block Quotation Char"/>
    <w:basedOn w:val="DefaultParagraphFont"/>
    <w:link w:val="BlockQuotation"/>
    <w:rsid w:val="00B9660B"/>
    <w:rPr>
      <w:rFonts w:ascii="Tahoma" w:hAnsi="Tahoma" w:cs="Tahoma"/>
      <w:spacing w:val="-4"/>
      <w:sz w:val="17"/>
      <w:szCs w:val="17"/>
    </w:rPr>
  </w:style>
  <w:style w:type="paragraph" w:customStyle="1" w:styleId="TableHeadings">
    <w:name w:val="Table Headings"/>
    <w:basedOn w:val="TableText"/>
    <w:link w:val="TableHeadingsChar"/>
    <w:rsid w:val="00B9660B"/>
    <w:pPr>
      <w:spacing w:before="40" w:after="40"/>
      <w:jc w:val="center"/>
    </w:pPr>
    <w:rPr>
      <w:b/>
      <w:color w:val="FFFFFF" w:themeColor="background1"/>
    </w:rPr>
  </w:style>
  <w:style w:type="paragraph" w:customStyle="1" w:styleId="IndentedBodyText">
    <w:name w:val="Indented Body Text"/>
    <w:basedOn w:val="Normal"/>
    <w:link w:val="IndentedBodyTextChar"/>
    <w:semiHidden/>
    <w:rsid w:val="00B9660B"/>
    <w:pPr>
      <w:spacing w:after="120" w:line="240" w:lineRule="atLeast"/>
      <w:ind w:left="360"/>
    </w:pPr>
    <w:rPr>
      <w:rFonts w:ascii="Tahoma" w:hAnsi="Tahoma" w:cs="Tahoma"/>
      <w:spacing w:val="4"/>
      <w:sz w:val="18"/>
      <w:szCs w:val="18"/>
    </w:rPr>
  </w:style>
  <w:style w:type="character" w:customStyle="1" w:styleId="IndentedBodyTextChar">
    <w:name w:val="Indented Body Text Char"/>
    <w:basedOn w:val="DefaultParagraphFont"/>
    <w:link w:val="IndentedBodyText"/>
    <w:semiHidden/>
    <w:rsid w:val="00B9660B"/>
    <w:rPr>
      <w:rFonts w:ascii="Tahoma" w:hAnsi="Tahoma" w:cs="Tahoma"/>
      <w:spacing w:val="4"/>
      <w:sz w:val="18"/>
      <w:szCs w:val="18"/>
    </w:rPr>
  </w:style>
  <w:style w:type="paragraph" w:customStyle="1" w:styleId="Chapter">
    <w:name w:val="Chapter"/>
    <w:basedOn w:val="Normal"/>
    <w:semiHidden/>
    <w:rsid w:val="00B9660B"/>
    <w:pPr>
      <w:framePr w:hSpace="187" w:wrap="around" w:vAnchor="page" w:hAnchor="margin" w:y="1081"/>
    </w:pPr>
    <w:rPr>
      <w:rFonts w:ascii="Verdana" w:hAnsi="Verdana"/>
      <w:caps/>
      <w:color w:val="808080"/>
      <w:sz w:val="22"/>
      <w:szCs w:val="22"/>
    </w:rPr>
  </w:style>
  <w:style w:type="paragraph" w:customStyle="1" w:styleId="ESHeading">
    <w:name w:val="ES Heading"/>
    <w:next w:val="BodyText"/>
    <w:rsid w:val="00B9660B"/>
    <w:pPr>
      <w:spacing w:before="240" w:after="40"/>
    </w:pPr>
    <w:rPr>
      <w:rFonts w:ascii="Tahoma" w:hAnsi="Tahoma"/>
      <w:b/>
      <w:color w:val="1A1D5D"/>
      <w:sz w:val="26"/>
      <w:szCs w:val="26"/>
    </w:rPr>
  </w:style>
  <w:style w:type="paragraph" w:customStyle="1" w:styleId="BulletedListBold">
    <w:name w:val="Bulleted List Bold"/>
    <w:basedOn w:val="BulletedList0"/>
    <w:link w:val="BulletedListBoldChar"/>
    <w:semiHidden/>
    <w:rsid w:val="00B9660B"/>
    <w:pPr>
      <w:numPr>
        <w:numId w:val="0"/>
      </w:numPr>
      <w:tabs>
        <w:tab w:val="num" w:pos="0"/>
      </w:tabs>
      <w:ind w:left="720" w:hanging="360"/>
      <w:contextualSpacing w:val="0"/>
    </w:pPr>
    <w:rPr>
      <w:b/>
      <w:bCs/>
    </w:rPr>
  </w:style>
  <w:style w:type="character" w:customStyle="1" w:styleId="BulletedListBoldChar">
    <w:name w:val="Bulleted List Bold Char"/>
    <w:basedOn w:val="BulletedListCharChar"/>
    <w:link w:val="BulletedListBold"/>
    <w:semiHidden/>
    <w:rsid w:val="00B9660B"/>
    <w:rPr>
      <w:rFonts w:ascii="Tahoma" w:hAnsi="Tahoma" w:cs="Tahoma"/>
      <w:b/>
      <w:bCs/>
      <w:spacing w:val="4"/>
      <w:szCs w:val="18"/>
    </w:rPr>
  </w:style>
  <w:style w:type="paragraph" w:customStyle="1" w:styleId="NumberedListBold">
    <w:name w:val="Numbered List Bold"/>
    <w:basedOn w:val="NumberedList"/>
    <w:link w:val="NumberedListBoldChar"/>
    <w:semiHidden/>
    <w:rsid w:val="00B9660B"/>
    <w:rPr>
      <w:b/>
      <w:bCs/>
    </w:rPr>
  </w:style>
  <w:style w:type="character" w:customStyle="1" w:styleId="NumberedListBoldChar">
    <w:name w:val="Numbered List Bold Char"/>
    <w:basedOn w:val="NumberedListCharChar"/>
    <w:link w:val="NumberedListBold"/>
    <w:semiHidden/>
    <w:rsid w:val="00B9660B"/>
    <w:rPr>
      <w:rFonts w:ascii="Tahoma" w:hAnsi="Tahoma" w:cs="Tahoma"/>
      <w:b/>
      <w:bCs/>
      <w:spacing w:val="4"/>
      <w:szCs w:val="18"/>
    </w:rPr>
  </w:style>
  <w:style w:type="paragraph" w:customStyle="1" w:styleId="ReportNumber">
    <w:name w:val="Report Number"/>
    <w:basedOn w:val="Normal"/>
    <w:next w:val="ReportDate"/>
    <w:semiHidden/>
    <w:rsid w:val="00B9660B"/>
    <w:pPr>
      <w:spacing w:before="600"/>
    </w:pPr>
    <w:rPr>
      <w:rFonts w:ascii="Verdana" w:hAnsi="Verdana"/>
      <w:b/>
      <w:color w:val="808080"/>
      <w:sz w:val="18"/>
      <w:szCs w:val="18"/>
    </w:rPr>
  </w:style>
  <w:style w:type="paragraph" w:customStyle="1" w:styleId="ReportDate">
    <w:name w:val="Report Date"/>
    <w:basedOn w:val="ReportNumber"/>
    <w:semiHidden/>
    <w:rsid w:val="00B9660B"/>
    <w:rPr>
      <w:b w:val="0"/>
    </w:rPr>
  </w:style>
  <w:style w:type="paragraph" w:customStyle="1" w:styleId="ProjectManager">
    <w:name w:val="Project Manager"/>
    <w:basedOn w:val="ReportDate"/>
    <w:semiHidden/>
    <w:rsid w:val="00B9660B"/>
    <w:pPr>
      <w:spacing w:before="3000" w:line="312" w:lineRule="auto"/>
    </w:pPr>
  </w:style>
  <w:style w:type="paragraph" w:customStyle="1" w:styleId="ChapterTitle">
    <w:name w:val="Chapter Title"/>
    <w:basedOn w:val="InsideTitle"/>
    <w:next w:val="BodyText"/>
    <w:link w:val="ChapterTitleChar"/>
    <w:rsid w:val="00B9660B"/>
    <w:pPr>
      <w:spacing w:before="600" w:after="600"/>
      <w:outlineLvl w:val="0"/>
    </w:pPr>
    <w:rPr>
      <w:rFonts w:ascii="Tahoma" w:hAnsi="Tahoma"/>
      <w:szCs w:val="28"/>
    </w:rPr>
  </w:style>
  <w:style w:type="paragraph" w:customStyle="1" w:styleId="ContentsTitle">
    <w:name w:val="Contents Title"/>
    <w:basedOn w:val="ChapterTitle"/>
    <w:semiHidden/>
    <w:rsid w:val="00B9660B"/>
  </w:style>
  <w:style w:type="numbering" w:styleId="111111">
    <w:name w:val="Outline List 2"/>
    <w:basedOn w:val="NoList"/>
    <w:rsid w:val="00B9660B"/>
    <w:pPr>
      <w:numPr>
        <w:numId w:val="29"/>
      </w:numPr>
    </w:pPr>
  </w:style>
  <w:style w:type="table" w:customStyle="1" w:styleId="AEGReportTable">
    <w:name w:val="AEG Report Table"/>
    <w:basedOn w:val="TableNormal"/>
    <w:rsid w:val="00B9660B"/>
    <w:rPr>
      <w:rFonts w:ascii="Calibri" w:hAnsi="Calibri"/>
    </w:rPr>
    <w:tblPr>
      <w:tblInd w:w="11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58" w:type="dxa"/>
        <w:left w:w="115" w:type="dxa"/>
        <w:bottom w:w="58" w:type="dxa"/>
        <w:right w:w="115" w:type="dxa"/>
      </w:tblCellMar>
    </w:tblPr>
    <w:tcPr>
      <w:vAlign w:val="center"/>
    </w:tcPr>
    <w:tblStylePr w:type="firstRow">
      <w:pPr>
        <w:jc w:val="center"/>
      </w:pPr>
      <w:rPr>
        <w:rFonts w:ascii="Calibri" w:hAnsi="Calibri"/>
        <w:b/>
        <w:color w:val="FFFFFF" w:themeColor="background1"/>
        <w:sz w:val="20"/>
      </w:rPr>
      <w:tblPr/>
      <w:tcPr>
        <w:shd w:val="clear" w:color="auto" w:fill="1F497D" w:themeFill="text2"/>
        <w:vAlign w:val="bottom"/>
      </w:tcPr>
    </w:tblStylePr>
  </w:style>
  <w:style w:type="paragraph" w:styleId="BodyText2">
    <w:name w:val="Body Text 2"/>
    <w:basedOn w:val="Normal"/>
    <w:link w:val="BodyText2Char"/>
    <w:rsid w:val="00B9660B"/>
    <w:pPr>
      <w:spacing w:after="120" w:line="480" w:lineRule="auto"/>
    </w:pPr>
    <w:rPr>
      <w:rFonts w:ascii="Tahoma" w:hAnsi="Tahoma"/>
      <w:sz w:val="20"/>
    </w:rPr>
  </w:style>
  <w:style w:type="character" w:customStyle="1" w:styleId="BodyText2Char">
    <w:name w:val="Body Text 2 Char"/>
    <w:basedOn w:val="DefaultParagraphFont"/>
    <w:link w:val="BodyText2"/>
    <w:rsid w:val="00B9660B"/>
    <w:rPr>
      <w:rFonts w:ascii="Tahoma" w:hAnsi="Tahoma"/>
      <w:szCs w:val="24"/>
    </w:rPr>
  </w:style>
  <w:style w:type="paragraph" w:styleId="BodyText3">
    <w:name w:val="Body Text 3"/>
    <w:basedOn w:val="Normal"/>
    <w:link w:val="BodyText3Char"/>
    <w:rsid w:val="00B9660B"/>
    <w:pPr>
      <w:spacing w:after="120"/>
    </w:pPr>
    <w:rPr>
      <w:rFonts w:ascii="Tahoma" w:hAnsi="Tahoma"/>
      <w:sz w:val="16"/>
      <w:szCs w:val="16"/>
    </w:rPr>
  </w:style>
  <w:style w:type="character" w:customStyle="1" w:styleId="BodyText3Char">
    <w:name w:val="Body Text 3 Char"/>
    <w:basedOn w:val="DefaultParagraphFont"/>
    <w:link w:val="BodyText3"/>
    <w:rsid w:val="00B9660B"/>
    <w:rPr>
      <w:rFonts w:ascii="Tahoma" w:hAnsi="Tahoma"/>
      <w:sz w:val="16"/>
      <w:szCs w:val="16"/>
    </w:rPr>
  </w:style>
  <w:style w:type="table" w:styleId="TableColorful2">
    <w:name w:val="Table Colorful 2"/>
    <w:basedOn w:val="TableNormal"/>
    <w:rsid w:val="00B9660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9660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9660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9660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9660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9660B"/>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9660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9660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9660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966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9660B"/>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9660B"/>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9660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9660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9660B"/>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9660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9660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9660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9660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9660B"/>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9660B"/>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9660B"/>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9660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9660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9660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966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9660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9660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9660B"/>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9660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9660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96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9660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9660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9660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ableofFigures">
    <w:name w:val="table of figures"/>
    <w:basedOn w:val="TOC2"/>
    <w:next w:val="Normal"/>
    <w:uiPriority w:val="99"/>
    <w:rsid w:val="00B9660B"/>
    <w:pPr>
      <w:tabs>
        <w:tab w:val="right" w:leader="dot" w:pos="9000"/>
      </w:tabs>
      <w:spacing w:before="40" w:after="60"/>
      <w:ind w:left="1274" w:hanging="1274"/>
    </w:pPr>
    <w:rPr>
      <w:rFonts w:ascii="Tahoma" w:hAnsi="Tahoma"/>
      <w:sz w:val="20"/>
      <w:szCs w:val="20"/>
    </w:rPr>
  </w:style>
  <w:style w:type="paragraph" w:customStyle="1" w:styleId="Figure">
    <w:name w:val="Figure"/>
    <w:basedOn w:val="BodyText"/>
    <w:rsid w:val="00B9660B"/>
    <w:pPr>
      <w:keepNext/>
      <w:spacing w:before="240" w:after="0"/>
    </w:pPr>
    <w:rPr>
      <w:rFonts w:ascii="Tahoma" w:hAnsi="Tahoma"/>
      <w:spacing w:val="4"/>
      <w:sz w:val="20"/>
      <w:szCs w:val="18"/>
    </w:rPr>
  </w:style>
  <w:style w:type="numbering" w:styleId="1ai">
    <w:name w:val="Outline List 1"/>
    <w:basedOn w:val="NoList"/>
    <w:rsid w:val="00B9660B"/>
    <w:pPr>
      <w:numPr>
        <w:numId w:val="30"/>
      </w:numPr>
    </w:pPr>
  </w:style>
  <w:style w:type="numbering" w:styleId="ArticleSection">
    <w:name w:val="Outline List 3"/>
    <w:basedOn w:val="NoList"/>
    <w:rsid w:val="00B9660B"/>
    <w:pPr>
      <w:numPr>
        <w:numId w:val="31"/>
      </w:numPr>
    </w:pPr>
  </w:style>
  <w:style w:type="paragraph" w:styleId="BlockText">
    <w:name w:val="Block Text"/>
    <w:basedOn w:val="Normal"/>
    <w:rsid w:val="00B9660B"/>
    <w:pPr>
      <w:spacing w:after="120"/>
      <w:ind w:left="1440" w:right="1440"/>
    </w:pPr>
    <w:rPr>
      <w:rFonts w:ascii="Tahoma" w:hAnsi="Tahoma"/>
      <w:sz w:val="20"/>
    </w:rPr>
  </w:style>
  <w:style w:type="paragraph" w:styleId="BodyTextFirstIndent">
    <w:name w:val="Body Text First Indent"/>
    <w:basedOn w:val="BodyText"/>
    <w:link w:val="BodyTextFirstIndentChar"/>
    <w:rsid w:val="00B9660B"/>
    <w:pPr>
      <w:ind w:firstLine="210"/>
    </w:pPr>
  </w:style>
  <w:style w:type="character" w:customStyle="1" w:styleId="BodyTextFirstIndentChar">
    <w:name w:val="Body Text First Indent Char"/>
    <w:basedOn w:val="BodyTextChar"/>
    <w:link w:val="BodyTextFirstIndent"/>
    <w:rsid w:val="00B9660B"/>
    <w:rPr>
      <w:sz w:val="24"/>
      <w:szCs w:val="24"/>
    </w:rPr>
  </w:style>
  <w:style w:type="paragraph" w:styleId="BodyTextFirstIndent2">
    <w:name w:val="Body Text First Indent 2"/>
    <w:basedOn w:val="BodyTextIndent"/>
    <w:link w:val="BodyTextFirstIndent2Char"/>
    <w:rsid w:val="00B9660B"/>
    <w:pPr>
      <w:ind w:firstLine="210"/>
    </w:pPr>
    <w:rPr>
      <w:rFonts w:ascii="Tahoma" w:hAnsi="Tahoma"/>
      <w:sz w:val="20"/>
    </w:rPr>
  </w:style>
  <w:style w:type="character" w:customStyle="1" w:styleId="BodyTextFirstIndent2Char">
    <w:name w:val="Body Text First Indent 2 Char"/>
    <w:basedOn w:val="BodyTextIndentChar"/>
    <w:link w:val="BodyTextFirstIndent2"/>
    <w:rsid w:val="00B9660B"/>
    <w:rPr>
      <w:rFonts w:ascii="Tahoma" w:hAnsi="Tahoma" w:cs="Times New Roman"/>
      <w:sz w:val="24"/>
      <w:szCs w:val="24"/>
    </w:rPr>
  </w:style>
  <w:style w:type="paragraph" w:styleId="BodyTextIndent3">
    <w:name w:val="Body Text Indent 3"/>
    <w:basedOn w:val="Normal"/>
    <w:link w:val="BodyTextIndent3Char"/>
    <w:rsid w:val="00B9660B"/>
    <w:pPr>
      <w:spacing w:after="120"/>
      <w:ind w:left="360"/>
    </w:pPr>
    <w:rPr>
      <w:rFonts w:ascii="Tahoma" w:hAnsi="Tahoma"/>
      <w:sz w:val="16"/>
      <w:szCs w:val="16"/>
    </w:rPr>
  </w:style>
  <w:style w:type="character" w:customStyle="1" w:styleId="BodyTextIndent3Char">
    <w:name w:val="Body Text Indent 3 Char"/>
    <w:basedOn w:val="DefaultParagraphFont"/>
    <w:link w:val="BodyTextIndent3"/>
    <w:rsid w:val="00B9660B"/>
    <w:rPr>
      <w:rFonts w:ascii="Tahoma" w:hAnsi="Tahoma"/>
      <w:sz w:val="16"/>
      <w:szCs w:val="16"/>
    </w:rPr>
  </w:style>
  <w:style w:type="paragraph" w:styleId="Closing">
    <w:name w:val="Closing"/>
    <w:basedOn w:val="Normal"/>
    <w:link w:val="ClosingChar"/>
    <w:rsid w:val="00B9660B"/>
    <w:pPr>
      <w:ind w:left="4320"/>
    </w:pPr>
    <w:rPr>
      <w:rFonts w:ascii="Tahoma" w:hAnsi="Tahoma"/>
      <w:sz w:val="20"/>
    </w:rPr>
  </w:style>
  <w:style w:type="character" w:customStyle="1" w:styleId="ClosingChar">
    <w:name w:val="Closing Char"/>
    <w:basedOn w:val="DefaultParagraphFont"/>
    <w:link w:val="Closing"/>
    <w:rsid w:val="00B9660B"/>
    <w:rPr>
      <w:rFonts w:ascii="Tahoma" w:hAnsi="Tahoma"/>
      <w:szCs w:val="24"/>
    </w:rPr>
  </w:style>
  <w:style w:type="paragraph" w:styleId="E-mailSignature">
    <w:name w:val="E-mail Signature"/>
    <w:basedOn w:val="Normal"/>
    <w:link w:val="E-mailSignatureChar"/>
    <w:rsid w:val="00B9660B"/>
    <w:rPr>
      <w:rFonts w:ascii="Tahoma" w:hAnsi="Tahoma"/>
      <w:sz w:val="20"/>
    </w:rPr>
  </w:style>
  <w:style w:type="character" w:customStyle="1" w:styleId="E-mailSignatureChar">
    <w:name w:val="E-mail Signature Char"/>
    <w:basedOn w:val="DefaultParagraphFont"/>
    <w:link w:val="E-mailSignature"/>
    <w:rsid w:val="00B9660B"/>
    <w:rPr>
      <w:rFonts w:ascii="Tahoma" w:hAnsi="Tahoma"/>
      <w:szCs w:val="24"/>
    </w:rPr>
  </w:style>
  <w:style w:type="paragraph" w:styleId="EnvelopeAddress">
    <w:name w:val="envelope address"/>
    <w:basedOn w:val="Normal"/>
    <w:rsid w:val="00B9660B"/>
    <w:pPr>
      <w:framePr w:w="7920" w:h="1980" w:hRule="exact" w:hSpace="180" w:wrap="auto" w:hAnchor="page" w:xAlign="center" w:yAlign="bottom"/>
      <w:ind w:left="2880"/>
    </w:pPr>
    <w:rPr>
      <w:rFonts w:ascii="Arial" w:hAnsi="Arial" w:cs="Arial"/>
      <w:sz w:val="20"/>
    </w:rPr>
  </w:style>
  <w:style w:type="paragraph" w:styleId="EnvelopeReturn">
    <w:name w:val="envelope return"/>
    <w:basedOn w:val="Normal"/>
    <w:rsid w:val="00B9660B"/>
    <w:rPr>
      <w:rFonts w:ascii="Arial" w:hAnsi="Arial" w:cs="Arial"/>
      <w:sz w:val="20"/>
      <w:szCs w:val="20"/>
    </w:rPr>
  </w:style>
  <w:style w:type="character" w:styleId="FollowedHyperlink">
    <w:name w:val="FollowedHyperlink"/>
    <w:basedOn w:val="DefaultParagraphFont"/>
    <w:uiPriority w:val="99"/>
    <w:rsid w:val="00B9660B"/>
    <w:rPr>
      <w:color w:val="800080"/>
      <w:u w:val="single"/>
    </w:rPr>
  </w:style>
  <w:style w:type="character" w:styleId="HTMLAcronym">
    <w:name w:val="HTML Acronym"/>
    <w:basedOn w:val="DefaultParagraphFont"/>
    <w:rsid w:val="00B9660B"/>
  </w:style>
  <w:style w:type="paragraph" w:styleId="HTMLAddress">
    <w:name w:val="HTML Address"/>
    <w:basedOn w:val="Normal"/>
    <w:link w:val="HTMLAddressChar"/>
    <w:rsid w:val="00B9660B"/>
    <w:rPr>
      <w:rFonts w:ascii="Tahoma" w:hAnsi="Tahoma"/>
      <w:i/>
      <w:iCs/>
      <w:sz w:val="20"/>
    </w:rPr>
  </w:style>
  <w:style w:type="character" w:customStyle="1" w:styleId="HTMLAddressChar">
    <w:name w:val="HTML Address Char"/>
    <w:basedOn w:val="DefaultParagraphFont"/>
    <w:link w:val="HTMLAddress"/>
    <w:rsid w:val="00B9660B"/>
    <w:rPr>
      <w:rFonts w:ascii="Tahoma" w:hAnsi="Tahoma"/>
      <w:i/>
      <w:iCs/>
      <w:szCs w:val="24"/>
    </w:rPr>
  </w:style>
  <w:style w:type="character" w:styleId="HTMLCite">
    <w:name w:val="HTML Cite"/>
    <w:basedOn w:val="DefaultParagraphFont"/>
    <w:rsid w:val="00B9660B"/>
    <w:rPr>
      <w:i/>
      <w:iCs/>
    </w:rPr>
  </w:style>
  <w:style w:type="character" w:styleId="HTMLCode">
    <w:name w:val="HTML Code"/>
    <w:basedOn w:val="DefaultParagraphFont"/>
    <w:rsid w:val="00B9660B"/>
    <w:rPr>
      <w:rFonts w:ascii="Courier New" w:hAnsi="Courier New" w:cs="Courier New"/>
      <w:sz w:val="20"/>
      <w:szCs w:val="20"/>
    </w:rPr>
  </w:style>
  <w:style w:type="character" w:styleId="HTMLDefinition">
    <w:name w:val="HTML Definition"/>
    <w:basedOn w:val="DefaultParagraphFont"/>
    <w:rsid w:val="00B9660B"/>
    <w:rPr>
      <w:i/>
      <w:iCs/>
    </w:rPr>
  </w:style>
  <w:style w:type="character" w:styleId="HTMLKeyboard">
    <w:name w:val="HTML Keyboard"/>
    <w:basedOn w:val="DefaultParagraphFont"/>
    <w:rsid w:val="00B9660B"/>
    <w:rPr>
      <w:rFonts w:ascii="Courier New" w:hAnsi="Courier New" w:cs="Courier New"/>
      <w:sz w:val="20"/>
      <w:szCs w:val="20"/>
    </w:rPr>
  </w:style>
  <w:style w:type="paragraph" w:styleId="HTMLPreformatted">
    <w:name w:val="HTML Preformatted"/>
    <w:basedOn w:val="Normal"/>
    <w:link w:val="HTMLPreformattedChar"/>
    <w:rsid w:val="00B9660B"/>
    <w:rPr>
      <w:rFonts w:ascii="Courier New" w:hAnsi="Courier New" w:cs="Courier New"/>
      <w:sz w:val="20"/>
      <w:szCs w:val="20"/>
    </w:rPr>
  </w:style>
  <w:style w:type="character" w:customStyle="1" w:styleId="HTMLPreformattedChar">
    <w:name w:val="HTML Preformatted Char"/>
    <w:basedOn w:val="DefaultParagraphFont"/>
    <w:link w:val="HTMLPreformatted"/>
    <w:rsid w:val="00B9660B"/>
    <w:rPr>
      <w:rFonts w:ascii="Courier New" w:hAnsi="Courier New" w:cs="Courier New"/>
    </w:rPr>
  </w:style>
  <w:style w:type="character" w:styleId="HTMLSample">
    <w:name w:val="HTML Sample"/>
    <w:basedOn w:val="DefaultParagraphFont"/>
    <w:rsid w:val="00B9660B"/>
    <w:rPr>
      <w:rFonts w:ascii="Courier New" w:hAnsi="Courier New" w:cs="Courier New"/>
    </w:rPr>
  </w:style>
  <w:style w:type="character" w:styleId="HTMLTypewriter">
    <w:name w:val="HTML Typewriter"/>
    <w:basedOn w:val="DefaultParagraphFont"/>
    <w:rsid w:val="00B9660B"/>
    <w:rPr>
      <w:rFonts w:ascii="Courier New" w:hAnsi="Courier New" w:cs="Courier New"/>
      <w:sz w:val="20"/>
      <w:szCs w:val="20"/>
    </w:rPr>
  </w:style>
  <w:style w:type="character" w:styleId="HTMLVariable">
    <w:name w:val="HTML Variable"/>
    <w:basedOn w:val="DefaultParagraphFont"/>
    <w:rsid w:val="00B9660B"/>
    <w:rPr>
      <w:i/>
      <w:iCs/>
    </w:rPr>
  </w:style>
  <w:style w:type="character" w:styleId="LineNumber">
    <w:name w:val="line number"/>
    <w:basedOn w:val="DefaultParagraphFont"/>
    <w:rsid w:val="00B9660B"/>
  </w:style>
  <w:style w:type="paragraph" w:styleId="List">
    <w:name w:val="List"/>
    <w:basedOn w:val="Normal"/>
    <w:rsid w:val="00B9660B"/>
    <w:pPr>
      <w:ind w:left="360" w:hanging="360"/>
    </w:pPr>
    <w:rPr>
      <w:rFonts w:ascii="Tahoma" w:hAnsi="Tahoma"/>
      <w:sz w:val="20"/>
    </w:rPr>
  </w:style>
  <w:style w:type="paragraph" w:styleId="List2">
    <w:name w:val="List 2"/>
    <w:basedOn w:val="Normal"/>
    <w:rsid w:val="00B9660B"/>
    <w:pPr>
      <w:ind w:left="720" w:hanging="360"/>
    </w:pPr>
    <w:rPr>
      <w:rFonts w:ascii="Tahoma" w:hAnsi="Tahoma"/>
      <w:sz w:val="20"/>
    </w:rPr>
  </w:style>
  <w:style w:type="paragraph" w:styleId="List3">
    <w:name w:val="List 3"/>
    <w:basedOn w:val="Normal"/>
    <w:rsid w:val="00B9660B"/>
    <w:pPr>
      <w:ind w:left="1080" w:hanging="360"/>
    </w:pPr>
    <w:rPr>
      <w:rFonts w:ascii="Tahoma" w:hAnsi="Tahoma"/>
      <w:sz w:val="20"/>
    </w:rPr>
  </w:style>
  <w:style w:type="paragraph" w:styleId="List4">
    <w:name w:val="List 4"/>
    <w:basedOn w:val="Normal"/>
    <w:rsid w:val="00B9660B"/>
    <w:pPr>
      <w:ind w:left="1440" w:hanging="360"/>
    </w:pPr>
    <w:rPr>
      <w:rFonts w:ascii="Tahoma" w:hAnsi="Tahoma"/>
      <w:sz w:val="20"/>
    </w:rPr>
  </w:style>
  <w:style w:type="paragraph" w:styleId="List5">
    <w:name w:val="List 5"/>
    <w:basedOn w:val="Normal"/>
    <w:rsid w:val="00B9660B"/>
    <w:pPr>
      <w:ind w:left="1800" w:hanging="360"/>
    </w:pPr>
    <w:rPr>
      <w:rFonts w:ascii="Tahoma" w:hAnsi="Tahoma"/>
      <w:sz w:val="20"/>
    </w:rPr>
  </w:style>
  <w:style w:type="paragraph" w:styleId="ListBullet">
    <w:name w:val="List Bullet"/>
    <w:basedOn w:val="Normal"/>
    <w:rsid w:val="00B9660B"/>
    <w:pPr>
      <w:numPr>
        <w:numId w:val="20"/>
      </w:numPr>
    </w:pPr>
    <w:rPr>
      <w:rFonts w:ascii="Tahoma" w:hAnsi="Tahoma"/>
      <w:sz w:val="20"/>
    </w:rPr>
  </w:style>
  <w:style w:type="paragraph" w:styleId="ListBullet2">
    <w:name w:val="List Bullet 2"/>
    <w:basedOn w:val="Normal"/>
    <w:rsid w:val="00B9660B"/>
    <w:pPr>
      <w:numPr>
        <w:numId w:val="21"/>
      </w:numPr>
    </w:pPr>
    <w:rPr>
      <w:rFonts w:ascii="Tahoma" w:hAnsi="Tahoma"/>
      <w:sz w:val="20"/>
    </w:rPr>
  </w:style>
  <w:style w:type="paragraph" w:styleId="ListBullet3">
    <w:name w:val="List Bullet 3"/>
    <w:basedOn w:val="Normal"/>
    <w:rsid w:val="00B9660B"/>
    <w:pPr>
      <w:numPr>
        <w:numId w:val="22"/>
      </w:numPr>
    </w:pPr>
    <w:rPr>
      <w:rFonts w:ascii="Tahoma" w:hAnsi="Tahoma"/>
      <w:sz w:val="20"/>
    </w:rPr>
  </w:style>
  <w:style w:type="paragraph" w:styleId="ListBullet4">
    <w:name w:val="List Bullet 4"/>
    <w:basedOn w:val="Normal"/>
    <w:rsid w:val="00B9660B"/>
    <w:pPr>
      <w:numPr>
        <w:numId w:val="23"/>
      </w:numPr>
    </w:pPr>
    <w:rPr>
      <w:rFonts w:ascii="Tahoma" w:hAnsi="Tahoma"/>
      <w:sz w:val="20"/>
    </w:rPr>
  </w:style>
  <w:style w:type="paragraph" w:styleId="ListBullet5">
    <w:name w:val="List Bullet 5"/>
    <w:basedOn w:val="Normal"/>
    <w:rsid w:val="00B9660B"/>
    <w:pPr>
      <w:numPr>
        <w:numId w:val="24"/>
      </w:numPr>
    </w:pPr>
    <w:rPr>
      <w:rFonts w:ascii="Tahoma" w:hAnsi="Tahoma"/>
      <w:sz w:val="20"/>
    </w:rPr>
  </w:style>
  <w:style w:type="paragraph" w:styleId="ListContinue">
    <w:name w:val="List Continue"/>
    <w:basedOn w:val="Normal"/>
    <w:rsid w:val="00B9660B"/>
    <w:pPr>
      <w:spacing w:after="120"/>
      <w:ind w:left="360"/>
    </w:pPr>
    <w:rPr>
      <w:rFonts w:ascii="Tahoma" w:hAnsi="Tahoma"/>
      <w:sz w:val="20"/>
    </w:rPr>
  </w:style>
  <w:style w:type="paragraph" w:styleId="ListContinue2">
    <w:name w:val="List Continue 2"/>
    <w:basedOn w:val="Normal"/>
    <w:rsid w:val="00B9660B"/>
    <w:pPr>
      <w:spacing w:after="120"/>
      <w:ind w:left="720"/>
    </w:pPr>
    <w:rPr>
      <w:rFonts w:ascii="Tahoma" w:hAnsi="Tahoma"/>
      <w:sz w:val="20"/>
    </w:rPr>
  </w:style>
  <w:style w:type="paragraph" w:styleId="ListContinue3">
    <w:name w:val="List Continue 3"/>
    <w:basedOn w:val="Normal"/>
    <w:rsid w:val="00B9660B"/>
    <w:pPr>
      <w:spacing w:after="120"/>
      <w:ind w:left="1080"/>
    </w:pPr>
    <w:rPr>
      <w:rFonts w:ascii="Tahoma" w:hAnsi="Tahoma"/>
      <w:sz w:val="20"/>
    </w:rPr>
  </w:style>
  <w:style w:type="paragraph" w:styleId="ListContinue4">
    <w:name w:val="List Continue 4"/>
    <w:basedOn w:val="Normal"/>
    <w:rsid w:val="00B9660B"/>
    <w:pPr>
      <w:spacing w:after="120"/>
      <w:ind w:left="1440"/>
    </w:pPr>
    <w:rPr>
      <w:rFonts w:ascii="Tahoma" w:hAnsi="Tahoma"/>
      <w:sz w:val="20"/>
    </w:rPr>
  </w:style>
  <w:style w:type="paragraph" w:styleId="ListContinue5">
    <w:name w:val="List Continue 5"/>
    <w:basedOn w:val="Normal"/>
    <w:rsid w:val="00B9660B"/>
    <w:pPr>
      <w:spacing w:after="120"/>
      <w:ind w:left="1800"/>
    </w:pPr>
    <w:rPr>
      <w:rFonts w:ascii="Tahoma" w:hAnsi="Tahoma"/>
      <w:sz w:val="20"/>
    </w:rPr>
  </w:style>
  <w:style w:type="paragraph" w:styleId="ListNumber">
    <w:name w:val="List Number"/>
    <w:basedOn w:val="Normal"/>
    <w:rsid w:val="00B9660B"/>
    <w:pPr>
      <w:numPr>
        <w:numId w:val="25"/>
      </w:numPr>
    </w:pPr>
    <w:rPr>
      <w:rFonts w:ascii="Tahoma" w:hAnsi="Tahoma"/>
      <w:sz w:val="20"/>
    </w:rPr>
  </w:style>
  <w:style w:type="paragraph" w:styleId="ListNumber2">
    <w:name w:val="List Number 2"/>
    <w:basedOn w:val="Normal"/>
    <w:rsid w:val="00B9660B"/>
    <w:pPr>
      <w:numPr>
        <w:numId w:val="26"/>
      </w:numPr>
    </w:pPr>
    <w:rPr>
      <w:rFonts w:ascii="Tahoma" w:hAnsi="Tahoma"/>
      <w:sz w:val="20"/>
    </w:rPr>
  </w:style>
  <w:style w:type="paragraph" w:styleId="ListNumber4">
    <w:name w:val="List Number 4"/>
    <w:basedOn w:val="Normal"/>
    <w:rsid w:val="00B9660B"/>
    <w:pPr>
      <w:numPr>
        <w:numId w:val="27"/>
      </w:numPr>
    </w:pPr>
    <w:rPr>
      <w:rFonts w:ascii="Tahoma" w:hAnsi="Tahoma"/>
      <w:sz w:val="20"/>
    </w:rPr>
  </w:style>
  <w:style w:type="paragraph" w:styleId="ListNumber5">
    <w:name w:val="List Number 5"/>
    <w:basedOn w:val="Normal"/>
    <w:rsid w:val="00B9660B"/>
    <w:pPr>
      <w:numPr>
        <w:numId w:val="28"/>
      </w:numPr>
    </w:pPr>
    <w:rPr>
      <w:rFonts w:ascii="Tahoma" w:hAnsi="Tahoma"/>
      <w:sz w:val="20"/>
    </w:rPr>
  </w:style>
  <w:style w:type="paragraph" w:styleId="MessageHeader">
    <w:name w:val="Message Header"/>
    <w:basedOn w:val="Normal"/>
    <w:link w:val="MessageHeaderChar"/>
    <w:rsid w:val="00B9660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0"/>
    </w:rPr>
  </w:style>
  <w:style w:type="character" w:customStyle="1" w:styleId="MessageHeaderChar">
    <w:name w:val="Message Header Char"/>
    <w:basedOn w:val="DefaultParagraphFont"/>
    <w:link w:val="MessageHeader"/>
    <w:rsid w:val="00B9660B"/>
    <w:rPr>
      <w:rFonts w:ascii="Arial" w:hAnsi="Arial" w:cs="Arial"/>
      <w:szCs w:val="24"/>
      <w:shd w:val="pct20" w:color="auto" w:fill="auto"/>
    </w:rPr>
  </w:style>
  <w:style w:type="paragraph" w:styleId="NormalWeb">
    <w:name w:val="Normal (Web)"/>
    <w:basedOn w:val="Normal"/>
    <w:uiPriority w:val="99"/>
    <w:rsid w:val="00B9660B"/>
    <w:rPr>
      <w:rFonts w:ascii="Tahoma" w:hAnsi="Tahoma"/>
      <w:sz w:val="20"/>
    </w:rPr>
  </w:style>
  <w:style w:type="paragraph" w:styleId="NormalIndent">
    <w:name w:val="Normal Indent"/>
    <w:basedOn w:val="Normal"/>
    <w:rsid w:val="00B9660B"/>
    <w:pPr>
      <w:ind w:left="720"/>
    </w:pPr>
    <w:rPr>
      <w:rFonts w:ascii="Tahoma" w:hAnsi="Tahoma"/>
      <w:sz w:val="20"/>
    </w:rPr>
  </w:style>
  <w:style w:type="paragraph" w:styleId="NoteHeading">
    <w:name w:val="Note Heading"/>
    <w:basedOn w:val="Normal"/>
    <w:next w:val="Normal"/>
    <w:link w:val="NoteHeadingChar"/>
    <w:rsid w:val="00B9660B"/>
    <w:rPr>
      <w:rFonts w:ascii="Tahoma" w:hAnsi="Tahoma"/>
      <w:sz w:val="20"/>
    </w:rPr>
  </w:style>
  <w:style w:type="character" w:customStyle="1" w:styleId="NoteHeadingChar">
    <w:name w:val="Note Heading Char"/>
    <w:basedOn w:val="DefaultParagraphFont"/>
    <w:link w:val="NoteHeading"/>
    <w:rsid w:val="00B9660B"/>
    <w:rPr>
      <w:rFonts w:ascii="Tahoma" w:hAnsi="Tahoma"/>
      <w:szCs w:val="24"/>
    </w:rPr>
  </w:style>
  <w:style w:type="paragraph" w:styleId="PlainText">
    <w:name w:val="Plain Text"/>
    <w:basedOn w:val="Normal"/>
    <w:link w:val="PlainTextChar"/>
    <w:rsid w:val="00B9660B"/>
    <w:rPr>
      <w:rFonts w:ascii="Courier New" w:hAnsi="Courier New" w:cs="Courier New"/>
      <w:sz w:val="20"/>
      <w:szCs w:val="20"/>
    </w:rPr>
  </w:style>
  <w:style w:type="character" w:customStyle="1" w:styleId="PlainTextChar">
    <w:name w:val="Plain Text Char"/>
    <w:basedOn w:val="DefaultParagraphFont"/>
    <w:link w:val="PlainText"/>
    <w:rsid w:val="00B9660B"/>
    <w:rPr>
      <w:rFonts w:ascii="Courier New" w:hAnsi="Courier New" w:cs="Courier New"/>
    </w:rPr>
  </w:style>
  <w:style w:type="paragraph" w:styleId="Salutation">
    <w:name w:val="Salutation"/>
    <w:basedOn w:val="Normal"/>
    <w:next w:val="Normal"/>
    <w:link w:val="SalutationChar"/>
    <w:rsid w:val="00B9660B"/>
    <w:rPr>
      <w:rFonts w:ascii="Tahoma" w:hAnsi="Tahoma"/>
      <w:sz w:val="20"/>
    </w:rPr>
  </w:style>
  <w:style w:type="character" w:customStyle="1" w:styleId="SalutationChar">
    <w:name w:val="Salutation Char"/>
    <w:basedOn w:val="DefaultParagraphFont"/>
    <w:link w:val="Salutation"/>
    <w:rsid w:val="00B9660B"/>
    <w:rPr>
      <w:rFonts w:ascii="Tahoma" w:hAnsi="Tahoma"/>
      <w:szCs w:val="24"/>
    </w:rPr>
  </w:style>
  <w:style w:type="paragraph" w:styleId="Signature">
    <w:name w:val="Signature"/>
    <w:basedOn w:val="Normal"/>
    <w:link w:val="SignatureChar"/>
    <w:rsid w:val="00B9660B"/>
    <w:pPr>
      <w:ind w:left="4320"/>
    </w:pPr>
    <w:rPr>
      <w:rFonts w:ascii="Tahoma" w:hAnsi="Tahoma"/>
      <w:sz w:val="20"/>
    </w:rPr>
  </w:style>
  <w:style w:type="character" w:customStyle="1" w:styleId="SignatureChar">
    <w:name w:val="Signature Char"/>
    <w:basedOn w:val="DefaultParagraphFont"/>
    <w:link w:val="Signature"/>
    <w:rsid w:val="00B9660B"/>
    <w:rPr>
      <w:rFonts w:ascii="Tahoma" w:hAnsi="Tahoma"/>
      <w:szCs w:val="24"/>
    </w:rPr>
  </w:style>
  <w:style w:type="table" w:styleId="Table3Deffects1">
    <w:name w:val="Table 3D effects 1"/>
    <w:basedOn w:val="TableNormal"/>
    <w:rsid w:val="00B9660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9660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9660B"/>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9660B"/>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9660B"/>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9660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9660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9660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paragraph" w:styleId="Date">
    <w:name w:val="Date"/>
    <w:basedOn w:val="Normal"/>
    <w:next w:val="Normal"/>
    <w:link w:val="DateChar"/>
    <w:rsid w:val="00B9660B"/>
    <w:rPr>
      <w:rFonts w:ascii="Tahoma" w:hAnsi="Tahoma"/>
      <w:sz w:val="20"/>
    </w:rPr>
  </w:style>
  <w:style w:type="character" w:customStyle="1" w:styleId="DateChar">
    <w:name w:val="Date Char"/>
    <w:basedOn w:val="DefaultParagraphFont"/>
    <w:link w:val="Date"/>
    <w:rsid w:val="00B9660B"/>
    <w:rPr>
      <w:rFonts w:ascii="Tahoma" w:hAnsi="Tahoma"/>
      <w:szCs w:val="24"/>
    </w:rPr>
  </w:style>
  <w:style w:type="character" w:customStyle="1" w:styleId="BodyTextChar1">
    <w:name w:val="Body Text Char1"/>
    <w:basedOn w:val="DefaultParagraphFont"/>
    <w:rsid w:val="00B9660B"/>
    <w:rPr>
      <w:rFonts w:ascii="Tahoma" w:hAnsi="Tahoma"/>
      <w:spacing w:val="4"/>
      <w:sz w:val="18"/>
      <w:szCs w:val="18"/>
      <w:lang w:val="en-US" w:eastAsia="en-US" w:bidi="ar-SA"/>
    </w:rPr>
  </w:style>
  <w:style w:type="paragraph" w:customStyle="1" w:styleId="AppendixTitle">
    <w:name w:val="Appendix Title"/>
    <w:basedOn w:val="ChapterTitle"/>
    <w:next w:val="BodyText"/>
    <w:link w:val="AppendixTitleChar"/>
    <w:rsid w:val="00B9660B"/>
  </w:style>
  <w:style w:type="character" w:customStyle="1" w:styleId="InsideTitleChar">
    <w:name w:val="Inside Title Char"/>
    <w:basedOn w:val="DefaultParagraphFont"/>
    <w:link w:val="InsideTitle"/>
    <w:semiHidden/>
    <w:rsid w:val="00B9660B"/>
    <w:rPr>
      <w:rFonts w:ascii="Verdana" w:hAnsi="Verdana"/>
      <w:b/>
      <w:sz w:val="32"/>
    </w:rPr>
  </w:style>
  <w:style w:type="character" w:customStyle="1" w:styleId="ChapterTitleChar">
    <w:name w:val="Chapter Title Char"/>
    <w:basedOn w:val="InsideTitleChar"/>
    <w:link w:val="ChapterTitle"/>
    <w:rsid w:val="00B9660B"/>
    <w:rPr>
      <w:rFonts w:ascii="Tahoma" w:hAnsi="Tahoma"/>
      <w:b/>
      <w:sz w:val="32"/>
      <w:szCs w:val="28"/>
    </w:rPr>
  </w:style>
  <w:style w:type="character" w:customStyle="1" w:styleId="AppendixTitleChar">
    <w:name w:val="Appendix Title Char"/>
    <w:basedOn w:val="ChapterTitleChar"/>
    <w:link w:val="AppendixTitle"/>
    <w:rsid w:val="00B9660B"/>
    <w:rPr>
      <w:rFonts w:ascii="Tahoma" w:hAnsi="Tahoma"/>
      <w:b/>
      <w:sz w:val="32"/>
      <w:szCs w:val="28"/>
    </w:rPr>
  </w:style>
  <w:style w:type="character" w:customStyle="1" w:styleId="TOC3Char">
    <w:name w:val="TOC 3 Char"/>
    <w:basedOn w:val="Heading3Char"/>
    <w:link w:val="TOC3"/>
    <w:uiPriority w:val="39"/>
    <w:rsid w:val="00B9660B"/>
    <w:rPr>
      <w:rFonts w:ascii="Arial" w:hAnsi="Arial" w:cs="Arial"/>
      <w:b w:val="0"/>
      <w:bCs w:val="0"/>
      <w:sz w:val="24"/>
      <w:szCs w:val="24"/>
    </w:rPr>
  </w:style>
  <w:style w:type="table" w:customStyle="1" w:styleId="LightShading-Accent11">
    <w:name w:val="Light Shading - Accent 11"/>
    <w:basedOn w:val="TableNormal"/>
    <w:uiPriority w:val="60"/>
    <w:rsid w:val="00B9660B"/>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ReportTitle">
    <w:name w:val="Report Title"/>
    <w:basedOn w:val="Normal"/>
    <w:rsid w:val="00B9660B"/>
    <w:rPr>
      <w:rFonts w:ascii="Tahoma" w:hAnsi="Tahoma"/>
      <w:color w:val="1A1D5D"/>
    </w:rPr>
  </w:style>
  <w:style w:type="paragraph" w:customStyle="1" w:styleId="ReportData">
    <w:name w:val="Report Data"/>
    <w:basedOn w:val="Normal"/>
    <w:rsid w:val="00B9660B"/>
    <w:rPr>
      <w:rFonts w:ascii="Tahoma" w:hAnsi="Tahoma"/>
      <w:color w:val="1A1D5D"/>
      <w:sz w:val="20"/>
    </w:rPr>
  </w:style>
  <w:style w:type="paragraph" w:customStyle="1" w:styleId="ESTitle">
    <w:name w:val="ES Title"/>
    <w:basedOn w:val="ContentsTitle"/>
    <w:rsid w:val="00B9660B"/>
    <w:pPr>
      <w:outlineLvl w:val="9"/>
    </w:pPr>
  </w:style>
  <w:style w:type="paragraph" w:customStyle="1" w:styleId="BulletedListIndent">
    <w:name w:val="Bulleted List Indent"/>
    <w:basedOn w:val="BulletedList0"/>
    <w:qFormat/>
    <w:rsid w:val="00B9660B"/>
    <w:pPr>
      <w:numPr>
        <w:numId w:val="32"/>
      </w:numPr>
      <w:contextualSpacing w:val="0"/>
    </w:pPr>
  </w:style>
  <w:style w:type="paragraph" w:customStyle="1" w:styleId="BulletedListIndent2">
    <w:name w:val="Bulleted List Indent 2"/>
    <w:basedOn w:val="Normal"/>
    <w:qFormat/>
    <w:rsid w:val="00B9660B"/>
    <w:pPr>
      <w:numPr>
        <w:numId w:val="34"/>
      </w:numPr>
      <w:spacing w:after="240"/>
      <w:ind w:left="1080"/>
    </w:pPr>
    <w:rPr>
      <w:rFonts w:ascii="Tahoma" w:hAnsi="Tahoma"/>
      <w:sz w:val="20"/>
    </w:rPr>
  </w:style>
  <w:style w:type="paragraph" w:customStyle="1" w:styleId="ReportSubtitle">
    <w:name w:val="Report Subtitle"/>
    <w:rsid w:val="00B9660B"/>
    <w:pPr>
      <w:spacing w:before="60" w:after="180"/>
    </w:pPr>
    <w:rPr>
      <w:rFonts w:ascii="Tahoma" w:hAnsi="Tahoma"/>
      <w:i/>
      <w:color w:val="1A1D5D"/>
      <w:sz w:val="22"/>
      <w:szCs w:val="24"/>
    </w:rPr>
  </w:style>
  <w:style w:type="paragraph" w:customStyle="1" w:styleId="TableFigureCaption0">
    <w:name w:val="Table &amp; Figure Caption"/>
    <w:basedOn w:val="Normal"/>
    <w:next w:val="BodyText"/>
    <w:rsid w:val="00B9660B"/>
    <w:pPr>
      <w:keepNext/>
      <w:spacing w:before="360" w:after="60"/>
      <w:ind w:left="1080" w:hanging="1080"/>
    </w:pPr>
    <w:rPr>
      <w:rFonts w:ascii="Tahoma" w:hAnsi="Tahoma"/>
      <w:b/>
      <w:i/>
      <w:sz w:val="18"/>
      <w:szCs w:val="16"/>
    </w:rPr>
  </w:style>
  <w:style w:type="table" w:customStyle="1" w:styleId="EnerNOCReportTable">
    <w:name w:val="EnerNOC Report Table"/>
    <w:basedOn w:val="TableNormal"/>
    <w:rsid w:val="00B9660B"/>
    <w:rPr>
      <w:rFonts w:ascii="Calibri" w:hAnsi="Calibri"/>
    </w:rPr>
    <w:tblPr>
      <w:tblInd w:w="11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58" w:type="dxa"/>
        <w:left w:w="115" w:type="dxa"/>
        <w:bottom w:w="58" w:type="dxa"/>
        <w:right w:w="115" w:type="dxa"/>
      </w:tblCellMar>
    </w:tblPr>
    <w:tcPr>
      <w:vAlign w:val="center"/>
    </w:tcPr>
    <w:tblStylePr w:type="firstRow">
      <w:pPr>
        <w:jc w:val="center"/>
      </w:pPr>
      <w:rPr>
        <w:rFonts w:ascii="Calibri" w:hAnsi="Calibri"/>
        <w:b/>
        <w:color w:val="FFFFFF" w:themeColor="background1"/>
        <w:sz w:val="20"/>
      </w:rPr>
      <w:tblPr/>
      <w:tcPr>
        <w:shd w:val="clear" w:color="auto" w:fill="1F497D" w:themeFill="text2"/>
        <w:vAlign w:val="bottom"/>
      </w:tcPr>
    </w:tblStylePr>
  </w:style>
  <w:style w:type="character" w:customStyle="1" w:styleId="TableTextChar">
    <w:name w:val="Table Text Char"/>
    <w:basedOn w:val="DefaultParagraphFont"/>
    <w:link w:val="TableText"/>
    <w:locked/>
    <w:rsid w:val="00B9660B"/>
    <w:rPr>
      <w:rFonts w:ascii="Arial" w:hAnsi="Arial"/>
      <w:sz w:val="18"/>
      <w:szCs w:val="22"/>
    </w:rPr>
  </w:style>
  <w:style w:type="character" w:customStyle="1" w:styleId="TableHeadingsChar">
    <w:name w:val="Table Headings Char"/>
    <w:basedOn w:val="TableTextChar"/>
    <w:link w:val="TableHeadings"/>
    <w:locked/>
    <w:rsid w:val="00B9660B"/>
    <w:rPr>
      <w:rFonts w:ascii="Arial" w:hAnsi="Arial"/>
      <w:b/>
      <w:color w:val="FFFFFF" w:themeColor="background1"/>
      <w:sz w:val="18"/>
      <w:szCs w:val="22"/>
    </w:rPr>
  </w:style>
  <w:style w:type="paragraph" w:customStyle="1" w:styleId="Tabletext0">
    <w:name w:val="Table text"/>
    <w:basedOn w:val="BodyText"/>
    <w:rsid w:val="00B9660B"/>
    <w:pPr>
      <w:spacing w:after="180" w:line="240" w:lineRule="atLeast"/>
      <w:contextualSpacing/>
    </w:pPr>
    <w:rPr>
      <w:rFonts w:ascii="Verdana" w:hAnsi="Verdana"/>
      <w:b/>
      <w:bCs/>
      <w:spacing w:val="4"/>
      <w:sz w:val="16"/>
      <w:szCs w:val="16"/>
    </w:rPr>
  </w:style>
  <w:style w:type="paragraph" w:customStyle="1" w:styleId="Bulletedlistlevel2">
    <w:name w:val="Bulleted list level 2"/>
    <w:basedOn w:val="Normal"/>
    <w:link w:val="Bulletedlistlevel2Char"/>
    <w:rsid w:val="00B9660B"/>
    <w:pPr>
      <w:numPr>
        <w:numId w:val="37"/>
      </w:numPr>
      <w:tabs>
        <w:tab w:val="num" w:pos="1440"/>
      </w:tabs>
      <w:spacing w:after="180" w:line="240" w:lineRule="atLeast"/>
    </w:pPr>
    <w:rPr>
      <w:rFonts w:ascii="Tahoma" w:hAnsi="Tahoma"/>
      <w:spacing w:val="4"/>
      <w:sz w:val="20"/>
      <w:szCs w:val="18"/>
    </w:rPr>
  </w:style>
  <w:style w:type="character" w:customStyle="1" w:styleId="Bulletedlistlevel2Char">
    <w:name w:val="Bulleted list level 2 Char"/>
    <w:basedOn w:val="DefaultParagraphFont"/>
    <w:link w:val="Bulletedlistlevel2"/>
    <w:rsid w:val="00B9660B"/>
    <w:rPr>
      <w:rFonts w:ascii="Tahoma" w:hAnsi="Tahoma"/>
      <w:spacing w:val="4"/>
      <w:szCs w:val="18"/>
    </w:rPr>
  </w:style>
  <w:style w:type="character" w:customStyle="1" w:styleId="BulletedListChar">
    <w:name w:val="Bulleted List Char"/>
    <w:basedOn w:val="DefaultParagraphFont"/>
    <w:rsid w:val="00B9660B"/>
    <w:rPr>
      <w:rFonts w:ascii="Tahoma" w:hAnsi="Tahoma" w:cs="Tahoma"/>
      <w:spacing w:val="4"/>
      <w:sz w:val="18"/>
      <w:szCs w:val="18"/>
    </w:rPr>
  </w:style>
  <w:style w:type="paragraph" w:styleId="Revision">
    <w:name w:val="Revision"/>
    <w:hidden/>
    <w:uiPriority w:val="99"/>
    <w:semiHidden/>
    <w:rsid w:val="00B9660B"/>
    <w:rPr>
      <w:rFonts w:ascii="Tahoma" w:hAnsi="Tahoma"/>
      <w:szCs w:val="24"/>
    </w:rPr>
  </w:style>
  <w:style w:type="table" w:customStyle="1" w:styleId="LightList-Accent11">
    <w:name w:val="Light List - Accent 11"/>
    <w:basedOn w:val="TableNormal"/>
    <w:uiPriority w:val="61"/>
    <w:rsid w:val="00B9660B"/>
    <w:tblPr>
      <w:tblStyleRowBandSize w:val="1"/>
      <w:tblStyleColBandSize w:val="1"/>
      <w:tblBorders>
        <w:top w:val="single" w:sz="8" w:space="0" w:color="4C789D"/>
        <w:left w:val="single" w:sz="8" w:space="0" w:color="4C789D"/>
        <w:bottom w:val="single" w:sz="8" w:space="0" w:color="4C789D"/>
        <w:right w:val="single" w:sz="8" w:space="0" w:color="4C789D"/>
      </w:tblBorders>
    </w:tblPr>
    <w:tblStylePr w:type="firstRow">
      <w:pPr>
        <w:spacing w:before="0" w:after="0" w:line="240" w:lineRule="auto"/>
      </w:pPr>
      <w:rPr>
        <w:b/>
        <w:bCs/>
        <w:color w:val="FFFFFF"/>
      </w:rPr>
      <w:tblPr/>
      <w:tcPr>
        <w:shd w:val="clear" w:color="auto" w:fill="4C789D"/>
      </w:tcPr>
    </w:tblStylePr>
    <w:tblStylePr w:type="lastRow">
      <w:pPr>
        <w:spacing w:before="0" w:after="0" w:line="240" w:lineRule="auto"/>
      </w:pPr>
      <w:rPr>
        <w:b/>
        <w:bCs/>
      </w:rPr>
      <w:tblPr/>
      <w:tcPr>
        <w:tcBorders>
          <w:top w:val="double" w:sz="6" w:space="0" w:color="4C789D"/>
          <w:left w:val="single" w:sz="8" w:space="0" w:color="4C789D"/>
          <w:bottom w:val="single" w:sz="8" w:space="0" w:color="4C789D"/>
          <w:right w:val="single" w:sz="8" w:space="0" w:color="4C789D"/>
        </w:tcBorders>
      </w:tcPr>
    </w:tblStylePr>
    <w:tblStylePr w:type="firstCol">
      <w:rPr>
        <w:b/>
        <w:bCs/>
      </w:rPr>
    </w:tblStylePr>
    <w:tblStylePr w:type="lastCol">
      <w:rPr>
        <w:b/>
        <w:bCs/>
      </w:rPr>
    </w:tblStylePr>
    <w:tblStylePr w:type="band1Vert">
      <w:tblPr/>
      <w:tcPr>
        <w:tcBorders>
          <w:top w:val="single" w:sz="8" w:space="0" w:color="4C789D"/>
          <w:left w:val="single" w:sz="8" w:space="0" w:color="4C789D"/>
          <w:bottom w:val="single" w:sz="8" w:space="0" w:color="4C789D"/>
          <w:right w:val="single" w:sz="8" w:space="0" w:color="4C789D"/>
        </w:tcBorders>
      </w:tcPr>
    </w:tblStylePr>
    <w:tblStylePr w:type="band1Horz">
      <w:tblPr/>
      <w:tcPr>
        <w:tcBorders>
          <w:top w:val="single" w:sz="8" w:space="0" w:color="4C789D"/>
          <w:left w:val="single" w:sz="8" w:space="0" w:color="4C789D"/>
          <w:bottom w:val="single" w:sz="8" w:space="0" w:color="4C789D"/>
          <w:right w:val="single" w:sz="8" w:space="0" w:color="4C789D"/>
        </w:tcBorders>
      </w:tcPr>
    </w:tblStylePr>
  </w:style>
  <w:style w:type="table" w:customStyle="1" w:styleId="EnerNOCReportTable2">
    <w:name w:val="EnerNOC Report Table 2"/>
    <w:basedOn w:val="EnerNOCReportTable"/>
    <w:uiPriority w:val="99"/>
    <w:qFormat/>
    <w:rsid w:val="00B9660B"/>
    <w:rPr>
      <w:sz w:val="18"/>
    </w:rPr>
    <w:tblPr>
      <w:tblStyleRowBandSize w:val="1"/>
      <w:tblStyleColBandSize w:val="1"/>
    </w:tblPr>
    <w:trPr>
      <w:cantSplit/>
    </w:trPr>
    <w:tcPr>
      <w:shd w:val="clear" w:color="auto" w:fill="FFFFFF"/>
      <w:tcMar>
        <w:top w:w="14" w:type="dxa"/>
        <w:bottom w:w="14" w:type="dxa"/>
      </w:tcMar>
    </w:tcPr>
    <w:tblStylePr w:type="firstRow">
      <w:pPr>
        <w:jc w:val="center"/>
      </w:pPr>
      <w:rPr>
        <w:rFonts w:ascii="Calibri" w:hAnsi="Calibri"/>
        <w:b/>
        <w:color w:val="FFFFFF"/>
        <w:sz w:val="18"/>
      </w:rPr>
      <w:tblPr/>
      <w:trPr>
        <w:cantSplit w:val="0"/>
      </w:trPr>
      <w:tcPr>
        <w:shd w:val="clear" w:color="auto" w:fill="003E74"/>
        <w:vAlign w:val="bottom"/>
      </w:tcPr>
    </w:tblStylePr>
    <w:tblStylePr w:type="lastRow">
      <w:rPr>
        <w:rFonts w:ascii="Calibri" w:hAnsi="Calibri"/>
        <w:sz w:val="20"/>
      </w:rPr>
    </w:tblStylePr>
    <w:tblStylePr w:type="firstCol">
      <w:pPr>
        <w:jc w:val="left"/>
      </w:pPr>
      <w:rPr>
        <w:rFonts w:ascii="Calibri" w:hAnsi="Calibri"/>
        <w:sz w:val="18"/>
      </w:rPr>
      <w:tblPr/>
      <w:trPr>
        <w:cantSplit w:val="0"/>
      </w:trPr>
    </w:tblStylePr>
    <w:tblStylePr w:type="band1Vert">
      <w:pPr>
        <w:jc w:val="left"/>
      </w:pPr>
      <w:rPr>
        <w:rFonts w:ascii="Calibri" w:hAnsi="Calibri"/>
        <w:sz w:val="18"/>
      </w:rPr>
      <w:tblPr/>
      <w:trPr>
        <w:cantSplit w:val="0"/>
      </w:trPr>
    </w:tblStylePr>
    <w:tblStylePr w:type="band2Vert">
      <w:pPr>
        <w:jc w:val="left"/>
      </w:pPr>
      <w:rPr>
        <w:rFonts w:ascii="Calibri" w:hAnsi="Calibri"/>
        <w:sz w:val="18"/>
      </w:rPr>
      <w:tblPr/>
      <w:trPr>
        <w:cantSplit w:val="0"/>
      </w:trPr>
    </w:tblStylePr>
    <w:tblStylePr w:type="band1Horz">
      <w:rPr>
        <w:rFonts w:ascii="Calibri" w:hAnsi="Calibri"/>
        <w:sz w:val="18"/>
      </w:rPr>
      <w:tblPr/>
      <w:trPr>
        <w:cantSplit w:val="0"/>
      </w:trPr>
    </w:tblStylePr>
    <w:tblStylePr w:type="band2Horz">
      <w:pPr>
        <w:jc w:val="left"/>
      </w:pPr>
      <w:rPr>
        <w:rFonts w:ascii="Calibri" w:hAnsi="Calibri"/>
        <w:sz w:val="18"/>
      </w:rPr>
      <w:tblPr/>
      <w:trPr>
        <w:cantSplit w:val="0"/>
      </w:trPr>
      <w:tcPr>
        <w:vAlign w:val="top"/>
      </w:tcPr>
    </w:tblStylePr>
  </w:style>
  <w:style w:type="character" w:customStyle="1" w:styleId="BulletedListChar2">
    <w:name w:val="Bulleted List Char2"/>
    <w:basedOn w:val="DefaultParagraphFont"/>
    <w:rsid w:val="00B9660B"/>
    <w:rPr>
      <w:rFonts w:ascii="Tahoma" w:hAnsi="Tahoma" w:cs="Tahoma"/>
      <w:spacing w:val="4"/>
      <w:szCs w:val="18"/>
    </w:rPr>
  </w:style>
  <w:style w:type="paragraph" w:customStyle="1" w:styleId="FigureorTableCaption">
    <w:name w:val="Figure or Table Caption"/>
    <w:basedOn w:val="Normal"/>
    <w:next w:val="BodyText"/>
    <w:qFormat/>
    <w:rsid w:val="00B9660B"/>
    <w:pPr>
      <w:keepNext/>
      <w:spacing w:before="240" w:after="80"/>
      <w:ind w:left="1080" w:hanging="1080"/>
    </w:pPr>
    <w:rPr>
      <w:rFonts w:ascii="Tahoma" w:hAnsi="Tahoma"/>
      <w:b/>
      <w:i/>
      <w:sz w:val="20"/>
      <w:szCs w:val="16"/>
    </w:rPr>
  </w:style>
  <w:style w:type="paragraph" w:customStyle="1" w:styleId="FigureorTableTitle">
    <w:name w:val="Figure or Table Title"/>
    <w:basedOn w:val="Normal"/>
    <w:rsid w:val="00B9660B"/>
    <w:pPr>
      <w:keepNext/>
      <w:tabs>
        <w:tab w:val="left" w:pos="1152"/>
      </w:tabs>
      <w:spacing w:before="240" w:after="40"/>
    </w:pPr>
    <w:rPr>
      <w:rFonts w:ascii="Tahoma" w:hAnsi="Tahoma" w:cs="Calibri"/>
      <w:b/>
      <w:bCs/>
      <w:i/>
      <w:iCs/>
      <w:sz w:val="20"/>
      <w:szCs w:val="22"/>
    </w:rPr>
  </w:style>
  <w:style w:type="paragraph" w:customStyle="1" w:styleId="Belowbulletindent">
    <w:name w:val="Below bullet indent"/>
    <w:basedOn w:val="BulletedList0"/>
    <w:rsid w:val="00B9660B"/>
    <w:pPr>
      <w:numPr>
        <w:numId w:val="0"/>
      </w:numPr>
      <w:ind w:left="720"/>
      <w:contextualSpacing w:val="0"/>
    </w:pPr>
    <w:rPr>
      <w:color w:val="000000"/>
    </w:rPr>
  </w:style>
  <w:style w:type="paragraph" w:customStyle="1" w:styleId="Tablenote">
    <w:name w:val="Table note"/>
    <w:basedOn w:val="BodyText"/>
    <w:rsid w:val="00B9660B"/>
    <w:pPr>
      <w:spacing w:line="240" w:lineRule="atLeast"/>
    </w:pPr>
    <w:rPr>
      <w:rFonts w:ascii="Tahoma" w:hAnsi="Tahoma"/>
      <w:i/>
      <w:spacing w:val="4"/>
      <w:sz w:val="18"/>
      <w:szCs w:val="18"/>
    </w:rPr>
  </w:style>
  <w:style w:type="character" w:customStyle="1" w:styleId="BodyTextChar2">
    <w:name w:val="Body Text Char2"/>
    <w:basedOn w:val="DefaultParagraphFont"/>
    <w:rsid w:val="00B9660B"/>
    <w:rPr>
      <w:rFonts w:ascii="Tahoma" w:hAnsi="Tahoma"/>
      <w:spacing w:val="4"/>
      <w:szCs w:val="18"/>
      <w:lang w:val="en-US" w:eastAsia="en-US" w:bidi="ar-SA"/>
    </w:rPr>
  </w:style>
  <w:style w:type="paragraph" w:customStyle="1" w:styleId="Bulletedlist">
    <w:name w:val="Bulleted list"/>
    <w:basedOn w:val="BodyText"/>
    <w:rsid w:val="00B9660B"/>
    <w:pPr>
      <w:numPr>
        <w:numId w:val="35"/>
      </w:numPr>
      <w:spacing w:line="240" w:lineRule="atLeast"/>
    </w:pPr>
    <w:rPr>
      <w:rFonts w:ascii="Tahoma" w:hAnsi="Tahoma"/>
      <w:spacing w:val="4"/>
      <w:sz w:val="20"/>
      <w:szCs w:val="18"/>
    </w:rPr>
  </w:style>
  <w:style w:type="paragraph" w:customStyle="1" w:styleId="xl63">
    <w:name w:val="xl63"/>
    <w:basedOn w:val="Normal"/>
    <w:rsid w:val="00B9660B"/>
    <w:pPr>
      <w:pBdr>
        <w:top w:val="single" w:sz="4" w:space="0" w:color="7F7F7F"/>
        <w:left w:val="single" w:sz="4" w:space="0" w:color="7F7F7F"/>
        <w:bottom w:val="single" w:sz="4" w:space="0" w:color="7F7F7F"/>
        <w:right w:val="single" w:sz="4" w:space="0" w:color="7F7F7F"/>
      </w:pBdr>
      <w:shd w:val="clear" w:color="000000" w:fill="1F497D"/>
      <w:spacing w:before="100" w:beforeAutospacing="1" w:after="100" w:afterAutospacing="1"/>
      <w:jc w:val="center"/>
    </w:pPr>
    <w:rPr>
      <w:b/>
      <w:bCs/>
      <w:color w:val="FFFFFF"/>
      <w:sz w:val="16"/>
      <w:szCs w:val="16"/>
    </w:rPr>
  </w:style>
  <w:style w:type="paragraph" w:customStyle="1" w:styleId="xl64">
    <w:name w:val="xl64"/>
    <w:basedOn w:val="Normal"/>
    <w:rsid w:val="00B9660B"/>
    <w:pPr>
      <w:pBdr>
        <w:top w:val="single" w:sz="4" w:space="0" w:color="7F7F7F"/>
        <w:left w:val="single" w:sz="4" w:space="0" w:color="7F7F7F"/>
        <w:bottom w:val="single" w:sz="4" w:space="0" w:color="7F7F7F"/>
        <w:right w:val="single" w:sz="4" w:space="0" w:color="7F7F7F"/>
      </w:pBdr>
      <w:spacing w:before="100" w:beforeAutospacing="1" w:after="100" w:afterAutospacing="1"/>
    </w:pPr>
    <w:rPr>
      <w:sz w:val="16"/>
      <w:szCs w:val="16"/>
    </w:rPr>
  </w:style>
  <w:style w:type="paragraph" w:customStyle="1" w:styleId="xl65">
    <w:name w:val="xl65"/>
    <w:basedOn w:val="Normal"/>
    <w:rsid w:val="00B9660B"/>
    <w:pPr>
      <w:pBdr>
        <w:top w:val="single" w:sz="4" w:space="0" w:color="7F7F7F"/>
        <w:left w:val="single" w:sz="4" w:space="0" w:color="7F7F7F"/>
        <w:bottom w:val="single" w:sz="4" w:space="0" w:color="7F7F7F"/>
        <w:right w:val="single" w:sz="4" w:space="0" w:color="7F7F7F"/>
      </w:pBdr>
      <w:spacing w:before="100" w:beforeAutospacing="1" w:after="100" w:afterAutospacing="1"/>
    </w:pPr>
    <w:rPr>
      <w:sz w:val="16"/>
      <w:szCs w:val="16"/>
    </w:rPr>
  </w:style>
  <w:style w:type="paragraph" w:customStyle="1" w:styleId="xl66">
    <w:name w:val="xl66"/>
    <w:basedOn w:val="Normal"/>
    <w:rsid w:val="00B9660B"/>
    <w:pPr>
      <w:pBdr>
        <w:top w:val="single" w:sz="4" w:space="0" w:color="7F7F7F"/>
        <w:left w:val="single" w:sz="4" w:space="0" w:color="7F7F7F"/>
        <w:bottom w:val="single" w:sz="4" w:space="0" w:color="7F7F7F"/>
        <w:right w:val="single" w:sz="4" w:space="0" w:color="7F7F7F"/>
      </w:pBdr>
      <w:spacing w:before="100" w:beforeAutospacing="1" w:after="100" w:afterAutospacing="1"/>
    </w:pPr>
    <w:rPr>
      <w:sz w:val="16"/>
      <w:szCs w:val="16"/>
    </w:rPr>
  </w:style>
  <w:style w:type="paragraph" w:customStyle="1" w:styleId="xl67">
    <w:name w:val="xl67"/>
    <w:basedOn w:val="Normal"/>
    <w:rsid w:val="00B9660B"/>
    <w:pPr>
      <w:pBdr>
        <w:top w:val="single" w:sz="4" w:space="0" w:color="7F7F7F"/>
        <w:left w:val="single" w:sz="4" w:space="0" w:color="7F7F7F"/>
        <w:bottom w:val="single" w:sz="4" w:space="0" w:color="7F7F7F"/>
        <w:right w:val="single" w:sz="4" w:space="0" w:color="7F7F7F"/>
      </w:pBdr>
      <w:spacing w:before="100" w:beforeAutospacing="1" w:after="100" w:afterAutospacing="1"/>
    </w:pPr>
    <w:rPr>
      <w:sz w:val="18"/>
      <w:szCs w:val="18"/>
    </w:rPr>
  </w:style>
  <w:style w:type="paragraph" w:customStyle="1" w:styleId="xl68">
    <w:name w:val="xl68"/>
    <w:basedOn w:val="Normal"/>
    <w:rsid w:val="00B9660B"/>
    <w:pPr>
      <w:pBdr>
        <w:top w:val="single" w:sz="4" w:space="0" w:color="7F7F7F"/>
        <w:left w:val="single" w:sz="4" w:space="0" w:color="7F7F7F"/>
        <w:bottom w:val="single" w:sz="4" w:space="0" w:color="7F7F7F"/>
        <w:right w:val="single" w:sz="4" w:space="0" w:color="7F7F7F"/>
      </w:pBdr>
      <w:spacing w:before="100" w:beforeAutospacing="1" w:after="100" w:afterAutospacing="1"/>
    </w:pPr>
    <w:rPr>
      <w:sz w:val="18"/>
      <w:szCs w:val="18"/>
    </w:rPr>
  </w:style>
  <w:style w:type="paragraph" w:customStyle="1" w:styleId="xl69">
    <w:name w:val="xl69"/>
    <w:basedOn w:val="Normal"/>
    <w:rsid w:val="00B9660B"/>
    <w:pPr>
      <w:pBdr>
        <w:top w:val="single" w:sz="4" w:space="0" w:color="7F7F7F"/>
        <w:left w:val="single" w:sz="4" w:space="0" w:color="7F7F7F"/>
        <w:bottom w:val="single" w:sz="4" w:space="0" w:color="7F7F7F"/>
        <w:right w:val="single" w:sz="4" w:space="0" w:color="7F7F7F"/>
      </w:pBdr>
      <w:spacing w:before="100" w:beforeAutospacing="1" w:after="100" w:afterAutospacing="1"/>
      <w:jc w:val="right"/>
      <w:textAlignment w:val="center"/>
    </w:pPr>
    <w:rPr>
      <w:sz w:val="18"/>
      <w:szCs w:val="18"/>
    </w:rPr>
  </w:style>
  <w:style w:type="paragraph" w:customStyle="1" w:styleId="xl70">
    <w:name w:val="xl70"/>
    <w:basedOn w:val="Normal"/>
    <w:rsid w:val="00B9660B"/>
    <w:pPr>
      <w:pBdr>
        <w:top w:val="single" w:sz="4" w:space="0" w:color="7F7F7F"/>
        <w:left w:val="single" w:sz="4" w:space="0" w:color="7F7F7F"/>
        <w:bottom w:val="single" w:sz="4" w:space="0" w:color="7F7F7F"/>
        <w:right w:val="single" w:sz="4" w:space="0" w:color="7F7F7F"/>
      </w:pBdr>
      <w:spacing w:before="100" w:beforeAutospacing="1" w:after="100" w:afterAutospacing="1"/>
      <w:jc w:val="center"/>
      <w:textAlignment w:val="center"/>
    </w:pPr>
    <w:rPr>
      <w:sz w:val="18"/>
      <w:szCs w:val="18"/>
    </w:rPr>
  </w:style>
  <w:style w:type="paragraph" w:customStyle="1" w:styleId="xl71">
    <w:name w:val="xl71"/>
    <w:basedOn w:val="Normal"/>
    <w:rsid w:val="00B9660B"/>
    <w:pPr>
      <w:pBdr>
        <w:top w:val="single" w:sz="4" w:space="0" w:color="7F7F7F"/>
        <w:left w:val="single" w:sz="4" w:space="0" w:color="7F7F7F"/>
        <w:bottom w:val="single" w:sz="4" w:space="0" w:color="7F7F7F"/>
        <w:right w:val="single" w:sz="4" w:space="0" w:color="7F7F7F"/>
      </w:pBdr>
      <w:spacing w:before="100" w:beforeAutospacing="1" w:after="100" w:afterAutospacing="1"/>
      <w:textAlignment w:val="center"/>
    </w:pPr>
    <w:rPr>
      <w:sz w:val="18"/>
      <w:szCs w:val="18"/>
    </w:rPr>
  </w:style>
  <w:style w:type="character" w:customStyle="1" w:styleId="BodyTextIndent2Char">
    <w:name w:val="Body Text Indent 2 Char"/>
    <w:basedOn w:val="DefaultParagraphFont"/>
    <w:link w:val="BodyTextIndent2"/>
    <w:rsid w:val="00B9660B"/>
    <w:rPr>
      <w:sz w:val="24"/>
      <w:szCs w:val="24"/>
    </w:rPr>
  </w:style>
  <w:style w:type="paragraph" w:customStyle="1" w:styleId="table">
    <w:name w:val="table"/>
    <w:basedOn w:val="Normal"/>
    <w:rsid w:val="00B9660B"/>
    <w:pPr>
      <w:ind w:right="144"/>
      <w:jc w:val="right"/>
    </w:pPr>
    <w:rPr>
      <w:rFonts w:ascii="Calibri" w:hAnsi="Calibri"/>
      <w:color w:val="000000"/>
      <w:sz w:val="16"/>
      <w:szCs w:val="16"/>
    </w:rPr>
  </w:style>
  <w:style w:type="paragraph" w:customStyle="1" w:styleId="Bulletlistindent1">
    <w:name w:val="Bullet list indent 1"/>
    <w:basedOn w:val="BulletedList0"/>
    <w:rsid w:val="00B9660B"/>
    <w:pPr>
      <w:numPr>
        <w:numId w:val="36"/>
      </w:numPr>
      <w:tabs>
        <w:tab w:val="left" w:pos="360"/>
      </w:tabs>
      <w:ind w:left="720"/>
      <w:contextualSpacing w:val="0"/>
    </w:pPr>
    <w:rPr>
      <w:sz w:val="18"/>
    </w:rPr>
  </w:style>
  <w:style w:type="paragraph" w:customStyle="1" w:styleId="FigureorTableheading">
    <w:name w:val="Figure or Table heading"/>
    <w:basedOn w:val="Normal"/>
    <w:qFormat/>
    <w:rsid w:val="00B9660B"/>
    <w:pPr>
      <w:keepNext/>
      <w:tabs>
        <w:tab w:val="left" w:pos="1152"/>
      </w:tabs>
      <w:spacing w:before="240" w:after="40"/>
    </w:pPr>
    <w:rPr>
      <w:rFonts w:ascii="Tahoma" w:hAnsi="Tahoma" w:cs="Calibri"/>
      <w:b/>
      <w:bCs/>
      <w:i/>
      <w:iCs/>
      <w:sz w:val="20"/>
      <w:szCs w:val="22"/>
    </w:rPr>
  </w:style>
  <w:style w:type="paragraph" w:customStyle="1" w:styleId="ReportAuthors">
    <w:name w:val="Report Authors"/>
    <w:basedOn w:val="BodyText"/>
    <w:rsid w:val="00B9660B"/>
    <w:pPr>
      <w:tabs>
        <w:tab w:val="left" w:pos="1710"/>
      </w:tabs>
      <w:spacing w:after="0" w:line="240" w:lineRule="atLeast"/>
      <w:ind w:left="1714" w:hanging="1714"/>
    </w:pPr>
    <w:rPr>
      <w:rFonts w:ascii="Tahoma" w:hAnsi="Tahoma"/>
      <w:spacing w:val="4"/>
      <w:sz w:val="20"/>
      <w:szCs w:val="18"/>
    </w:rPr>
  </w:style>
  <w:style w:type="paragraph" w:customStyle="1" w:styleId="TableTextCentered">
    <w:name w:val="Table Text Centered"/>
    <w:basedOn w:val="TableText"/>
    <w:rsid w:val="00B9660B"/>
    <w:pPr>
      <w:spacing w:before="40" w:after="40"/>
      <w:jc w:val="center"/>
    </w:pPr>
    <w:rPr>
      <w:rFonts w:ascii="Calibri" w:hAnsi="Calibri" w:cs="Tahoma"/>
      <w:sz w:val="20"/>
      <w:szCs w:val="20"/>
    </w:rPr>
  </w:style>
  <w:style w:type="paragraph" w:customStyle="1" w:styleId="TableTextLeft">
    <w:name w:val="Table Text Left"/>
    <w:basedOn w:val="TableTextCentered"/>
    <w:rsid w:val="00B9660B"/>
    <w:pPr>
      <w:jc w:val="left"/>
    </w:pPr>
  </w:style>
  <w:style w:type="paragraph" w:customStyle="1" w:styleId="TableTextRight">
    <w:name w:val="Table Text Right"/>
    <w:basedOn w:val="Normal"/>
    <w:rsid w:val="00B9660B"/>
    <w:pPr>
      <w:jc w:val="right"/>
    </w:pPr>
    <w:rPr>
      <w:rFonts w:ascii="Calibri" w:hAnsi="Calibri"/>
      <w:color w:val="000000"/>
      <w:sz w:val="20"/>
      <w:szCs w:val="20"/>
    </w:rPr>
  </w:style>
  <w:style w:type="paragraph" w:customStyle="1" w:styleId="ESSubheading">
    <w:name w:val="ES Subheading"/>
    <w:basedOn w:val="Heading3"/>
    <w:rsid w:val="00B9660B"/>
    <w:pPr>
      <w:numPr>
        <w:ilvl w:val="0"/>
        <w:numId w:val="0"/>
      </w:numPr>
      <w:spacing w:after="40"/>
      <w:outlineLvl w:val="9"/>
    </w:pPr>
    <w:rPr>
      <w:rFonts w:ascii="Tahoma" w:hAnsi="Tahoma"/>
      <w:sz w:val="22"/>
      <w:szCs w:val="18"/>
    </w:rPr>
  </w:style>
  <w:style w:type="paragraph" w:customStyle="1" w:styleId="Tablefigurefooter">
    <w:name w:val="Table/figure footer"/>
    <w:basedOn w:val="BodyText"/>
    <w:rsid w:val="00B9660B"/>
    <w:pPr>
      <w:spacing w:before="80" w:after="240" w:line="240" w:lineRule="atLeast"/>
    </w:pPr>
    <w:rPr>
      <w:rFonts w:ascii="Calibri" w:hAnsi="Calibri"/>
      <w:sz w:val="20"/>
      <w:szCs w:val="18"/>
    </w:rPr>
  </w:style>
  <w:style w:type="paragraph" w:customStyle="1" w:styleId="TableTextLeftBold">
    <w:name w:val="Table Text Left Bold"/>
    <w:basedOn w:val="TableTextLeft"/>
    <w:rsid w:val="00B9660B"/>
    <w:rPr>
      <w:b/>
    </w:rPr>
  </w:style>
  <w:style w:type="character" w:customStyle="1" w:styleId="apple-converted-space">
    <w:name w:val="apple-converted-space"/>
    <w:basedOn w:val="DefaultParagraphFont"/>
    <w:rsid w:val="00B9660B"/>
  </w:style>
  <w:style w:type="character" w:customStyle="1" w:styleId="ListParagraphChar">
    <w:name w:val="List Paragraph Char"/>
    <w:basedOn w:val="DefaultParagraphFont"/>
    <w:link w:val="ListParagraph"/>
    <w:uiPriority w:val="34"/>
    <w:rsid w:val="00B9660B"/>
    <w:rPr>
      <w:sz w:val="24"/>
      <w:szCs w:val="24"/>
    </w:rPr>
  </w:style>
  <w:style w:type="paragraph" w:customStyle="1" w:styleId="ResumeBullet">
    <w:name w:val="Resume Bullet"/>
    <w:basedOn w:val="Normal"/>
    <w:qFormat/>
    <w:rsid w:val="00B9660B"/>
    <w:pPr>
      <w:numPr>
        <w:numId w:val="38"/>
      </w:numPr>
      <w:tabs>
        <w:tab w:val="left" w:pos="400"/>
      </w:tabs>
      <w:spacing w:after="120"/>
    </w:pPr>
    <w:rPr>
      <w:rFonts w:ascii="Tahoma" w:hAnsi="Tahoma"/>
      <w:sz w:val="18"/>
      <w:szCs w:val="20"/>
    </w:rPr>
  </w:style>
  <w:style w:type="character" w:customStyle="1" w:styleId="DocumentMapChar">
    <w:name w:val="Document Map Char"/>
    <w:basedOn w:val="DefaultParagraphFont"/>
    <w:link w:val="DocumentMap"/>
    <w:semiHidden/>
    <w:rsid w:val="00DD0D4B"/>
    <w:rPr>
      <w:rFonts w:ascii="Tahoma" w:hAnsi="Tahoma" w:cs="Tahoma"/>
      <w:shd w:val="clear" w:color="auto" w:fill="000080"/>
    </w:rPr>
  </w:style>
  <w:style w:type="paragraph" w:customStyle="1" w:styleId="Default">
    <w:name w:val="Default"/>
    <w:rsid w:val="00DD0D4B"/>
    <w:pPr>
      <w:autoSpaceDE w:val="0"/>
      <w:autoSpaceDN w:val="0"/>
      <w:adjustRightInd w:val="0"/>
    </w:pPr>
    <w:rPr>
      <w:rFonts w:eastAsiaTheme="minorHAns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 w:qFormat="1"/>
    <w:lsdException w:name="heading 3" w:locked="1" w:uiPriority="9" w:qFormat="1"/>
    <w:lsdException w:name="heading 4" w:locked="1"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locked="1" w:qFormat="1"/>
    <w:lsdException w:name="table of figures" w:uiPriority="99"/>
    <w:lsdException w:name="footnote reference" w:uiPriority="99" w:qFormat="1"/>
    <w:lsdException w:name="Title" w:locked="1" w:qFormat="1"/>
    <w:lsdException w:name="Body Text" w:qFormat="1"/>
    <w:lsdException w:name="Subtitle" w:locked="1" w:qFormat="1"/>
    <w:lsdException w:name="Hyperlink" w:locked="1" w:uiPriority="99"/>
    <w:lsdException w:name="FollowedHyperlink" w:uiPriority="99"/>
    <w:lsdException w:name="Strong" w:locked="1" w:qFormat="1"/>
    <w:lsdException w:name="Emphasis" w:locked="1"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534BC"/>
    <w:rPr>
      <w:sz w:val="24"/>
      <w:szCs w:val="24"/>
    </w:rPr>
  </w:style>
  <w:style w:type="paragraph" w:styleId="Heading1">
    <w:name w:val="heading 1"/>
    <w:aliases w:val="Chap Num,Chapter Level"/>
    <w:basedOn w:val="Normal"/>
    <w:next w:val="Normal"/>
    <w:link w:val="Heading1Char"/>
    <w:qFormat/>
    <w:rsid w:val="00602D90"/>
    <w:pPr>
      <w:keepNext/>
      <w:numPr>
        <w:numId w:val="2"/>
      </w:numPr>
      <w:spacing w:before="240" w:after="60"/>
      <w:outlineLvl w:val="0"/>
    </w:pPr>
    <w:rPr>
      <w:rFonts w:ascii="Arial" w:hAnsi="Arial" w:cs="Arial"/>
      <w:b/>
      <w:bCs/>
      <w:kern w:val="32"/>
      <w:szCs w:val="32"/>
    </w:rPr>
  </w:style>
  <w:style w:type="paragraph" w:styleId="Heading2">
    <w:name w:val="heading 2"/>
    <w:aliases w:val="1st Lvl Head"/>
    <w:basedOn w:val="Normal"/>
    <w:next w:val="Normal"/>
    <w:link w:val="Heading2Char"/>
    <w:uiPriority w:val="9"/>
    <w:qFormat/>
    <w:rsid w:val="00602D90"/>
    <w:pPr>
      <w:keepNext/>
      <w:numPr>
        <w:ilvl w:val="1"/>
        <w:numId w:val="2"/>
      </w:numPr>
      <w:spacing w:before="240" w:after="60"/>
      <w:outlineLvl w:val="1"/>
    </w:pPr>
    <w:rPr>
      <w:rFonts w:ascii="Arial" w:hAnsi="Arial" w:cs="Arial"/>
      <w:b/>
      <w:bCs/>
      <w:i/>
      <w:iCs/>
      <w:szCs w:val="28"/>
    </w:rPr>
  </w:style>
  <w:style w:type="paragraph" w:styleId="Heading3">
    <w:name w:val="heading 3"/>
    <w:aliases w:val="2nd Lvl Head"/>
    <w:basedOn w:val="Normal"/>
    <w:next w:val="Normal"/>
    <w:link w:val="Heading3Char"/>
    <w:uiPriority w:val="9"/>
    <w:qFormat/>
    <w:rsid w:val="00602D90"/>
    <w:pPr>
      <w:keepNext/>
      <w:numPr>
        <w:ilvl w:val="2"/>
        <w:numId w:val="2"/>
      </w:numPr>
      <w:spacing w:before="240" w:after="60"/>
      <w:outlineLvl w:val="2"/>
    </w:pPr>
    <w:rPr>
      <w:rFonts w:ascii="Arial" w:hAnsi="Arial" w:cs="Arial"/>
      <w:b/>
      <w:bCs/>
      <w:szCs w:val="26"/>
    </w:rPr>
  </w:style>
  <w:style w:type="paragraph" w:styleId="Heading4">
    <w:name w:val="heading 4"/>
    <w:aliases w:val="3rd Lvl Head"/>
    <w:basedOn w:val="Normal"/>
    <w:next w:val="Normal"/>
    <w:link w:val="Heading4Char"/>
    <w:qFormat/>
    <w:rsid w:val="00656B9A"/>
    <w:pPr>
      <w:keepNext/>
      <w:numPr>
        <w:ilvl w:val="3"/>
        <w:numId w:val="2"/>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656B9A"/>
    <w:pPr>
      <w:numPr>
        <w:ilvl w:val="4"/>
        <w:numId w:val="2"/>
      </w:numPr>
      <w:spacing w:before="240" w:after="60"/>
      <w:outlineLvl w:val="4"/>
    </w:pPr>
    <w:rPr>
      <w:rFonts w:ascii="Calibri" w:hAnsi="Calibri"/>
      <w:b/>
      <w:bCs/>
      <w:i/>
      <w:iCs/>
      <w:sz w:val="26"/>
      <w:szCs w:val="26"/>
    </w:rPr>
  </w:style>
  <w:style w:type="paragraph" w:styleId="Heading6">
    <w:name w:val="heading 6"/>
    <w:aliases w:val="Appendix Level"/>
    <w:basedOn w:val="Normal"/>
    <w:next w:val="Normal"/>
    <w:link w:val="Heading6Char"/>
    <w:uiPriority w:val="9"/>
    <w:qFormat/>
    <w:rsid w:val="00656B9A"/>
    <w:pPr>
      <w:numPr>
        <w:ilvl w:val="5"/>
        <w:numId w:val="2"/>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
    <w:qFormat/>
    <w:rsid w:val="00656B9A"/>
    <w:pPr>
      <w:numPr>
        <w:ilvl w:val="6"/>
        <w:numId w:val="2"/>
      </w:numPr>
      <w:spacing w:before="240" w:after="60"/>
      <w:outlineLvl w:val="6"/>
    </w:pPr>
    <w:rPr>
      <w:rFonts w:ascii="Calibri" w:hAnsi="Calibri"/>
    </w:rPr>
  </w:style>
  <w:style w:type="paragraph" w:styleId="Heading8">
    <w:name w:val="heading 8"/>
    <w:basedOn w:val="Normal"/>
    <w:next w:val="Normal"/>
    <w:link w:val="Heading8Char"/>
    <w:uiPriority w:val="9"/>
    <w:qFormat/>
    <w:rsid w:val="00656B9A"/>
    <w:pPr>
      <w:numPr>
        <w:ilvl w:val="7"/>
        <w:numId w:val="2"/>
      </w:numPr>
      <w:spacing w:before="240" w:after="60"/>
      <w:outlineLvl w:val="7"/>
    </w:pPr>
    <w:rPr>
      <w:rFonts w:ascii="Calibri" w:hAnsi="Calibri"/>
      <w:i/>
      <w:iCs/>
    </w:rPr>
  </w:style>
  <w:style w:type="paragraph" w:styleId="Heading9">
    <w:name w:val="heading 9"/>
    <w:basedOn w:val="Normal"/>
    <w:next w:val="Normal"/>
    <w:link w:val="Heading9Char"/>
    <w:uiPriority w:val="9"/>
    <w:qFormat/>
    <w:rsid w:val="00656B9A"/>
    <w:pPr>
      <w:numPr>
        <w:ilvl w:val="8"/>
        <w:numId w:val="2"/>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1st Lvl Head Char"/>
    <w:basedOn w:val="DefaultParagraphFont"/>
    <w:link w:val="Heading2"/>
    <w:uiPriority w:val="9"/>
    <w:locked/>
    <w:rsid w:val="00602D90"/>
    <w:rPr>
      <w:rFonts w:ascii="Arial" w:hAnsi="Arial" w:cs="Arial"/>
      <w:b/>
      <w:bCs/>
      <w:i/>
      <w:iCs/>
      <w:sz w:val="24"/>
      <w:szCs w:val="28"/>
    </w:rPr>
  </w:style>
  <w:style w:type="character" w:customStyle="1" w:styleId="Heading3Char">
    <w:name w:val="Heading 3 Char"/>
    <w:aliases w:val="2nd Lvl Head Char"/>
    <w:basedOn w:val="DefaultParagraphFont"/>
    <w:link w:val="Heading3"/>
    <w:uiPriority w:val="9"/>
    <w:locked/>
    <w:rsid w:val="00602D90"/>
    <w:rPr>
      <w:rFonts w:ascii="Arial" w:hAnsi="Arial" w:cs="Arial"/>
      <w:b/>
      <w:bCs/>
      <w:sz w:val="24"/>
      <w:szCs w:val="26"/>
    </w:rPr>
  </w:style>
  <w:style w:type="character" w:customStyle="1" w:styleId="Heading4Char">
    <w:name w:val="Heading 4 Char"/>
    <w:aliases w:val="3rd Lvl Head Char"/>
    <w:basedOn w:val="DefaultParagraphFont"/>
    <w:link w:val="Heading4"/>
    <w:locked/>
    <w:rsid w:val="00656B9A"/>
    <w:rPr>
      <w:rFonts w:ascii="Calibri" w:hAnsi="Calibri"/>
      <w:b/>
      <w:bCs/>
      <w:sz w:val="28"/>
      <w:szCs w:val="28"/>
    </w:rPr>
  </w:style>
  <w:style w:type="character" w:customStyle="1" w:styleId="Heading5Char">
    <w:name w:val="Heading 5 Char"/>
    <w:basedOn w:val="DefaultParagraphFont"/>
    <w:link w:val="Heading5"/>
    <w:uiPriority w:val="9"/>
    <w:locked/>
    <w:rsid w:val="00656B9A"/>
    <w:rPr>
      <w:rFonts w:ascii="Calibri" w:hAnsi="Calibri"/>
      <w:b/>
      <w:bCs/>
      <w:i/>
      <w:iCs/>
      <w:sz w:val="26"/>
      <w:szCs w:val="26"/>
    </w:rPr>
  </w:style>
  <w:style w:type="character" w:customStyle="1" w:styleId="Heading6Char">
    <w:name w:val="Heading 6 Char"/>
    <w:aliases w:val="Appendix Level Char"/>
    <w:basedOn w:val="DefaultParagraphFont"/>
    <w:link w:val="Heading6"/>
    <w:uiPriority w:val="9"/>
    <w:locked/>
    <w:rsid w:val="00656B9A"/>
    <w:rPr>
      <w:rFonts w:ascii="Calibri" w:hAnsi="Calibri"/>
      <w:b/>
      <w:bCs/>
      <w:sz w:val="22"/>
      <w:szCs w:val="22"/>
    </w:rPr>
  </w:style>
  <w:style w:type="character" w:customStyle="1" w:styleId="Heading7Char">
    <w:name w:val="Heading 7 Char"/>
    <w:basedOn w:val="DefaultParagraphFont"/>
    <w:link w:val="Heading7"/>
    <w:uiPriority w:val="9"/>
    <w:locked/>
    <w:rsid w:val="00656B9A"/>
    <w:rPr>
      <w:rFonts w:ascii="Calibri" w:hAnsi="Calibri"/>
      <w:sz w:val="24"/>
      <w:szCs w:val="24"/>
    </w:rPr>
  </w:style>
  <w:style w:type="character" w:customStyle="1" w:styleId="Heading8Char">
    <w:name w:val="Heading 8 Char"/>
    <w:basedOn w:val="DefaultParagraphFont"/>
    <w:link w:val="Heading8"/>
    <w:uiPriority w:val="9"/>
    <w:locked/>
    <w:rsid w:val="00656B9A"/>
    <w:rPr>
      <w:rFonts w:ascii="Calibri" w:hAnsi="Calibri"/>
      <w:i/>
      <w:iCs/>
      <w:sz w:val="24"/>
      <w:szCs w:val="24"/>
    </w:rPr>
  </w:style>
  <w:style w:type="character" w:customStyle="1" w:styleId="Heading9Char">
    <w:name w:val="Heading 9 Char"/>
    <w:basedOn w:val="DefaultParagraphFont"/>
    <w:link w:val="Heading9"/>
    <w:uiPriority w:val="9"/>
    <w:locked/>
    <w:rsid w:val="00656B9A"/>
    <w:rPr>
      <w:rFonts w:ascii="Cambria" w:hAnsi="Cambria"/>
      <w:sz w:val="22"/>
      <w:szCs w:val="22"/>
    </w:rPr>
  </w:style>
  <w:style w:type="paragraph" w:styleId="FootnoteText">
    <w:name w:val="footnote text"/>
    <w:aliases w:val="Footnote Text1 Char,Footnote Text Char Ch,Footnote Text Char1,Footnote Text Char Char,Footnote Text Char1 Char,Footnote Text Char Char Char,Footnote Text Char1 Char Char Char,Footnote Text Char Char1 Char Char Char,TBG Style,ALTS FOOTNOTE"/>
    <w:basedOn w:val="Normal"/>
    <w:link w:val="FootnoteTextChar"/>
    <w:uiPriority w:val="99"/>
    <w:rsid w:val="00602D90"/>
    <w:rPr>
      <w:sz w:val="20"/>
      <w:szCs w:val="20"/>
    </w:rPr>
  </w:style>
  <w:style w:type="character" w:customStyle="1" w:styleId="FootnoteTextChar">
    <w:name w:val="Footnote Text Char"/>
    <w:aliases w:val="Footnote Text1 Char Char,Footnote Text Char Ch Char,Footnote Text Char1 Char1,Footnote Text Char Char Char1,Footnote Text Char1 Char Char,Footnote Text Char Char Char Char,Footnote Text Char1 Char Char Char Char,TBG Style Char"/>
    <w:basedOn w:val="DefaultParagraphFont"/>
    <w:link w:val="FootnoteText"/>
    <w:uiPriority w:val="99"/>
    <w:locked/>
    <w:rsid w:val="00013331"/>
    <w:rPr>
      <w:rFonts w:cs="Times New Roman"/>
      <w:lang w:val="en-US" w:eastAsia="en-US" w:bidi="ar-SA"/>
    </w:rPr>
  </w:style>
  <w:style w:type="character" w:styleId="FootnoteReference">
    <w:name w:val="footnote reference"/>
    <w:aliases w:val="o,TT - Footnote Reference"/>
    <w:basedOn w:val="DefaultParagraphFont"/>
    <w:uiPriority w:val="99"/>
    <w:qFormat/>
    <w:rsid w:val="00602D90"/>
    <w:rPr>
      <w:rFonts w:cs="Times New Roman"/>
      <w:vertAlign w:val="superscript"/>
    </w:rPr>
  </w:style>
  <w:style w:type="paragraph" w:customStyle="1" w:styleId="TableCaption">
    <w:name w:val="Table Caption"/>
    <w:basedOn w:val="Caption"/>
    <w:link w:val="TableCaptionChar"/>
    <w:qFormat/>
    <w:rsid w:val="00602D90"/>
    <w:pPr>
      <w:keepNext/>
      <w:spacing w:after="120"/>
      <w:jc w:val="center"/>
    </w:pPr>
    <w:rPr>
      <w:sz w:val="24"/>
    </w:rPr>
  </w:style>
  <w:style w:type="paragraph" w:styleId="Caption">
    <w:name w:val="caption"/>
    <w:basedOn w:val="Normal"/>
    <w:next w:val="Normal"/>
    <w:qFormat/>
    <w:rsid w:val="00602D90"/>
    <w:rPr>
      <w:b/>
      <w:bCs/>
      <w:sz w:val="20"/>
      <w:szCs w:val="20"/>
    </w:rPr>
  </w:style>
  <w:style w:type="character" w:customStyle="1" w:styleId="TableCaptionChar">
    <w:name w:val="Table Caption Char"/>
    <w:basedOn w:val="DefaultParagraphFont"/>
    <w:link w:val="TableCaption"/>
    <w:locked/>
    <w:rsid w:val="00602D90"/>
    <w:rPr>
      <w:rFonts w:cs="Times New Roman"/>
      <w:b/>
      <w:bCs/>
      <w:sz w:val="24"/>
      <w:lang w:val="en-US" w:eastAsia="en-US" w:bidi="ar-SA"/>
    </w:rPr>
  </w:style>
  <w:style w:type="paragraph" w:customStyle="1" w:styleId="StyleCaptionCentered">
    <w:name w:val="Style Caption + Centered"/>
    <w:basedOn w:val="Caption"/>
    <w:link w:val="StyleCaptionCenteredChar"/>
    <w:rsid w:val="00602D90"/>
    <w:pPr>
      <w:keepNext/>
      <w:spacing w:after="120"/>
      <w:jc w:val="center"/>
    </w:pPr>
    <w:rPr>
      <w:sz w:val="24"/>
    </w:rPr>
  </w:style>
  <w:style w:type="character" w:customStyle="1" w:styleId="StyleCaptionCenteredChar">
    <w:name w:val="Style Caption + Centered Char"/>
    <w:basedOn w:val="DefaultParagraphFont"/>
    <w:link w:val="StyleCaptionCentered"/>
    <w:locked/>
    <w:rsid w:val="00602D90"/>
    <w:rPr>
      <w:rFonts w:cs="Times New Roman"/>
      <w:b/>
      <w:bCs/>
      <w:sz w:val="24"/>
      <w:lang w:val="en-US" w:eastAsia="en-US" w:bidi="ar-SA"/>
    </w:rPr>
  </w:style>
  <w:style w:type="paragraph" w:styleId="Footer">
    <w:name w:val="footer"/>
    <w:basedOn w:val="Normal"/>
    <w:link w:val="FooterChar"/>
    <w:uiPriority w:val="99"/>
    <w:rsid w:val="004C3F63"/>
    <w:pPr>
      <w:tabs>
        <w:tab w:val="center" w:pos="4320"/>
        <w:tab w:val="right" w:pos="8640"/>
      </w:tabs>
    </w:pPr>
  </w:style>
  <w:style w:type="character" w:customStyle="1" w:styleId="FooterChar">
    <w:name w:val="Footer Char"/>
    <w:basedOn w:val="DefaultParagraphFont"/>
    <w:link w:val="Footer"/>
    <w:uiPriority w:val="99"/>
    <w:locked/>
    <w:rsid w:val="00E618A4"/>
    <w:rPr>
      <w:rFonts w:cs="Times New Roman"/>
      <w:sz w:val="24"/>
      <w:szCs w:val="24"/>
    </w:rPr>
  </w:style>
  <w:style w:type="character" w:styleId="PageNumber">
    <w:name w:val="page number"/>
    <w:basedOn w:val="DefaultParagraphFont"/>
    <w:rsid w:val="004C3F63"/>
    <w:rPr>
      <w:rFonts w:cs="Times New Roman"/>
    </w:rPr>
  </w:style>
  <w:style w:type="paragraph" w:customStyle="1" w:styleId="FigureCaption">
    <w:name w:val="Figure Caption"/>
    <w:basedOn w:val="TableCaption"/>
    <w:link w:val="FigureCaptionChar"/>
    <w:qFormat/>
    <w:rsid w:val="00470869"/>
    <w:pPr>
      <w:keepNext w:val="0"/>
      <w:spacing w:after="240"/>
    </w:pPr>
  </w:style>
  <w:style w:type="character" w:customStyle="1" w:styleId="FigureCaptionChar">
    <w:name w:val="Figure Caption Char"/>
    <w:basedOn w:val="TableCaptionChar"/>
    <w:link w:val="FigureCaption"/>
    <w:locked/>
    <w:rsid w:val="00470869"/>
    <w:rPr>
      <w:rFonts w:cs="Times New Roman"/>
      <w:b/>
      <w:bCs/>
      <w:sz w:val="24"/>
      <w:lang w:val="en-US" w:eastAsia="en-US" w:bidi="ar-SA"/>
    </w:rPr>
  </w:style>
  <w:style w:type="table" w:styleId="TableGrid">
    <w:name w:val="Table Grid"/>
    <w:basedOn w:val="TableNormal"/>
    <w:rsid w:val="00470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rsid w:val="007173F0"/>
    <w:pPr>
      <w:numPr>
        <w:numId w:val="1"/>
      </w:numPr>
      <w:spacing w:after="240"/>
    </w:pPr>
    <w:rPr>
      <w:rFonts w:ascii="Arial" w:hAnsi="Arial"/>
      <w:sz w:val="22"/>
      <w:szCs w:val="22"/>
    </w:rPr>
  </w:style>
  <w:style w:type="character" w:customStyle="1" w:styleId="CharChar">
    <w:name w:val="Char Char"/>
    <w:basedOn w:val="DefaultParagraphFont"/>
    <w:semiHidden/>
    <w:rsid w:val="00B80905"/>
    <w:rPr>
      <w:rFonts w:cs="Times New Roman"/>
      <w:sz w:val="20"/>
      <w:szCs w:val="20"/>
    </w:rPr>
  </w:style>
  <w:style w:type="character" w:styleId="Hyperlink">
    <w:name w:val="Hyperlink"/>
    <w:basedOn w:val="DefaultParagraphFont"/>
    <w:uiPriority w:val="99"/>
    <w:rsid w:val="00B80905"/>
    <w:rPr>
      <w:rFonts w:cs="Times New Roman"/>
      <w:color w:val="0000FF"/>
      <w:u w:val="single"/>
    </w:rPr>
  </w:style>
  <w:style w:type="paragraph" w:styleId="BodyTextIndent2">
    <w:name w:val="Body Text Indent 2"/>
    <w:basedOn w:val="Normal"/>
    <w:link w:val="BodyTextIndent2Char"/>
    <w:rsid w:val="00E15111"/>
    <w:pPr>
      <w:spacing w:after="120" w:line="480" w:lineRule="auto"/>
      <w:ind w:firstLine="720"/>
    </w:pPr>
  </w:style>
  <w:style w:type="paragraph" w:styleId="BalloonText">
    <w:name w:val="Balloon Text"/>
    <w:basedOn w:val="Normal"/>
    <w:link w:val="BalloonTextChar"/>
    <w:rsid w:val="003624FE"/>
    <w:rPr>
      <w:rFonts w:ascii="Tahoma" w:hAnsi="Tahoma" w:cs="Tahoma"/>
      <w:sz w:val="16"/>
      <w:szCs w:val="16"/>
    </w:rPr>
  </w:style>
  <w:style w:type="character" w:customStyle="1" w:styleId="BalloonTextChar">
    <w:name w:val="Balloon Text Char"/>
    <w:basedOn w:val="DefaultParagraphFont"/>
    <w:link w:val="BalloonText"/>
    <w:locked/>
    <w:rsid w:val="003624FE"/>
    <w:rPr>
      <w:rFonts w:ascii="Tahoma" w:hAnsi="Tahoma" w:cs="Tahoma"/>
      <w:sz w:val="16"/>
      <w:szCs w:val="16"/>
    </w:rPr>
  </w:style>
  <w:style w:type="character" w:styleId="CommentReference">
    <w:name w:val="annotation reference"/>
    <w:basedOn w:val="DefaultParagraphFont"/>
    <w:rsid w:val="0071241E"/>
    <w:rPr>
      <w:rFonts w:cs="Times New Roman"/>
      <w:sz w:val="16"/>
      <w:szCs w:val="16"/>
    </w:rPr>
  </w:style>
  <w:style w:type="paragraph" w:styleId="CommentText">
    <w:name w:val="annotation text"/>
    <w:basedOn w:val="Normal"/>
    <w:link w:val="CommentTextChar1"/>
    <w:rsid w:val="0071241E"/>
    <w:rPr>
      <w:sz w:val="20"/>
      <w:szCs w:val="20"/>
    </w:rPr>
  </w:style>
  <w:style w:type="character" w:customStyle="1" w:styleId="CommentTextChar1">
    <w:name w:val="Comment Text Char1"/>
    <w:basedOn w:val="DefaultParagraphFont"/>
    <w:link w:val="CommentText"/>
    <w:locked/>
    <w:rsid w:val="0071241E"/>
    <w:rPr>
      <w:rFonts w:cs="Times New Roman"/>
    </w:rPr>
  </w:style>
  <w:style w:type="paragraph" w:styleId="CommentSubject">
    <w:name w:val="annotation subject"/>
    <w:basedOn w:val="CommentText"/>
    <w:next w:val="CommentText"/>
    <w:link w:val="CommentSubjectChar"/>
    <w:rsid w:val="0071241E"/>
    <w:rPr>
      <w:b/>
      <w:bCs/>
    </w:rPr>
  </w:style>
  <w:style w:type="character" w:customStyle="1" w:styleId="CommentSubjectChar">
    <w:name w:val="Comment Subject Char"/>
    <w:basedOn w:val="CommentTextChar1"/>
    <w:link w:val="CommentSubject"/>
    <w:locked/>
    <w:rsid w:val="0071241E"/>
    <w:rPr>
      <w:rFonts w:cs="Times New Roman"/>
      <w:b/>
      <w:bCs/>
    </w:rPr>
  </w:style>
  <w:style w:type="paragraph" w:styleId="TOC1">
    <w:name w:val="toc 1"/>
    <w:basedOn w:val="Normal"/>
    <w:next w:val="Normal"/>
    <w:autoRedefine/>
    <w:uiPriority w:val="39"/>
    <w:rsid w:val="0071209C"/>
  </w:style>
  <w:style w:type="paragraph" w:styleId="TOC2">
    <w:name w:val="toc 2"/>
    <w:basedOn w:val="Normal"/>
    <w:next w:val="Normal"/>
    <w:autoRedefine/>
    <w:uiPriority w:val="39"/>
    <w:rsid w:val="0071209C"/>
    <w:pPr>
      <w:ind w:left="240"/>
    </w:pPr>
  </w:style>
  <w:style w:type="paragraph" w:styleId="TOC3">
    <w:name w:val="toc 3"/>
    <w:basedOn w:val="Normal"/>
    <w:next w:val="Normal"/>
    <w:link w:val="TOC3Char"/>
    <w:autoRedefine/>
    <w:uiPriority w:val="39"/>
    <w:rsid w:val="0071209C"/>
    <w:pPr>
      <w:ind w:left="480"/>
    </w:pPr>
  </w:style>
  <w:style w:type="paragraph" w:styleId="TOCHeading">
    <w:name w:val="TOC Heading"/>
    <w:basedOn w:val="Heading1"/>
    <w:next w:val="Normal"/>
    <w:uiPriority w:val="39"/>
    <w:qFormat/>
    <w:rsid w:val="00C4576A"/>
    <w:pPr>
      <w:keepLines/>
      <w:numPr>
        <w:numId w:val="0"/>
      </w:numPr>
      <w:spacing w:before="480" w:after="0" w:line="276" w:lineRule="auto"/>
      <w:outlineLvl w:val="9"/>
    </w:pPr>
    <w:rPr>
      <w:rFonts w:ascii="Cambria" w:hAnsi="Cambria" w:cs="Times New Roman"/>
      <w:color w:val="365F91"/>
      <w:kern w:val="0"/>
      <w:sz w:val="28"/>
      <w:szCs w:val="28"/>
    </w:rPr>
  </w:style>
  <w:style w:type="paragraph" w:styleId="Header">
    <w:name w:val="header"/>
    <w:basedOn w:val="Normal"/>
    <w:link w:val="HeaderChar"/>
    <w:rsid w:val="00C4576A"/>
    <w:pPr>
      <w:tabs>
        <w:tab w:val="center" w:pos="4680"/>
        <w:tab w:val="right" w:pos="9360"/>
      </w:tabs>
    </w:pPr>
  </w:style>
  <w:style w:type="character" w:customStyle="1" w:styleId="HeaderChar">
    <w:name w:val="Header Char"/>
    <w:basedOn w:val="DefaultParagraphFont"/>
    <w:link w:val="Header"/>
    <w:locked/>
    <w:rsid w:val="00C4576A"/>
    <w:rPr>
      <w:rFonts w:cs="Times New Roman"/>
      <w:sz w:val="24"/>
      <w:szCs w:val="24"/>
    </w:rPr>
  </w:style>
  <w:style w:type="paragraph" w:styleId="BodyTextIndent">
    <w:name w:val="Body Text Indent"/>
    <w:basedOn w:val="Normal"/>
    <w:link w:val="BodyTextIndentChar"/>
    <w:rsid w:val="002153F9"/>
    <w:pPr>
      <w:spacing w:after="120"/>
      <w:ind w:left="360"/>
    </w:pPr>
  </w:style>
  <w:style w:type="character" w:customStyle="1" w:styleId="BodyTextIndentChar">
    <w:name w:val="Body Text Indent Char"/>
    <w:basedOn w:val="DefaultParagraphFont"/>
    <w:link w:val="BodyTextIndent"/>
    <w:locked/>
    <w:rsid w:val="002153F9"/>
    <w:rPr>
      <w:rFonts w:cs="Times New Roman"/>
      <w:sz w:val="24"/>
      <w:szCs w:val="24"/>
    </w:rPr>
  </w:style>
  <w:style w:type="paragraph" w:styleId="ListNumber3">
    <w:name w:val="List Number 3"/>
    <w:basedOn w:val="Normal"/>
    <w:rsid w:val="002153F9"/>
    <w:pPr>
      <w:numPr>
        <w:numId w:val="3"/>
      </w:numPr>
      <w:spacing w:before="60" w:after="120"/>
    </w:pPr>
    <w:rPr>
      <w:szCs w:val="20"/>
    </w:rPr>
  </w:style>
  <w:style w:type="paragraph" w:customStyle="1" w:styleId="BodyParagraph">
    <w:name w:val="Body Paragraph"/>
    <w:link w:val="BodyParagraphChar"/>
    <w:uiPriority w:val="99"/>
    <w:qFormat/>
    <w:rsid w:val="00D02AB5"/>
    <w:pPr>
      <w:spacing w:after="240" w:line="312" w:lineRule="auto"/>
    </w:pPr>
    <w:rPr>
      <w:rFonts w:ascii="Arial" w:hAnsi="Arial"/>
      <w:szCs w:val="22"/>
    </w:rPr>
  </w:style>
  <w:style w:type="character" w:customStyle="1" w:styleId="BodyParagraphChar">
    <w:name w:val="Body Paragraph Char"/>
    <w:basedOn w:val="DefaultParagraphFont"/>
    <w:link w:val="BodyParagraph"/>
    <w:uiPriority w:val="99"/>
    <w:locked/>
    <w:rsid w:val="000E2A84"/>
    <w:rPr>
      <w:rFonts w:ascii="Arial" w:hAnsi="Arial" w:cs="Times New Roman"/>
      <w:sz w:val="22"/>
      <w:szCs w:val="22"/>
      <w:lang w:val="en-US" w:eastAsia="en-US" w:bidi="ar-SA"/>
    </w:rPr>
  </w:style>
  <w:style w:type="paragraph" w:customStyle="1" w:styleId="BodyBeforeBullet">
    <w:name w:val="Body Before Bullet"/>
    <w:basedOn w:val="BodyParagraph"/>
    <w:next w:val="Bullets"/>
    <w:qFormat/>
    <w:rsid w:val="00D02AB5"/>
    <w:pPr>
      <w:keepNext/>
      <w:spacing w:after="120"/>
    </w:pPr>
  </w:style>
  <w:style w:type="paragraph" w:customStyle="1" w:styleId="Bullets">
    <w:name w:val="Bullets"/>
    <w:basedOn w:val="Normal"/>
    <w:qFormat/>
    <w:rsid w:val="00D02AB5"/>
    <w:pPr>
      <w:numPr>
        <w:numId w:val="4"/>
      </w:numPr>
      <w:spacing w:after="120"/>
    </w:pPr>
    <w:rPr>
      <w:rFonts w:ascii="Arial" w:hAnsi="Arial" w:cs="Arial"/>
      <w:sz w:val="20"/>
      <w:szCs w:val="21"/>
    </w:rPr>
  </w:style>
  <w:style w:type="paragraph" w:customStyle="1" w:styleId="BulletLast">
    <w:name w:val="Bullet Last"/>
    <w:basedOn w:val="Bullets"/>
    <w:next w:val="BodyParagraph"/>
    <w:qFormat/>
    <w:rsid w:val="00D02AB5"/>
    <w:pPr>
      <w:spacing w:after="360"/>
    </w:pPr>
  </w:style>
  <w:style w:type="paragraph" w:customStyle="1" w:styleId="TableFigureCaption">
    <w:name w:val="Table Figure Caption"/>
    <w:basedOn w:val="Normal"/>
    <w:next w:val="BodyParaAfterTableFigure"/>
    <w:qFormat/>
    <w:rsid w:val="00D02AB5"/>
    <w:pPr>
      <w:keepNext/>
      <w:spacing w:after="120"/>
      <w:jc w:val="center"/>
    </w:pPr>
    <w:rPr>
      <w:rFonts w:ascii="Arial" w:hAnsi="Arial"/>
      <w:b/>
      <w:sz w:val="22"/>
      <w:szCs w:val="22"/>
    </w:rPr>
  </w:style>
  <w:style w:type="paragraph" w:customStyle="1" w:styleId="BodyParaAfterTableFigure">
    <w:name w:val="Body Para After Table Figure"/>
    <w:basedOn w:val="BodyParagraph"/>
    <w:next w:val="BodyParagraph"/>
    <w:link w:val="BodyParaAfterTableFigureChar"/>
    <w:qFormat/>
    <w:rsid w:val="00D02AB5"/>
    <w:pPr>
      <w:spacing w:before="360"/>
    </w:pPr>
  </w:style>
  <w:style w:type="character" w:customStyle="1" w:styleId="BodyParaAfterTableFigureChar">
    <w:name w:val="Body Para After Table Figure Char"/>
    <w:basedOn w:val="BodyParagraphChar"/>
    <w:link w:val="BodyParaAfterTableFigure"/>
    <w:locked/>
    <w:rsid w:val="00B84C76"/>
    <w:rPr>
      <w:rFonts w:ascii="Arial" w:hAnsi="Arial" w:cs="Times New Roman"/>
      <w:sz w:val="22"/>
      <w:szCs w:val="22"/>
      <w:lang w:val="en-US" w:eastAsia="en-US" w:bidi="ar-SA"/>
    </w:rPr>
  </w:style>
  <w:style w:type="paragraph" w:customStyle="1" w:styleId="TableHeader">
    <w:name w:val="Table Header"/>
    <w:qFormat/>
    <w:rsid w:val="00D02AB5"/>
    <w:pPr>
      <w:spacing w:before="100" w:after="100"/>
      <w:jc w:val="center"/>
    </w:pPr>
    <w:rPr>
      <w:rFonts w:ascii="Arial" w:hAnsi="Arial"/>
      <w:b/>
      <w:color w:val="FFFFFF"/>
      <w:szCs w:val="22"/>
    </w:rPr>
  </w:style>
  <w:style w:type="paragraph" w:customStyle="1" w:styleId="TableText">
    <w:name w:val="Table Text"/>
    <w:link w:val="TableTextChar"/>
    <w:qFormat/>
    <w:rsid w:val="00D02AB5"/>
    <w:pPr>
      <w:spacing w:before="60" w:after="60"/>
    </w:pPr>
    <w:rPr>
      <w:rFonts w:ascii="Arial" w:hAnsi="Arial"/>
      <w:sz w:val="18"/>
      <w:szCs w:val="22"/>
    </w:rPr>
  </w:style>
  <w:style w:type="character" w:customStyle="1" w:styleId="CommentTextChar">
    <w:name w:val="Comment Text Char"/>
    <w:basedOn w:val="DefaultParagraphFont"/>
    <w:locked/>
    <w:rsid w:val="00464D2E"/>
    <w:rPr>
      <w:rFonts w:cs="Times New Roman"/>
      <w:sz w:val="20"/>
      <w:szCs w:val="20"/>
    </w:rPr>
  </w:style>
  <w:style w:type="paragraph" w:styleId="DocumentMap">
    <w:name w:val="Document Map"/>
    <w:basedOn w:val="Normal"/>
    <w:link w:val="DocumentMapChar"/>
    <w:semiHidden/>
    <w:rsid w:val="00AE2377"/>
    <w:pPr>
      <w:shd w:val="clear" w:color="auto" w:fill="000080"/>
    </w:pPr>
    <w:rPr>
      <w:rFonts w:ascii="Tahoma" w:hAnsi="Tahoma" w:cs="Tahoma"/>
      <w:sz w:val="20"/>
      <w:szCs w:val="20"/>
    </w:rPr>
  </w:style>
  <w:style w:type="paragraph" w:customStyle="1" w:styleId="Footnote">
    <w:name w:val="Footnote"/>
    <w:basedOn w:val="FootnoteText"/>
    <w:qFormat/>
    <w:rsid w:val="00DB0172"/>
    <w:pPr>
      <w:spacing w:after="120"/>
    </w:pPr>
    <w:rPr>
      <w:rFonts w:ascii="Franklin Gothic Book" w:hAnsi="Franklin Gothic Book"/>
      <w:sz w:val="18"/>
    </w:rPr>
  </w:style>
  <w:style w:type="character" w:styleId="Strong">
    <w:name w:val="Strong"/>
    <w:basedOn w:val="DefaultParagraphFont"/>
    <w:qFormat/>
    <w:rsid w:val="00371970"/>
    <w:rPr>
      <w:rFonts w:cs="Times New Roman"/>
      <w:b/>
      <w:bCs/>
    </w:rPr>
  </w:style>
  <w:style w:type="paragraph" w:customStyle="1" w:styleId="AppendixHeading">
    <w:name w:val="Appendix Heading"/>
    <w:basedOn w:val="Heading1"/>
    <w:next w:val="BodyParagraph"/>
    <w:qFormat/>
    <w:rsid w:val="000E2A84"/>
    <w:pPr>
      <w:numPr>
        <w:numId w:val="5"/>
      </w:numPr>
      <w:spacing w:before="0" w:after="120"/>
    </w:pPr>
    <w:rPr>
      <w:rFonts w:ascii="TitilliumText22L Xb" w:hAnsi="TitilliumText22L Xb" w:cs="Times New Roman"/>
      <w:bCs w:val="0"/>
      <w:color w:val="433B67"/>
      <w:kern w:val="0"/>
      <w:sz w:val="28"/>
      <w:szCs w:val="28"/>
    </w:rPr>
  </w:style>
  <w:style w:type="paragraph" w:customStyle="1" w:styleId="AppendixHeading2">
    <w:name w:val="Appendix Heading 2"/>
    <w:basedOn w:val="Normal"/>
    <w:next w:val="BodyParagraph"/>
    <w:qFormat/>
    <w:rsid w:val="000E2A84"/>
    <w:pPr>
      <w:numPr>
        <w:ilvl w:val="1"/>
        <w:numId w:val="5"/>
      </w:numPr>
      <w:spacing w:after="60"/>
      <w:ind w:left="720" w:hanging="720"/>
    </w:pPr>
    <w:rPr>
      <w:rFonts w:ascii="Arial Bold" w:hAnsi="Arial Bold"/>
      <w:b/>
      <w:color w:val="5F497A"/>
      <w:sz w:val="26"/>
      <w:szCs w:val="22"/>
    </w:rPr>
  </w:style>
  <w:style w:type="paragraph" w:customStyle="1" w:styleId="AppendixHeading3">
    <w:name w:val="Appendix Heading 3"/>
    <w:basedOn w:val="Normal"/>
    <w:next w:val="BodyParagraph"/>
    <w:qFormat/>
    <w:rsid w:val="000E2A84"/>
    <w:pPr>
      <w:spacing w:after="60"/>
      <w:ind w:left="1260" w:hanging="900"/>
    </w:pPr>
    <w:rPr>
      <w:rFonts w:ascii="Arial Bold" w:hAnsi="Arial Bold"/>
      <w:b/>
      <w:color w:val="5F497A"/>
      <w:szCs w:val="22"/>
    </w:rPr>
  </w:style>
  <w:style w:type="paragraph" w:styleId="ListParagraph">
    <w:name w:val="List Paragraph"/>
    <w:basedOn w:val="Normal"/>
    <w:link w:val="ListParagraphChar"/>
    <w:uiPriority w:val="34"/>
    <w:qFormat/>
    <w:rsid w:val="00C17BDA"/>
    <w:pPr>
      <w:ind w:left="720"/>
      <w:contextualSpacing/>
    </w:pPr>
  </w:style>
  <w:style w:type="paragraph" w:customStyle="1" w:styleId="Numbers">
    <w:name w:val="Numbers"/>
    <w:rsid w:val="00372421"/>
    <w:pPr>
      <w:numPr>
        <w:numId w:val="6"/>
      </w:numPr>
      <w:spacing w:after="120"/>
    </w:pPr>
    <w:rPr>
      <w:rFonts w:ascii="Arial" w:hAnsi="Arial"/>
      <w:szCs w:val="28"/>
    </w:rPr>
  </w:style>
  <w:style w:type="character" w:customStyle="1" w:styleId="CharChar4">
    <w:name w:val="Char Char4"/>
    <w:locked/>
    <w:rsid w:val="008E586B"/>
    <w:rPr>
      <w:lang w:val="en-US" w:eastAsia="en-US" w:bidi="ar-SA"/>
    </w:rPr>
  </w:style>
  <w:style w:type="paragraph" w:customStyle="1" w:styleId="LetterSalutation">
    <w:name w:val="Letter Salutation"/>
    <w:next w:val="BodyParagraph"/>
    <w:qFormat/>
    <w:rsid w:val="002C17DD"/>
    <w:pPr>
      <w:spacing w:before="400" w:after="200"/>
    </w:pPr>
    <w:rPr>
      <w:rFonts w:ascii="Arial" w:hAnsi="Arial"/>
      <w:sz w:val="22"/>
      <w:szCs w:val="22"/>
    </w:rPr>
  </w:style>
  <w:style w:type="paragraph" w:styleId="BodyText">
    <w:name w:val="Body Text"/>
    <w:basedOn w:val="Normal"/>
    <w:link w:val="BodyTextChar"/>
    <w:qFormat/>
    <w:rsid w:val="009123D1"/>
    <w:pPr>
      <w:spacing w:after="120"/>
    </w:pPr>
  </w:style>
  <w:style w:type="character" w:customStyle="1" w:styleId="BodyTextChar">
    <w:name w:val="Body Text Char"/>
    <w:basedOn w:val="DefaultParagraphFont"/>
    <w:link w:val="BodyText"/>
    <w:rsid w:val="009123D1"/>
    <w:rPr>
      <w:sz w:val="24"/>
      <w:szCs w:val="24"/>
    </w:rPr>
  </w:style>
  <w:style w:type="paragraph" w:customStyle="1" w:styleId="BulletedList0">
    <w:name w:val="Bulleted List"/>
    <w:basedOn w:val="Normal"/>
    <w:link w:val="BulletedListCharChar"/>
    <w:qFormat/>
    <w:rsid w:val="009123D1"/>
    <w:pPr>
      <w:numPr>
        <w:numId w:val="9"/>
      </w:numPr>
      <w:spacing w:after="120" w:line="240" w:lineRule="atLeast"/>
      <w:contextualSpacing/>
    </w:pPr>
    <w:rPr>
      <w:rFonts w:ascii="Tahoma" w:hAnsi="Tahoma" w:cs="Tahoma"/>
      <w:spacing w:val="4"/>
      <w:sz w:val="20"/>
      <w:szCs w:val="18"/>
    </w:rPr>
  </w:style>
  <w:style w:type="character" w:styleId="Emphasis">
    <w:name w:val="Emphasis"/>
    <w:basedOn w:val="DefaultParagraphFont"/>
    <w:qFormat/>
    <w:locked/>
    <w:rsid w:val="00EA17E5"/>
    <w:rPr>
      <w:i/>
      <w:iCs/>
    </w:rPr>
  </w:style>
  <w:style w:type="character" w:customStyle="1" w:styleId="Heading1Char">
    <w:name w:val="Heading 1 Char"/>
    <w:aliases w:val="Chap Num Char,Chapter Level Char"/>
    <w:basedOn w:val="DefaultParagraphFont"/>
    <w:link w:val="Heading1"/>
    <w:rsid w:val="0027135C"/>
    <w:rPr>
      <w:rFonts w:ascii="Arial" w:hAnsi="Arial" w:cs="Arial"/>
      <w:b/>
      <w:bCs/>
      <w:kern w:val="32"/>
      <w:sz w:val="24"/>
      <w:szCs w:val="32"/>
    </w:rPr>
  </w:style>
  <w:style w:type="paragraph" w:customStyle="1" w:styleId="NumbersLast">
    <w:name w:val="Numbers Last"/>
    <w:basedOn w:val="Numbers"/>
    <w:next w:val="BodyParagraph"/>
    <w:rsid w:val="00AE569D"/>
    <w:pPr>
      <w:numPr>
        <w:numId w:val="12"/>
      </w:numPr>
      <w:spacing w:after="360"/>
    </w:pPr>
  </w:style>
  <w:style w:type="table" w:customStyle="1" w:styleId="NEXANTNEWTABLESTYLE">
    <w:name w:val="NEXANT NEW TABLE STYLE"/>
    <w:basedOn w:val="TableNormal"/>
    <w:uiPriority w:val="99"/>
    <w:rsid w:val="00883E99"/>
    <w:pPr>
      <w:tabs>
        <w:tab w:val="center" w:pos="720"/>
      </w:tabs>
    </w:pPr>
    <w:rPr>
      <w:rFonts w:ascii="Tms Rmn" w:hAnsi="Tms Rmn"/>
    </w:rPr>
    <w:tblPr>
      <w:tblBorders>
        <w:top w:val="single" w:sz="4" w:space="0" w:color="1F497D" w:themeColor="text2"/>
        <w:bottom w:val="single" w:sz="4" w:space="0" w:color="1F497D" w:themeColor="text2"/>
        <w:insideH w:val="single" w:sz="4" w:space="0" w:color="1F497D" w:themeColor="text2"/>
        <w:insideV w:val="dotted" w:sz="4" w:space="0" w:color="1F497D" w:themeColor="text2"/>
      </w:tblBorders>
    </w:tblPr>
    <w:tblStylePr w:type="firstRow">
      <w:pPr>
        <w:jc w:val="center"/>
      </w:pPr>
      <w:rPr>
        <w:rFonts w:ascii="Calibri" w:hAnsi="Calibri"/>
        <w:b/>
        <w:color w:val="FFFFFF" w:themeColor="background1"/>
      </w:rPr>
      <w:tblPr/>
      <w:tcPr>
        <w:tcBorders>
          <w:top w:val="nil"/>
          <w:left w:val="nil"/>
          <w:bottom w:val="nil"/>
          <w:right w:val="nil"/>
          <w:insideH w:val="nil"/>
          <w:insideV w:val="nil"/>
          <w:tl2br w:val="nil"/>
          <w:tr2bl w:val="nil"/>
        </w:tcBorders>
        <w:shd w:val="clear" w:color="auto" w:fill="1F497D" w:themeFill="text2"/>
      </w:tcPr>
    </w:tblStylePr>
  </w:style>
  <w:style w:type="paragraph" w:styleId="TOC4">
    <w:name w:val="toc 4"/>
    <w:basedOn w:val="Normal"/>
    <w:next w:val="Normal"/>
    <w:autoRedefine/>
    <w:uiPriority w:val="39"/>
    <w:unhideWhenUsed/>
    <w:rsid w:val="008E3378"/>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E3378"/>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E3378"/>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E3378"/>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E3378"/>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E3378"/>
    <w:pPr>
      <w:spacing w:after="100" w:line="276" w:lineRule="auto"/>
      <w:ind w:left="1760"/>
    </w:pPr>
    <w:rPr>
      <w:rFonts w:asciiTheme="minorHAnsi" w:eastAsiaTheme="minorEastAsia" w:hAnsiTheme="minorHAnsi" w:cstheme="minorBidi"/>
      <w:sz w:val="22"/>
      <w:szCs w:val="22"/>
    </w:rPr>
  </w:style>
  <w:style w:type="character" w:customStyle="1" w:styleId="HalflineChar">
    <w:name w:val="Halfline Char"/>
    <w:basedOn w:val="DefaultParagraphFont"/>
    <w:link w:val="Halfline"/>
    <w:locked/>
    <w:rsid w:val="00B03AB1"/>
    <w:rPr>
      <w:sz w:val="24"/>
      <w:szCs w:val="24"/>
    </w:rPr>
  </w:style>
  <w:style w:type="paragraph" w:customStyle="1" w:styleId="Halfline">
    <w:name w:val="Halfline"/>
    <w:basedOn w:val="Normal"/>
    <w:next w:val="Normal"/>
    <w:link w:val="HalflineChar"/>
    <w:qFormat/>
    <w:rsid w:val="00B03AB1"/>
    <w:pPr>
      <w:spacing w:after="130" w:line="130" w:lineRule="exact"/>
    </w:pPr>
  </w:style>
  <w:style w:type="character" w:customStyle="1" w:styleId="tablefootnoteChar">
    <w:name w:val="table footnote Char"/>
    <w:basedOn w:val="DefaultParagraphFont"/>
    <w:link w:val="tablefootnote"/>
    <w:locked/>
    <w:rsid w:val="004F1D68"/>
  </w:style>
  <w:style w:type="paragraph" w:customStyle="1" w:styleId="tablefootnote">
    <w:name w:val="table footnote"/>
    <w:basedOn w:val="Normal"/>
    <w:link w:val="tablefootnoteChar"/>
    <w:rsid w:val="004F1D68"/>
    <w:pPr>
      <w:keepNext/>
      <w:keepLines/>
      <w:tabs>
        <w:tab w:val="left" w:pos="274"/>
      </w:tabs>
      <w:spacing w:before="60"/>
      <w:ind w:left="274" w:hanging="274"/>
      <w:jc w:val="both"/>
    </w:pPr>
    <w:rPr>
      <w:sz w:val="20"/>
      <w:szCs w:val="20"/>
    </w:rPr>
  </w:style>
  <w:style w:type="table" w:customStyle="1" w:styleId="ItronBasic">
    <w:name w:val="ItronBasic"/>
    <w:basedOn w:val="TableNormal"/>
    <w:uiPriority w:val="99"/>
    <w:qFormat/>
    <w:rsid w:val="004F1D68"/>
    <w:rPr>
      <w:rFonts w:ascii="Tms Rmn" w:hAnsi="Tms Rmn"/>
    </w:rPr>
    <w:tblPr>
      <w:tblInd w:w="0" w:type="nil"/>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rPr>
        <w:b/>
      </w:rPr>
      <w:tblPr/>
      <w:tcPr>
        <w:tcBorders>
          <w:top w:val="single" w:sz="12" w:space="0" w:color="auto"/>
          <w:left w:val="single" w:sz="12" w:space="0" w:color="auto"/>
          <w:bottom w:val="single" w:sz="12" w:space="0" w:color="auto"/>
          <w:right w:val="single" w:sz="12" w:space="0" w:color="auto"/>
        </w:tcBorders>
        <w:shd w:val="clear" w:color="auto" w:fill="D9D9D9" w:themeFill="background1" w:themeFillShade="D9"/>
      </w:tcPr>
    </w:tblStylePr>
  </w:style>
  <w:style w:type="character" w:customStyle="1" w:styleId="BulletedListCharChar">
    <w:name w:val="Bulleted List Char Char"/>
    <w:basedOn w:val="DefaultParagraphFont"/>
    <w:link w:val="BulletedList0"/>
    <w:rsid w:val="00031C07"/>
    <w:rPr>
      <w:rFonts w:ascii="Tahoma" w:hAnsi="Tahoma" w:cs="Tahoma"/>
      <w:spacing w:val="4"/>
      <w:szCs w:val="18"/>
    </w:rPr>
  </w:style>
  <w:style w:type="paragraph" w:styleId="Title">
    <w:name w:val="Title"/>
    <w:basedOn w:val="Normal"/>
    <w:link w:val="TitleChar"/>
    <w:locked/>
    <w:rsid w:val="00B9660B"/>
    <w:pPr>
      <w:spacing w:before="3480" w:line="312" w:lineRule="auto"/>
    </w:pPr>
    <w:rPr>
      <w:rFonts w:ascii="Tahoma" w:hAnsi="Tahoma"/>
      <w:b/>
      <w:caps/>
      <w:sz w:val="36"/>
      <w:szCs w:val="40"/>
    </w:rPr>
  </w:style>
  <w:style w:type="character" w:customStyle="1" w:styleId="TitleChar">
    <w:name w:val="Title Char"/>
    <w:basedOn w:val="DefaultParagraphFont"/>
    <w:link w:val="Title"/>
    <w:rsid w:val="00B9660B"/>
    <w:rPr>
      <w:rFonts w:ascii="Tahoma" w:hAnsi="Tahoma"/>
      <w:b/>
      <w:caps/>
      <w:sz w:val="36"/>
      <w:szCs w:val="40"/>
    </w:rPr>
  </w:style>
  <w:style w:type="table" w:customStyle="1" w:styleId="LightShading1">
    <w:name w:val="Light Shading1"/>
    <w:basedOn w:val="TableNormal"/>
    <w:uiPriority w:val="60"/>
    <w:rsid w:val="00B9660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mpanyInformation">
    <w:name w:val="Company Information"/>
    <w:basedOn w:val="Normal"/>
    <w:link w:val="CompanyInformationChar"/>
    <w:semiHidden/>
    <w:rsid w:val="00B9660B"/>
    <w:rPr>
      <w:rFonts w:ascii="Verdana" w:hAnsi="Verdana"/>
      <w:color w:val="808080"/>
      <w:sz w:val="15"/>
      <w:szCs w:val="20"/>
    </w:rPr>
  </w:style>
  <w:style w:type="character" w:customStyle="1" w:styleId="CompanyInformationChar">
    <w:name w:val="Company Information Char"/>
    <w:basedOn w:val="DefaultParagraphFont"/>
    <w:link w:val="CompanyInformation"/>
    <w:semiHidden/>
    <w:rsid w:val="00B9660B"/>
    <w:rPr>
      <w:rFonts w:ascii="Verdana" w:hAnsi="Verdana"/>
      <w:color w:val="808080"/>
      <w:sz w:val="15"/>
    </w:rPr>
  </w:style>
  <w:style w:type="paragraph" w:customStyle="1" w:styleId="CompanyInformationBold">
    <w:name w:val="Company Information Bold"/>
    <w:basedOn w:val="CompanyInformation"/>
    <w:semiHidden/>
    <w:rsid w:val="00B9660B"/>
    <w:rPr>
      <w:b/>
    </w:rPr>
  </w:style>
  <w:style w:type="paragraph" w:customStyle="1" w:styleId="CompanyInformationItalic">
    <w:name w:val="Company Information Italic"/>
    <w:basedOn w:val="CompanyInformation"/>
    <w:link w:val="CompanyInformationItalicChar"/>
    <w:semiHidden/>
    <w:rsid w:val="00B9660B"/>
    <w:rPr>
      <w:i/>
    </w:rPr>
  </w:style>
  <w:style w:type="character" w:customStyle="1" w:styleId="CompanyInformationItalicChar">
    <w:name w:val="Company Information Italic Char"/>
    <w:basedOn w:val="CompanyInformationChar"/>
    <w:link w:val="CompanyInformationItalic"/>
    <w:semiHidden/>
    <w:rsid w:val="00B9660B"/>
    <w:rPr>
      <w:rFonts w:ascii="Verdana" w:hAnsi="Verdana"/>
      <w:i/>
      <w:color w:val="808080"/>
      <w:sz w:val="15"/>
    </w:rPr>
  </w:style>
  <w:style w:type="paragraph" w:customStyle="1" w:styleId="InsideTitle">
    <w:name w:val="Inside Title"/>
    <w:basedOn w:val="Normal"/>
    <w:link w:val="InsideTitleChar"/>
    <w:semiHidden/>
    <w:rsid w:val="00B9660B"/>
    <w:pPr>
      <w:keepNext/>
      <w:spacing w:before="3480"/>
    </w:pPr>
    <w:rPr>
      <w:rFonts w:ascii="Verdana" w:hAnsi="Verdana"/>
      <w:b/>
      <w:sz w:val="32"/>
      <w:szCs w:val="20"/>
    </w:rPr>
  </w:style>
  <w:style w:type="paragraph" w:customStyle="1" w:styleId="InsideSubtitle">
    <w:name w:val="Inside Subtitle"/>
    <w:basedOn w:val="Normal"/>
    <w:semiHidden/>
    <w:rsid w:val="00B9660B"/>
    <w:pPr>
      <w:spacing w:before="120" w:after="200"/>
    </w:pPr>
    <w:rPr>
      <w:rFonts w:ascii="Verdana" w:hAnsi="Verdana"/>
      <w:b/>
      <w:i/>
      <w:color w:val="008000"/>
      <w:sz w:val="22"/>
      <w:szCs w:val="22"/>
    </w:rPr>
  </w:style>
  <w:style w:type="paragraph" w:customStyle="1" w:styleId="NumberedList">
    <w:name w:val="Numbered List"/>
    <w:link w:val="NumberedListCharChar"/>
    <w:qFormat/>
    <w:rsid w:val="00B9660B"/>
    <w:pPr>
      <w:numPr>
        <w:numId w:val="33"/>
      </w:numPr>
      <w:spacing w:after="120" w:line="240" w:lineRule="atLeast"/>
    </w:pPr>
    <w:rPr>
      <w:rFonts w:ascii="Tahoma" w:hAnsi="Tahoma" w:cs="Tahoma"/>
      <w:spacing w:val="4"/>
      <w:szCs w:val="18"/>
    </w:rPr>
  </w:style>
  <w:style w:type="character" w:customStyle="1" w:styleId="NumberedListCharChar">
    <w:name w:val="Numbered List Char Char"/>
    <w:basedOn w:val="DefaultParagraphFont"/>
    <w:link w:val="NumberedList"/>
    <w:rsid w:val="00B9660B"/>
    <w:rPr>
      <w:rFonts w:ascii="Tahoma" w:hAnsi="Tahoma" w:cs="Tahoma"/>
      <w:spacing w:val="4"/>
      <w:szCs w:val="18"/>
    </w:rPr>
  </w:style>
  <w:style w:type="paragraph" w:customStyle="1" w:styleId="BlockQuotation">
    <w:name w:val="Block Quotation"/>
    <w:basedOn w:val="Normal"/>
    <w:link w:val="BlockQuotationChar"/>
    <w:rsid w:val="00B9660B"/>
    <w:pPr>
      <w:spacing w:before="80" w:after="80" w:line="312" w:lineRule="auto"/>
      <w:ind w:left="720"/>
    </w:pPr>
    <w:rPr>
      <w:rFonts w:ascii="Tahoma" w:hAnsi="Tahoma" w:cs="Tahoma"/>
      <w:spacing w:val="-4"/>
      <w:sz w:val="17"/>
      <w:szCs w:val="17"/>
    </w:rPr>
  </w:style>
  <w:style w:type="character" w:customStyle="1" w:styleId="BlockQuotationChar">
    <w:name w:val="Block Quotation Char"/>
    <w:basedOn w:val="DefaultParagraphFont"/>
    <w:link w:val="BlockQuotation"/>
    <w:rsid w:val="00B9660B"/>
    <w:rPr>
      <w:rFonts w:ascii="Tahoma" w:hAnsi="Tahoma" w:cs="Tahoma"/>
      <w:spacing w:val="-4"/>
      <w:sz w:val="17"/>
      <w:szCs w:val="17"/>
    </w:rPr>
  </w:style>
  <w:style w:type="paragraph" w:customStyle="1" w:styleId="TableHeadings">
    <w:name w:val="Table Headings"/>
    <w:basedOn w:val="TableText"/>
    <w:link w:val="TableHeadingsChar"/>
    <w:rsid w:val="00B9660B"/>
    <w:pPr>
      <w:spacing w:before="40" w:after="40"/>
      <w:jc w:val="center"/>
    </w:pPr>
    <w:rPr>
      <w:b/>
      <w:color w:val="FFFFFF" w:themeColor="background1"/>
    </w:rPr>
  </w:style>
  <w:style w:type="paragraph" w:customStyle="1" w:styleId="IndentedBodyText">
    <w:name w:val="Indented Body Text"/>
    <w:basedOn w:val="Normal"/>
    <w:link w:val="IndentedBodyTextChar"/>
    <w:semiHidden/>
    <w:rsid w:val="00B9660B"/>
    <w:pPr>
      <w:spacing w:after="120" w:line="240" w:lineRule="atLeast"/>
      <w:ind w:left="360"/>
    </w:pPr>
    <w:rPr>
      <w:rFonts w:ascii="Tahoma" w:hAnsi="Tahoma" w:cs="Tahoma"/>
      <w:spacing w:val="4"/>
      <w:sz w:val="18"/>
      <w:szCs w:val="18"/>
    </w:rPr>
  </w:style>
  <w:style w:type="character" w:customStyle="1" w:styleId="IndentedBodyTextChar">
    <w:name w:val="Indented Body Text Char"/>
    <w:basedOn w:val="DefaultParagraphFont"/>
    <w:link w:val="IndentedBodyText"/>
    <w:semiHidden/>
    <w:rsid w:val="00B9660B"/>
    <w:rPr>
      <w:rFonts w:ascii="Tahoma" w:hAnsi="Tahoma" w:cs="Tahoma"/>
      <w:spacing w:val="4"/>
      <w:sz w:val="18"/>
      <w:szCs w:val="18"/>
    </w:rPr>
  </w:style>
  <w:style w:type="paragraph" w:customStyle="1" w:styleId="Chapter">
    <w:name w:val="Chapter"/>
    <w:basedOn w:val="Normal"/>
    <w:semiHidden/>
    <w:rsid w:val="00B9660B"/>
    <w:pPr>
      <w:framePr w:hSpace="187" w:wrap="around" w:vAnchor="page" w:hAnchor="margin" w:y="1081"/>
    </w:pPr>
    <w:rPr>
      <w:rFonts w:ascii="Verdana" w:hAnsi="Verdana"/>
      <w:caps/>
      <w:color w:val="808080"/>
      <w:sz w:val="22"/>
      <w:szCs w:val="22"/>
    </w:rPr>
  </w:style>
  <w:style w:type="paragraph" w:customStyle="1" w:styleId="ESHeading">
    <w:name w:val="ES Heading"/>
    <w:next w:val="BodyText"/>
    <w:rsid w:val="00B9660B"/>
    <w:pPr>
      <w:spacing w:before="240" w:after="40"/>
    </w:pPr>
    <w:rPr>
      <w:rFonts w:ascii="Tahoma" w:hAnsi="Tahoma"/>
      <w:b/>
      <w:color w:val="1A1D5D"/>
      <w:sz w:val="26"/>
      <w:szCs w:val="26"/>
    </w:rPr>
  </w:style>
  <w:style w:type="paragraph" w:customStyle="1" w:styleId="BulletedListBold">
    <w:name w:val="Bulleted List Bold"/>
    <w:basedOn w:val="BulletedList0"/>
    <w:link w:val="BulletedListBoldChar"/>
    <w:semiHidden/>
    <w:rsid w:val="00B9660B"/>
    <w:pPr>
      <w:numPr>
        <w:numId w:val="0"/>
      </w:numPr>
      <w:tabs>
        <w:tab w:val="num" w:pos="0"/>
      </w:tabs>
      <w:ind w:left="720" w:hanging="360"/>
      <w:contextualSpacing w:val="0"/>
    </w:pPr>
    <w:rPr>
      <w:b/>
      <w:bCs/>
    </w:rPr>
  </w:style>
  <w:style w:type="character" w:customStyle="1" w:styleId="BulletedListBoldChar">
    <w:name w:val="Bulleted List Bold Char"/>
    <w:basedOn w:val="BulletedListCharChar"/>
    <w:link w:val="BulletedListBold"/>
    <w:semiHidden/>
    <w:rsid w:val="00B9660B"/>
    <w:rPr>
      <w:rFonts w:ascii="Tahoma" w:hAnsi="Tahoma" w:cs="Tahoma"/>
      <w:b/>
      <w:bCs/>
      <w:spacing w:val="4"/>
      <w:szCs w:val="18"/>
    </w:rPr>
  </w:style>
  <w:style w:type="paragraph" w:customStyle="1" w:styleId="NumberedListBold">
    <w:name w:val="Numbered List Bold"/>
    <w:basedOn w:val="NumberedList"/>
    <w:link w:val="NumberedListBoldChar"/>
    <w:semiHidden/>
    <w:rsid w:val="00B9660B"/>
    <w:rPr>
      <w:b/>
      <w:bCs/>
    </w:rPr>
  </w:style>
  <w:style w:type="character" w:customStyle="1" w:styleId="NumberedListBoldChar">
    <w:name w:val="Numbered List Bold Char"/>
    <w:basedOn w:val="NumberedListCharChar"/>
    <w:link w:val="NumberedListBold"/>
    <w:semiHidden/>
    <w:rsid w:val="00B9660B"/>
    <w:rPr>
      <w:rFonts w:ascii="Tahoma" w:hAnsi="Tahoma" w:cs="Tahoma"/>
      <w:b/>
      <w:bCs/>
      <w:spacing w:val="4"/>
      <w:szCs w:val="18"/>
    </w:rPr>
  </w:style>
  <w:style w:type="paragraph" w:customStyle="1" w:styleId="ReportNumber">
    <w:name w:val="Report Number"/>
    <w:basedOn w:val="Normal"/>
    <w:next w:val="ReportDate"/>
    <w:semiHidden/>
    <w:rsid w:val="00B9660B"/>
    <w:pPr>
      <w:spacing w:before="600"/>
    </w:pPr>
    <w:rPr>
      <w:rFonts w:ascii="Verdana" w:hAnsi="Verdana"/>
      <w:b/>
      <w:color w:val="808080"/>
      <w:sz w:val="18"/>
      <w:szCs w:val="18"/>
    </w:rPr>
  </w:style>
  <w:style w:type="paragraph" w:customStyle="1" w:styleId="ReportDate">
    <w:name w:val="Report Date"/>
    <w:basedOn w:val="ReportNumber"/>
    <w:semiHidden/>
    <w:rsid w:val="00B9660B"/>
    <w:rPr>
      <w:b w:val="0"/>
    </w:rPr>
  </w:style>
  <w:style w:type="paragraph" w:customStyle="1" w:styleId="ProjectManager">
    <w:name w:val="Project Manager"/>
    <w:basedOn w:val="ReportDate"/>
    <w:semiHidden/>
    <w:rsid w:val="00B9660B"/>
    <w:pPr>
      <w:spacing w:before="3000" w:line="312" w:lineRule="auto"/>
    </w:pPr>
  </w:style>
  <w:style w:type="paragraph" w:customStyle="1" w:styleId="ChapterTitle">
    <w:name w:val="Chapter Title"/>
    <w:basedOn w:val="InsideTitle"/>
    <w:next w:val="BodyText"/>
    <w:link w:val="ChapterTitleChar"/>
    <w:rsid w:val="00B9660B"/>
    <w:pPr>
      <w:spacing w:before="600" w:after="600"/>
      <w:outlineLvl w:val="0"/>
    </w:pPr>
    <w:rPr>
      <w:rFonts w:ascii="Tahoma" w:hAnsi="Tahoma"/>
      <w:szCs w:val="28"/>
    </w:rPr>
  </w:style>
  <w:style w:type="paragraph" w:customStyle="1" w:styleId="ContentsTitle">
    <w:name w:val="Contents Title"/>
    <w:basedOn w:val="ChapterTitle"/>
    <w:semiHidden/>
    <w:rsid w:val="00B9660B"/>
  </w:style>
  <w:style w:type="numbering" w:styleId="111111">
    <w:name w:val="Outline List 2"/>
    <w:basedOn w:val="NoList"/>
    <w:rsid w:val="00B9660B"/>
    <w:pPr>
      <w:numPr>
        <w:numId w:val="29"/>
      </w:numPr>
    </w:pPr>
  </w:style>
  <w:style w:type="table" w:customStyle="1" w:styleId="AEGReportTable">
    <w:name w:val="AEG Report Table"/>
    <w:basedOn w:val="TableNormal"/>
    <w:rsid w:val="00B9660B"/>
    <w:rPr>
      <w:rFonts w:ascii="Calibri" w:hAnsi="Calibri"/>
    </w:rPr>
    <w:tblPr>
      <w:tblInd w:w="11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58" w:type="dxa"/>
        <w:left w:w="115" w:type="dxa"/>
        <w:bottom w:w="58" w:type="dxa"/>
        <w:right w:w="115" w:type="dxa"/>
      </w:tblCellMar>
    </w:tblPr>
    <w:tcPr>
      <w:vAlign w:val="center"/>
    </w:tcPr>
    <w:tblStylePr w:type="firstRow">
      <w:pPr>
        <w:jc w:val="center"/>
      </w:pPr>
      <w:rPr>
        <w:rFonts w:ascii="Calibri" w:hAnsi="Calibri"/>
        <w:b/>
        <w:color w:val="FFFFFF" w:themeColor="background1"/>
        <w:sz w:val="20"/>
      </w:rPr>
      <w:tblPr/>
      <w:tcPr>
        <w:shd w:val="clear" w:color="auto" w:fill="1F497D" w:themeFill="text2"/>
        <w:vAlign w:val="bottom"/>
      </w:tcPr>
    </w:tblStylePr>
  </w:style>
  <w:style w:type="paragraph" w:styleId="BodyText2">
    <w:name w:val="Body Text 2"/>
    <w:basedOn w:val="Normal"/>
    <w:link w:val="BodyText2Char"/>
    <w:rsid w:val="00B9660B"/>
    <w:pPr>
      <w:spacing w:after="120" w:line="480" w:lineRule="auto"/>
    </w:pPr>
    <w:rPr>
      <w:rFonts w:ascii="Tahoma" w:hAnsi="Tahoma"/>
      <w:sz w:val="20"/>
    </w:rPr>
  </w:style>
  <w:style w:type="character" w:customStyle="1" w:styleId="BodyText2Char">
    <w:name w:val="Body Text 2 Char"/>
    <w:basedOn w:val="DefaultParagraphFont"/>
    <w:link w:val="BodyText2"/>
    <w:rsid w:val="00B9660B"/>
    <w:rPr>
      <w:rFonts w:ascii="Tahoma" w:hAnsi="Tahoma"/>
      <w:szCs w:val="24"/>
    </w:rPr>
  </w:style>
  <w:style w:type="paragraph" w:styleId="BodyText3">
    <w:name w:val="Body Text 3"/>
    <w:basedOn w:val="Normal"/>
    <w:link w:val="BodyText3Char"/>
    <w:rsid w:val="00B9660B"/>
    <w:pPr>
      <w:spacing w:after="120"/>
    </w:pPr>
    <w:rPr>
      <w:rFonts w:ascii="Tahoma" w:hAnsi="Tahoma"/>
      <w:sz w:val="16"/>
      <w:szCs w:val="16"/>
    </w:rPr>
  </w:style>
  <w:style w:type="character" w:customStyle="1" w:styleId="BodyText3Char">
    <w:name w:val="Body Text 3 Char"/>
    <w:basedOn w:val="DefaultParagraphFont"/>
    <w:link w:val="BodyText3"/>
    <w:rsid w:val="00B9660B"/>
    <w:rPr>
      <w:rFonts w:ascii="Tahoma" w:hAnsi="Tahoma"/>
      <w:sz w:val="16"/>
      <w:szCs w:val="16"/>
    </w:rPr>
  </w:style>
  <w:style w:type="table" w:styleId="TableColorful2">
    <w:name w:val="Table Colorful 2"/>
    <w:basedOn w:val="TableNormal"/>
    <w:rsid w:val="00B9660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9660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9660B"/>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9660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9660B"/>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9660B"/>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9660B"/>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9660B"/>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9660B"/>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966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9660B"/>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9660B"/>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9660B"/>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9660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9660B"/>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9660B"/>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9660B"/>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9660B"/>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9660B"/>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9660B"/>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9660B"/>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9660B"/>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9660B"/>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9660B"/>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9660B"/>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9660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9660B"/>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9660B"/>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9660B"/>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9660B"/>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9660B"/>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966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9660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9660B"/>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9660B"/>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ableofFigures">
    <w:name w:val="table of figures"/>
    <w:basedOn w:val="TOC2"/>
    <w:next w:val="Normal"/>
    <w:uiPriority w:val="99"/>
    <w:rsid w:val="00B9660B"/>
    <w:pPr>
      <w:tabs>
        <w:tab w:val="right" w:leader="dot" w:pos="9000"/>
      </w:tabs>
      <w:spacing w:before="40" w:after="60"/>
      <w:ind w:left="1274" w:hanging="1274"/>
    </w:pPr>
    <w:rPr>
      <w:rFonts w:ascii="Tahoma" w:hAnsi="Tahoma"/>
      <w:sz w:val="20"/>
      <w:szCs w:val="20"/>
    </w:rPr>
  </w:style>
  <w:style w:type="paragraph" w:customStyle="1" w:styleId="Figure">
    <w:name w:val="Figure"/>
    <w:basedOn w:val="BodyText"/>
    <w:rsid w:val="00B9660B"/>
    <w:pPr>
      <w:keepNext/>
      <w:spacing w:before="240" w:after="0"/>
    </w:pPr>
    <w:rPr>
      <w:rFonts w:ascii="Tahoma" w:hAnsi="Tahoma"/>
      <w:spacing w:val="4"/>
      <w:sz w:val="20"/>
      <w:szCs w:val="18"/>
    </w:rPr>
  </w:style>
  <w:style w:type="numbering" w:styleId="1ai">
    <w:name w:val="Outline List 1"/>
    <w:basedOn w:val="NoList"/>
    <w:rsid w:val="00B9660B"/>
    <w:pPr>
      <w:numPr>
        <w:numId w:val="30"/>
      </w:numPr>
    </w:pPr>
  </w:style>
  <w:style w:type="numbering" w:styleId="ArticleSection">
    <w:name w:val="Outline List 3"/>
    <w:basedOn w:val="NoList"/>
    <w:rsid w:val="00B9660B"/>
    <w:pPr>
      <w:numPr>
        <w:numId w:val="31"/>
      </w:numPr>
    </w:pPr>
  </w:style>
  <w:style w:type="paragraph" w:styleId="BlockText">
    <w:name w:val="Block Text"/>
    <w:basedOn w:val="Normal"/>
    <w:rsid w:val="00B9660B"/>
    <w:pPr>
      <w:spacing w:after="120"/>
      <w:ind w:left="1440" w:right="1440"/>
    </w:pPr>
    <w:rPr>
      <w:rFonts w:ascii="Tahoma" w:hAnsi="Tahoma"/>
      <w:sz w:val="20"/>
    </w:rPr>
  </w:style>
  <w:style w:type="paragraph" w:styleId="BodyTextFirstIndent">
    <w:name w:val="Body Text First Indent"/>
    <w:basedOn w:val="BodyText"/>
    <w:link w:val="BodyTextFirstIndentChar"/>
    <w:rsid w:val="00B9660B"/>
    <w:pPr>
      <w:ind w:firstLine="210"/>
    </w:pPr>
  </w:style>
  <w:style w:type="character" w:customStyle="1" w:styleId="BodyTextFirstIndentChar">
    <w:name w:val="Body Text First Indent Char"/>
    <w:basedOn w:val="BodyTextChar"/>
    <w:link w:val="BodyTextFirstIndent"/>
    <w:rsid w:val="00B9660B"/>
    <w:rPr>
      <w:sz w:val="24"/>
      <w:szCs w:val="24"/>
    </w:rPr>
  </w:style>
  <w:style w:type="paragraph" w:styleId="BodyTextFirstIndent2">
    <w:name w:val="Body Text First Indent 2"/>
    <w:basedOn w:val="BodyTextIndent"/>
    <w:link w:val="BodyTextFirstIndent2Char"/>
    <w:rsid w:val="00B9660B"/>
    <w:pPr>
      <w:ind w:firstLine="210"/>
    </w:pPr>
    <w:rPr>
      <w:rFonts w:ascii="Tahoma" w:hAnsi="Tahoma"/>
      <w:sz w:val="20"/>
    </w:rPr>
  </w:style>
  <w:style w:type="character" w:customStyle="1" w:styleId="BodyTextFirstIndent2Char">
    <w:name w:val="Body Text First Indent 2 Char"/>
    <w:basedOn w:val="BodyTextIndentChar"/>
    <w:link w:val="BodyTextFirstIndent2"/>
    <w:rsid w:val="00B9660B"/>
    <w:rPr>
      <w:rFonts w:ascii="Tahoma" w:hAnsi="Tahoma" w:cs="Times New Roman"/>
      <w:sz w:val="24"/>
      <w:szCs w:val="24"/>
    </w:rPr>
  </w:style>
  <w:style w:type="paragraph" w:styleId="BodyTextIndent3">
    <w:name w:val="Body Text Indent 3"/>
    <w:basedOn w:val="Normal"/>
    <w:link w:val="BodyTextIndent3Char"/>
    <w:rsid w:val="00B9660B"/>
    <w:pPr>
      <w:spacing w:after="120"/>
      <w:ind w:left="360"/>
    </w:pPr>
    <w:rPr>
      <w:rFonts w:ascii="Tahoma" w:hAnsi="Tahoma"/>
      <w:sz w:val="16"/>
      <w:szCs w:val="16"/>
    </w:rPr>
  </w:style>
  <w:style w:type="character" w:customStyle="1" w:styleId="BodyTextIndent3Char">
    <w:name w:val="Body Text Indent 3 Char"/>
    <w:basedOn w:val="DefaultParagraphFont"/>
    <w:link w:val="BodyTextIndent3"/>
    <w:rsid w:val="00B9660B"/>
    <w:rPr>
      <w:rFonts w:ascii="Tahoma" w:hAnsi="Tahoma"/>
      <w:sz w:val="16"/>
      <w:szCs w:val="16"/>
    </w:rPr>
  </w:style>
  <w:style w:type="paragraph" w:styleId="Closing">
    <w:name w:val="Closing"/>
    <w:basedOn w:val="Normal"/>
    <w:link w:val="ClosingChar"/>
    <w:rsid w:val="00B9660B"/>
    <w:pPr>
      <w:ind w:left="4320"/>
    </w:pPr>
    <w:rPr>
      <w:rFonts w:ascii="Tahoma" w:hAnsi="Tahoma"/>
      <w:sz w:val="20"/>
    </w:rPr>
  </w:style>
  <w:style w:type="character" w:customStyle="1" w:styleId="ClosingChar">
    <w:name w:val="Closing Char"/>
    <w:basedOn w:val="DefaultParagraphFont"/>
    <w:link w:val="Closing"/>
    <w:rsid w:val="00B9660B"/>
    <w:rPr>
      <w:rFonts w:ascii="Tahoma" w:hAnsi="Tahoma"/>
      <w:szCs w:val="24"/>
    </w:rPr>
  </w:style>
  <w:style w:type="paragraph" w:styleId="E-mailSignature">
    <w:name w:val="E-mail Signature"/>
    <w:basedOn w:val="Normal"/>
    <w:link w:val="E-mailSignatureChar"/>
    <w:rsid w:val="00B9660B"/>
    <w:rPr>
      <w:rFonts w:ascii="Tahoma" w:hAnsi="Tahoma"/>
      <w:sz w:val="20"/>
    </w:rPr>
  </w:style>
  <w:style w:type="character" w:customStyle="1" w:styleId="E-mailSignatureChar">
    <w:name w:val="E-mail Signature Char"/>
    <w:basedOn w:val="DefaultParagraphFont"/>
    <w:link w:val="E-mailSignature"/>
    <w:rsid w:val="00B9660B"/>
    <w:rPr>
      <w:rFonts w:ascii="Tahoma" w:hAnsi="Tahoma"/>
      <w:szCs w:val="24"/>
    </w:rPr>
  </w:style>
  <w:style w:type="paragraph" w:styleId="EnvelopeAddress">
    <w:name w:val="envelope address"/>
    <w:basedOn w:val="Normal"/>
    <w:rsid w:val="00B9660B"/>
    <w:pPr>
      <w:framePr w:w="7920" w:h="1980" w:hRule="exact" w:hSpace="180" w:wrap="auto" w:hAnchor="page" w:xAlign="center" w:yAlign="bottom"/>
      <w:ind w:left="2880"/>
    </w:pPr>
    <w:rPr>
      <w:rFonts w:ascii="Arial" w:hAnsi="Arial" w:cs="Arial"/>
      <w:sz w:val="20"/>
    </w:rPr>
  </w:style>
  <w:style w:type="paragraph" w:styleId="EnvelopeReturn">
    <w:name w:val="envelope return"/>
    <w:basedOn w:val="Normal"/>
    <w:rsid w:val="00B9660B"/>
    <w:rPr>
      <w:rFonts w:ascii="Arial" w:hAnsi="Arial" w:cs="Arial"/>
      <w:sz w:val="20"/>
      <w:szCs w:val="20"/>
    </w:rPr>
  </w:style>
  <w:style w:type="character" w:styleId="FollowedHyperlink">
    <w:name w:val="FollowedHyperlink"/>
    <w:basedOn w:val="DefaultParagraphFont"/>
    <w:uiPriority w:val="99"/>
    <w:rsid w:val="00B9660B"/>
    <w:rPr>
      <w:color w:val="800080"/>
      <w:u w:val="single"/>
    </w:rPr>
  </w:style>
  <w:style w:type="character" w:styleId="HTMLAcronym">
    <w:name w:val="HTML Acronym"/>
    <w:basedOn w:val="DefaultParagraphFont"/>
    <w:rsid w:val="00B9660B"/>
  </w:style>
  <w:style w:type="paragraph" w:styleId="HTMLAddress">
    <w:name w:val="HTML Address"/>
    <w:basedOn w:val="Normal"/>
    <w:link w:val="HTMLAddressChar"/>
    <w:rsid w:val="00B9660B"/>
    <w:rPr>
      <w:rFonts w:ascii="Tahoma" w:hAnsi="Tahoma"/>
      <w:i/>
      <w:iCs/>
      <w:sz w:val="20"/>
    </w:rPr>
  </w:style>
  <w:style w:type="character" w:customStyle="1" w:styleId="HTMLAddressChar">
    <w:name w:val="HTML Address Char"/>
    <w:basedOn w:val="DefaultParagraphFont"/>
    <w:link w:val="HTMLAddress"/>
    <w:rsid w:val="00B9660B"/>
    <w:rPr>
      <w:rFonts w:ascii="Tahoma" w:hAnsi="Tahoma"/>
      <w:i/>
      <w:iCs/>
      <w:szCs w:val="24"/>
    </w:rPr>
  </w:style>
  <w:style w:type="character" w:styleId="HTMLCite">
    <w:name w:val="HTML Cite"/>
    <w:basedOn w:val="DefaultParagraphFont"/>
    <w:rsid w:val="00B9660B"/>
    <w:rPr>
      <w:i/>
      <w:iCs/>
    </w:rPr>
  </w:style>
  <w:style w:type="character" w:styleId="HTMLCode">
    <w:name w:val="HTML Code"/>
    <w:basedOn w:val="DefaultParagraphFont"/>
    <w:rsid w:val="00B9660B"/>
    <w:rPr>
      <w:rFonts w:ascii="Courier New" w:hAnsi="Courier New" w:cs="Courier New"/>
      <w:sz w:val="20"/>
      <w:szCs w:val="20"/>
    </w:rPr>
  </w:style>
  <w:style w:type="character" w:styleId="HTMLDefinition">
    <w:name w:val="HTML Definition"/>
    <w:basedOn w:val="DefaultParagraphFont"/>
    <w:rsid w:val="00B9660B"/>
    <w:rPr>
      <w:i/>
      <w:iCs/>
    </w:rPr>
  </w:style>
  <w:style w:type="character" w:styleId="HTMLKeyboard">
    <w:name w:val="HTML Keyboard"/>
    <w:basedOn w:val="DefaultParagraphFont"/>
    <w:rsid w:val="00B9660B"/>
    <w:rPr>
      <w:rFonts w:ascii="Courier New" w:hAnsi="Courier New" w:cs="Courier New"/>
      <w:sz w:val="20"/>
      <w:szCs w:val="20"/>
    </w:rPr>
  </w:style>
  <w:style w:type="paragraph" w:styleId="HTMLPreformatted">
    <w:name w:val="HTML Preformatted"/>
    <w:basedOn w:val="Normal"/>
    <w:link w:val="HTMLPreformattedChar"/>
    <w:rsid w:val="00B9660B"/>
    <w:rPr>
      <w:rFonts w:ascii="Courier New" w:hAnsi="Courier New" w:cs="Courier New"/>
      <w:sz w:val="20"/>
      <w:szCs w:val="20"/>
    </w:rPr>
  </w:style>
  <w:style w:type="character" w:customStyle="1" w:styleId="HTMLPreformattedChar">
    <w:name w:val="HTML Preformatted Char"/>
    <w:basedOn w:val="DefaultParagraphFont"/>
    <w:link w:val="HTMLPreformatted"/>
    <w:rsid w:val="00B9660B"/>
    <w:rPr>
      <w:rFonts w:ascii="Courier New" w:hAnsi="Courier New" w:cs="Courier New"/>
    </w:rPr>
  </w:style>
  <w:style w:type="character" w:styleId="HTMLSample">
    <w:name w:val="HTML Sample"/>
    <w:basedOn w:val="DefaultParagraphFont"/>
    <w:rsid w:val="00B9660B"/>
    <w:rPr>
      <w:rFonts w:ascii="Courier New" w:hAnsi="Courier New" w:cs="Courier New"/>
    </w:rPr>
  </w:style>
  <w:style w:type="character" w:styleId="HTMLTypewriter">
    <w:name w:val="HTML Typewriter"/>
    <w:basedOn w:val="DefaultParagraphFont"/>
    <w:rsid w:val="00B9660B"/>
    <w:rPr>
      <w:rFonts w:ascii="Courier New" w:hAnsi="Courier New" w:cs="Courier New"/>
      <w:sz w:val="20"/>
      <w:szCs w:val="20"/>
    </w:rPr>
  </w:style>
  <w:style w:type="character" w:styleId="HTMLVariable">
    <w:name w:val="HTML Variable"/>
    <w:basedOn w:val="DefaultParagraphFont"/>
    <w:rsid w:val="00B9660B"/>
    <w:rPr>
      <w:i/>
      <w:iCs/>
    </w:rPr>
  </w:style>
  <w:style w:type="character" w:styleId="LineNumber">
    <w:name w:val="line number"/>
    <w:basedOn w:val="DefaultParagraphFont"/>
    <w:rsid w:val="00B9660B"/>
  </w:style>
  <w:style w:type="paragraph" w:styleId="List">
    <w:name w:val="List"/>
    <w:basedOn w:val="Normal"/>
    <w:rsid w:val="00B9660B"/>
    <w:pPr>
      <w:ind w:left="360" w:hanging="360"/>
    </w:pPr>
    <w:rPr>
      <w:rFonts w:ascii="Tahoma" w:hAnsi="Tahoma"/>
      <w:sz w:val="20"/>
    </w:rPr>
  </w:style>
  <w:style w:type="paragraph" w:styleId="List2">
    <w:name w:val="List 2"/>
    <w:basedOn w:val="Normal"/>
    <w:rsid w:val="00B9660B"/>
    <w:pPr>
      <w:ind w:left="720" w:hanging="360"/>
    </w:pPr>
    <w:rPr>
      <w:rFonts w:ascii="Tahoma" w:hAnsi="Tahoma"/>
      <w:sz w:val="20"/>
    </w:rPr>
  </w:style>
  <w:style w:type="paragraph" w:styleId="List3">
    <w:name w:val="List 3"/>
    <w:basedOn w:val="Normal"/>
    <w:rsid w:val="00B9660B"/>
    <w:pPr>
      <w:ind w:left="1080" w:hanging="360"/>
    </w:pPr>
    <w:rPr>
      <w:rFonts w:ascii="Tahoma" w:hAnsi="Tahoma"/>
      <w:sz w:val="20"/>
    </w:rPr>
  </w:style>
  <w:style w:type="paragraph" w:styleId="List4">
    <w:name w:val="List 4"/>
    <w:basedOn w:val="Normal"/>
    <w:rsid w:val="00B9660B"/>
    <w:pPr>
      <w:ind w:left="1440" w:hanging="360"/>
    </w:pPr>
    <w:rPr>
      <w:rFonts w:ascii="Tahoma" w:hAnsi="Tahoma"/>
      <w:sz w:val="20"/>
    </w:rPr>
  </w:style>
  <w:style w:type="paragraph" w:styleId="List5">
    <w:name w:val="List 5"/>
    <w:basedOn w:val="Normal"/>
    <w:rsid w:val="00B9660B"/>
    <w:pPr>
      <w:ind w:left="1800" w:hanging="360"/>
    </w:pPr>
    <w:rPr>
      <w:rFonts w:ascii="Tahoma" w:hAnsi="Tahoma"/>
      <w:sz w:val="20"/>
    </w:rPr>
  </w:style>
  <w:style w:type="paragraph" w:styleId="ListBullet">
    <w:name w:val="List Bullet"/>
    <w:basedOn w:val="Normal"/>
    <w:rsid w:val="00B9660B"/>
    <w:pPr>
      <w:numPr>
        <w:numId w:val="20"/>
      </w:numPr>
    </w:pPr>
    <w:rPr>
      <w:rFonts w:ascii="Tahoma" w:hAnsi="Tahoma"/>
      <w:sz w:val="20"/>
    </w:rPr>
  </w:style>
  <w:style w:type="paragraph" w:styleId="ListBullet2">
    <w:name w:val="List Bullet 2"/>
    <w:basedOn w:val="Normal"/>
    <w:rsid w:val="00B9660B"/>
    <w:pPr>
      <w:numPr>
        <w:numId w:val="21"/>
      </w:numPr>
    </w:pPr>
    <w:rPr>
      <w:rFonts w:ascii="Tahoma" w:hAnsi="Tahoma"/>
      <w:sz w:val="20"/>
    </w:rPr>
  </w:style>
  <w:style w:type="paragraph" w:styleId="ListBullet3">
    <w:name w:val="List Bullet 3"/>
    <w:basedOn w:val="Normal"/>
    <w:rsid w:val="00B9660B"/>
    <w:pPr>
      <w:numPr>
        <w:numId w:val="22"/>
      </w:numPr>
    </w:pPr>
    <w:rPr>
      <w:rFonts w:ascii="Tahoma" w:hAnsi="Tahoma"/>
      <w:sz w:val="20"/>
    </w:rPr>
  </w:style>
  <w:style w:type="paragraph" w:styleId="ListBullet4">
    <w:name w:val="List Bullet 4"/>
    <w:basedOn w:val="Normal"/>
    <w:rsid w:val="00B9660B"/>
    <w:pPr>
      <w:numPr>
        <w:numId w:val="23"/>
      </w:numPr>
    </w:pPr>
    <w:rPr>
      <w:rFonts w:ascii="Tahoma" w:hAnsi="Tahoma"/>
      <w:sz w:val="20"/>
    </w:rPr>
  </w:style>
  <w:style w:type="paragraph" w:styleId="ListBullet5">
    <w:name w:val="List Bullet 5"/>
    <w:basedOn w:val="Normal"/>
    <w:rsid w:val="00B9660B"/>
    <w:pPr>
      <w:numPr>
        <w:numId w:val="24"/>
      </w:numPr>
    </w:pPr>
    <w:rPr>
      <w:rFonts w:ascii="Tahoma" w:hAnsi="Tahoma"/>
      <w:sz w:val="20"/>
    </w:rPr>
  </w:style>
  <w:style w:type="paragraph" w:styleId="ListContinue">
    <w:name w:val="List Continue"/>
    <w:basedOn w:val="Normal"/>
    <w:rsid w:val="00B9660B"/>
    <w:pPr>
      <w:spacing w:after="120"/>
      <w:ind w:left="360"/>
    </w:pPr>
    <w:rPr>
      <w:rFonts w:ascii="Tahoma" w:hAnsi="Tahoma"/>
      <w:sz w:val="20"/>
    </w:rPr>
  </w:style>
  <w:style w:type="paragraph" w:styleId="ListContinue2">
    <w:name w:val="List Continue 2"/>
    <w:basedOn w:val="Normal"/>
    <w:rsid w:val="00B9660B"/>
    <w:pPr>
      <w:spacing w:after="120"/>
      <w:ind w:left="720"/>
    </w:pPr>
    <w:rPr>
      <w:rFonts w:ascii="Tahoma" w:hAnsi="Tahoma"/>
      <w:sz w:val="20"/>
    </w:rPr>
  </w:style>
  <w:style w:type="paragraph" w:styleId="ListContinue3">
    <w:name w:val="List Continue 3"/>
    <w:basedOn w:val="Normal"/>
    <w:rsid w:val="00B9660B"/>
    <w:pPr>
      <w:spacing w:after="120"/>
      <w:ind w:left="1080"/>
    </w:pPr>
    <w:rPr>
      <w:rFonts w:ascii="Tahoma" w:hAnsi="Tahoma"/>
      <w:sz w:val="20"/>
    </w:rPr>
  </w:style>
  <w:style w:type="paragraph" w:styleId="ListContinue4">
    <w:name w:val="List Continue 4"/>
    <w:basedOn w:val="Normal"/>
    <w:rsid w:val="00B9660B"/>
    <w:pPr>
      <w:spacing w:after="120"/>
      <w:ind w:left="1440"/>
    </w:pPr>
    <w:rPr>
      <w:rFonts w:ascii="Tahoma" w:hAnsi="Tahoma"/>
      <w:sz w:val="20"/>
    </w:rPr>
  </w:style>
  <w:style w:type="paragraph" w:styleId="ListContinue5">
    <w:name w:val="List Continue 5"/>
    <w:basedOn w:val="Normal"/>
    <w:rsid w:val="00B9660B"/>
    <w:pPr>
      <w:spacing w:after="120"/>
      <w:ind w:left="1800"/>
    </w:pPr>
    <w:rPr>
      <w:rFonts w:ascii="Tahoma" w:hAnsi="Tahoma"/>
      <w:sz w:val="20"/>
    </w:rPr>
  </w:style>
  <w:style w:type="paragraph" w:styleId="ListNumber">
    <w:name w:val="List Number"/>
    <w:basedOn w:val="Normal"/>
    <w:rsid w:val="00B9660B"/>
    <w:pPr>
      <w:numPr>
        <w:numId w:val="25"/>
      </w:numPr>
    </w:pPr>
    <w:rPr>
      <w:rFonts w:ascii="Tahoma" w:hAnsi="Tahoma"/>
      <w:sz w:val="20"/>
    </w:rPr>
  </w:style>
  <w:style w:type="paragraph" w:styleId="ListNumber2">
    <w:name w:val="List Number 2"/>
    <w:basedOn w:val="Normal"/>
    <w:rsid w:val="00B9660B"/>
    <w:pPr>
      <w:numPr>
        <w:numId w:val="26"/>
      </w:numPr>
    </w:pPr>
    <w:rPr>
      <w:rFonts w:ascii="Tahoma" w:hAnsi="Tahoma"/>
      <w:sz w:val="20"/>
    </w:rPr>
  </w:style>
  <w:style w:type="paragraph" w:styleId="ListNumber4">
    <w:name w:val="List Number 4"/>
    <w:basedOn w:val="Normal"/>
    <w:rsid w:val="00B9660B"/>
    <w:pPr>
      <w:numPr>
        <w:numId w:val="27"/>
      </w:numPr>
    </w:pPr>
    <w:rPr>
      <w:rFonts w:ascii="Tahoma" w:hAnsi="Tahoma"/>
      <w:sz w:val="20"/>
    </w:rPr>
  </w:style>
  <w:style w:type="paragraph" w:styleId="ListNumber5">
    <w:name w:val="List Number 5"/>
    <w:basedOn w:val="Normal"/>
    <w:rsid w:val="00B9660B"/>
    <w:pPr>
      <w:numPr>
        <w:numId w:val="28"/>
      </w:numPr>
    </w:pPr>
    <w:rPr>
      <w:rFonts w:ascii="Tahoma" w:hAnsi="Tahoma"/>
      <w:sz w:val="20"/>
    </w:rPr>
  </w:style>
  <w:style w:type="paragraph" w:styleId="MessageHeader">
    <w:name w:val="Message Header"/>
    <w:basedOn w:val="Normal"/>
    <w:link w:val="MessageHeaderChar"/>
    <w:rsid w:val="00B9660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0"/>
    </w:rPr>
  </w:style>
  <w:style w:type="character" w:customStyle="1" w:styleId="MessageHeaderChar">
    <w:name w:val="Message Header Char"/>
    <w:basedOn w:val="DefaultParagraphFont"/>
    <w:link w:val="MessageHeader"/>
    <w:rsid w:val="00B9660B"/>
    <w:rPr>
      <w:rFonts w:ascii="Arial" w:hAnsi="Arial" w:cs="Arial"/>
      <w:szCs w:val="24"/>
      <w:shd w:val="pct20" w:color="auto" w:fill="auto"/>
    </w:rPr>
  </w:style>
  <w:style w:type="paragraph" w:styleId="NormalWeb">
    <w:name w:val="Normal (Web)"/>
    <w:basedOn w:val="Normal"/>
    <w:uiPriority w:val="99"/>
    <w:rsid w:val="00B9660B"/>
    <w:rPr>
      <w:rFonts w:ascii="Tahoma" w:hAnsi="Tahoma"/>
      <w:sz w:val="20"/>
    </w:rPr>
  </w:style>
  <w:style w:type="paragraph" w:styleId="NormalIndent">
    <w:name w:val="Normal Indent"/>
    <w:basedOn w:val="Normal"/>
    <w:rsid w:val="00B9660B"/>
    <w:pPr>
      <w:ind w:left="720"/>
    </w:pPr>
    <w:rPr>
      <w:rFonts w:ascii="Tahoma" w:hAnsi="Tahoma"/>
      <w:sz w:val="20"/>
    </w:rPr>
  </w:style>
  <w:style w:type="paragraph" w:styleId="NoteHeading">
    <w:name w:val="Note Heading"/>
    <w:basedOn w:val="Normal"/>
    <w:next w:val="Normal"/>
    <w:link w:val="NoteHeadingChar"/>
    <w:rsid w:val="00B9660B"/>
    <w:rPr>
      <w:rFonts w:ascii="Tahoma" w:hAnsi="Tahoma"/>
      <w:sz w:val="20"/>
    </w:rPr>
  </w:style>
  <w:style w:type="character" w:customStyle="1" w:styleId="NoteHeadingChar">
    <w:name w:val="Note Heading Char"/>
    <w:basedOn w:val="DefaultParagraphFont"/>
    <w:link w:val="NoteHeading"/>
    <w:rsid w:val="00B9660B"/>
    <w:rPr>
      <w:rFonts w:ascii="Tahoma" w:hAnsi="Tahoma"/>
      <w:szCs w:val="24"/>
    </w:rPr>
  </w:style>
  <w:style w:type="paragraph" w:styleId="PlainText">
    <w:name w:val="Plain Text"/>
    <w:basedOn w:val="Normal"/>
    <w:link w:val="PlainTextChar"/>
    <w:rsid w:val="00B9660B"/>
    <w:rPr>
      <w:rFonts w:ascii="Courier New" w:hAnsi="Courier New" w:cs="Courier New"/>
      <w:sz w:val="20"/>
      <w:szCs w:val="20"/>
    </w:rPr>
  </w:style>
  <w:style w:type="character" w:customStyle="1" w:styleId="PlainTextChar">
    <w:name w:val="Plain Text Char"/>
    <w:basedOn w:val="DefaultParagraphFont"/>
    <w:link w:val="PlainText"/>
    <w:rsid w:val="00B9660B"/>
    <w:rPr>
      <w:rFonts w:ascii="Courier New" w:hAnsi="Courier New" w:cs="Courier New"/>
    </w:rPr>
  </w:style>
  <w:style w:type="paragraph" w:styleId="Salutation">
    <w:name w:val="Salutation"/>
    <w:basedOn w:val="Normal"/>
    <w:next w:val="Normal"/>
    <w:link w:val="SalutationChar"/>
    <w:rsid w:val="00B9660B"/>
    <w:rPr>
      <w:rFonts w:ascii="Tahoma" w:hAnsi="Tahoma"/>
      <w:sz w:val="20"/>
    </w:rPr>
  </w:style>
  <w:style w:type="character" w:customStyle="1" w:styleId="SalutationChar">
    <w:name w:val="Salutation Char"/>
    <w:basedOn w:val="DefaultParagraphFont"/>
    <w:link w:val="Salutation"/>
    <w:rsid w:val="00B9660B"/>
    <w:rPr>
      <w:rFonts w:ascii="Tahoma" w:hAnsi="Tahoma"/>
      <w:szCs w:val="24"/>
    </w:rPr>
  </w:style>
  <w:style w:type="paragraph" w:styleId="Signature">
    <w:name w:val="Signature"/>
    <w:basedOn w:val="Normal"/>
    <w:link w:val="SignatureChar"/>
    <w:rsid w:val="00B9660B"/>
    <w:pPr>
      <w:ind w:left="4320"/>
    </w:pPr>
    <w:rPr>
      <w:rFonts w:ascii="Tahoma" w:hAnsi="Tahoma"/>
      <w:sz w:val="20"/>
    </w:rPr>
  </w:style>
  <w:style w:type="character" w:customStyle="1" w:styleId="SignatureChar">
    <w:name w:val="Signature Char"/>
    <w:basedOn w:val="DefaultParagraphFont"/>
    <w:link w:val="Signature"/>
    <w:rsid w:val="00B9660B"/>
    <w:rPr>
      <w:rFonts w:ascii="Tahoma" w:hAnsi="Tahoma"/>
      <w:szCs w:val="24"/>
    </w:rPr>
  </w:style>
  <w:style w:type="table" w:styleId="Table3Deffects1">
    <w:name w:val="Table 3D effects 1"/>
    <w:basedOn w:val="TableNormal"/>
    <w:rsid w:val="00B9660B"/>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9660B"/>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9660B"/>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9660B"/>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9660B"/>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9660B"/>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9660B"/>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9660B"/>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paragraph" w:styleId="Date">
    <w:name w:val="Date"/>
    <w:basedOn w:val="Normal"/>
    <w:next w:val="Normal"/>
    <w:link w:val="DateChar"/>
    <w:rsid w:val="00B9660B"/>
    <w:rPr>
      <w:rFonts w:ascii="Tahoma" w:hAnsi="Tahoma"/>
      <w:sz w:val="20"/>
    </w:rPr>
  </w:style>
  <w:style w:type="character" w:customStyle="1" w:styleId="DateChar">
    <w:name w:val="Date Char"/>
    <w:basedOn w:val="DefaultParagraphFont"/>
    <w:link w:val="Date"/>
    <w:rsid w:val="00B9660B"/>
    <w:rPr>
      <w:rFonts w:ascii="Tahoma" w:hAnsi="Tahoma"/>
      <w:szCs w:val="24"/>
    </w:rPr>
  </w:style>
  <w:style w:type="character" w:customStyle="1" w:styleId="BodyTextChar1">
    <w:name w:val="Body Text Char1"/>
    <w:basedOn w:val="DefaultParagraphFont"/>
    <w:rsid w:val="00B9660B"/>
    <w:rPr>
      <w:rFonts w:ascii="Tahoma" w:hAnsi="Tahoma"/>
      <w:spacing w:val="4"/>
      <w:sz w:val="18"/>
      <w:szCs w:val="18"/>
      <w:lang w:val="en-US" w:eastAsia="en-US" w:bidi="ar-SA"/>
    </w:rPr>
  </w:style>
  <w:style w:type="paragraph" w:customStyle="1" w:styleId="AppendixTitle">
    <w:name w:val="Appendix Title"/>
    <w:basedOn w:val="ChapterTitle"/>
    <w:next w:val="BodyText"/>
    <w:link w:val="AppendixTitleChar"/>
    <w:rsid w:val="00B9660B"/>
  </w:style>
  <w:style w:type="character" w:customStyle="1" w:styleId="InsideTitleChar">
    <w:name w:val="Inside Title Char"/>
    <w:basedOn w:val="DefaultParagraphFont"/>
    <w:link w:val="InsideTitle"/>
    <w:semiHidden/>
    <w:rsid w:val="00B9660B"/>
    <w:rPr>
      <w:rFonts w:ascii="Verdana" w:hAnsi="Verdana"/>
      <w:b/>
      <w:sz w:val="32"/>
    </w:rPr>
  </w:style>
  <w:style w:type="character" w:customStyle="1" w:styleId="ChapterTitleChar">
    <w:name w:val="Chapter Title Char"/>
    <w:basedOn w:val="InsideTitleChar"/>
    <w:link w:val="ChapterTitle"/>
    <w:rsid w:val="00B9660B"/>
    <w:rPr>
      <w:rFonts w:ascii="Tahoma" w:hAnsi="Tahoma"/>
      <w:b/>
      <w:sz w:val="32"/>
      <w:szCs w:val="28"/>
    </w:rPr>
  </w:style>
  <w:style w:type="character" w:customStyle="1" w:styleId="AppendixTitleChar">
    <w:name w:val="Appendix Title Char"/>
    <w:basedOn w:val="ChapterTitleChar"/>
    <w:link w:val="AppendixTitle"/>
    <w:rsid w:val="00B9660B"/>
    <w:rPr>
      <w:rFonts w:ascii="Tahoma" w:hAnsi="Tahoma"/>
      <w:b/>
      <w:sz w:val="32"/>
      <w:szCs w:val="28"/>
    </w:rPr>
  </w:style>
  <w:style w:type="character" w:customStyle="1" w:styleId="TOC3Char">
    <w:name w:val="TOC 3 Char"/>
    <w:basedOn w:val="Heading3Char"/>
    <w:link w:val="TOC3"/>
    <w:uiPriority w:val="39"/>
    <w:rsid w:val="00B9660B"/>
    <w:rPr>
      <w:rFonts w:ascii="Arial" w:hAnsi="Arial" w:cs="Arial"/>
      <w:b w:val="0"/>
      <w:bCs w:val="0"/>
      <w:sz w:val="24"/>
      <w:szCs w:val="24"/>
    </w:rPr>
  </w:style>
  <w:style w:type="table" w:customStyle="1" w:styleId="LightShading-Accent11">
    <w:name w:val="Light Shading - Accent 11"/>
    <w:basedOn w:val="TableNormal"/>
    <w:uiPriority w:val="60"/>
    <w:rsid w:val="00B9660B"/>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ReportTitle">
    <w:name w:val="Report Title"/>
    <w:basedOn w:val="Normal"/>
    <w:rsid w:val="00B9660B"/>
    <w:rPr>
      <w:rFonts w:ascii="Tahoma" w:hAnsi="Tahoma"/>
      <w:color w:val="1A1D5D"/>
    </w:rPr>
  </w:style>
  <w:style w:type="paragraph" w:customStyle="1" w:styleId="ReportData">
    <w:name w:val="Report Data"/>
    <w:basedOn w:val="Normal"/>
    <w:rsid w:val="00B9660B"/>
    <w:rPr>
      <w:rFonts w:ascii="Tahoma" w:hAnsi="Tahoma"/>
      <w:color w:val="1A1D5D"/>
      <w:sz w:val="20"/>
    </w:rPr>
  </w:style>
  <w:style w:type="paragraph" w:customStyle="1" w:styleId="ESTitle">
    <w:name w:val="ES Title"/>
    <w:basedOn w:val="ContentsTitle"/>
    <w:rsid w:val="00B9660B"/>
    <w:pPr>
      <w:outlineLvl w:val="9"/>
    </w:pPr>
  </w:style>
  <w:style w:type="paragraph" w:customStyle="1" w:styleId="BulletedListIndent">
    <w:name w:val="Bulleted List Indent"/>
    <w:basedOn w:val="BulletedList0"/>
    <w:qFormat/>
    <w:rsid w:val="00B9660B"/>
    <w:pPr>
      <w:numPr>
        <w:numId w:val="32"/>
      </w:numPr>
      <w:contextualSpacing w:val="0"/>
    </w:pPr>
  </w:style>
  <w:style w:type="paragraph" w:customStyle="1" w:styleId="BulletedListIndent2">
    <w:name w:val="Bulleted List Indent 2"/>
    <w:basedOn w:val="Normal"/>
    <w:qFormat/>
    <w:rsid w:val="00B9660B"/>
    <w:pPr>
      <w:numPr>
        <w:numId w:val="34"/>
      </w:numPr>
      <w:spacing w:after="240"/>
      <w:ind w:left="1080"/>
    </w:pPr>
    <w:rPr>
      <w:rFonts w:ascii="Tahoma" w:hAnsi="Tahoma"/>
      <w:sz w:val="20"/>
    </w:rPr>
  </w:style>
  <w:style w:type="paragraph" w:customStyle="1" w:styleId="ReportSubtitle">
    <w:name w:val="Report Subtitle"/>
    <w:rsid w:val="00B9660B"/>
    <w:pPr>
      <w:spacing w:before="60" w:after="180"/>
    </w:pPr>
    <w:rPr>
      <w:rFonts w:ascii="Tahoma" w:hAnsi="Tahoma"/>
      <w:i/>
      <w:color w:val="1A1D5D"/>
      <w:sz w:val="22"/>
      <w:szCs w:val="24"/>
    </w:rPr>
  </w:style>
  <w:style w:type="paragraph" w:customStyle="1" w:styleId="TableFigureCaption0">
    <w:name w:val="Table &amp; Figure Caption"/>
    <w:basedOn w:val="Normal"/>
    <w:next w:val="BodyText"/>
    <w:rsid w:val="00B9660B"/>
    <w:pPr>
      <w:keepNext/>
      <w:spacing w:before="360" w:after="60"/>
      <w:ind w:left="1080" w:hanging="1080"/>
    </w:pPr>
    <w:rPr>
      <w:rFonts w:ascii="Tahoma" w:hAnsi="Tahoma"/>
      <w:b/>
      <w:i/>
      <w:sz w:val="18"/>
      <w:szCs w:val="16"/>
    </w:rPr>
  </w:style>
  <w:style w:type="table" w:customStyle="1" w:styleId="EnerNOCReportTable">
    <w:name w:val="EnerNOC Report Table"/>
    <w:basedOn w:val="TableNormal"/>
    <w:rsid w:val="00B9660B"/>
    <w:rPr>
      <w:rFonts w:ascii="Calibri" w:hAnsi="Calibri"/>
    </w:rPr>
    <w:tblPr>
      <w:tblInd w:w="11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58" w:type="dxa"/>
        <w:left w:w="115" w:type="dxa"/>
        <w:bottom w:w="58" w:type="dxa"/>
        <w:right w:w="115" w:type="dxa"/>
      </w:tblCellMar>
    </w:tblPr>
    <w:tcPr>
      <w:vAlign w:val="center"/>
    </w:tcPr>
    <w:tblStylePr w:type="firstRow">
      <w:pPr>
        <w:jc w:val="center"/>
      </w:pPr>
      <w:rPr>
        <w:rFonts w:ascii="Calibri" w:hAnsi="Calibri"/>
        <w:b/>
        <w:color w:val="FFFFFF" w:themeColor="background1"/>
        <w:sz w:val="20"/>
      </w:rPr>
      <w:tblPr/>
      <w:tcPr>
        <w:shd w:val="clear" w:color="auto" w:fill="1F497D" w:themeFill="text2"/>
        <w:vAlign w:val="bottom"/>
      </w:tcPr>
    </w:tblStylePr>
  </w:style>
  <w:style w:type="character" w:customStyle="1" w:styleId="TableTextChar">
    <w:name w:val="Table Text Char"/>
    <w:basedOn w:val="DefaultParagraphFont"/>
    <w:link w:val="TableText"/>
    <w:locked/>
    <w:rsid w:val="00B9660B"/>
    <w:rPr>
      <w:rFonts w:ascii="Arial" w:hAnsi="Arial"/>
      <w:sz w:val="18"/>
      <w:szCs w:val="22"/>
    </w:rPr>
  </w:style>
  <w:style w:type="character" w:customStyle="1" w:styleId="TableHeadingsChar">
    <w:name w:val="Table Headings Char"/>
    <w:basedOn w:val="TableTextChar"/>
    <w:link w:val="TableHeadings"/>
    <w:locked/>
    <w:rsid w:val="00B9660B"/>
    <w:rPr>
      <w:rFonts w:ascii="Arial" w:hAnsi="Arial"/>
      <w:b/>
      <w:color w:val="FFFFFF" w:themeColor="background1"/>
      <w:sz w:val="18"/>
      <w:szCs w:val="22"/>
    </w:rPr>
  </w:style>
  <w:style w:type="paragraph" w:customStyle="1" w:styleId="Tabletext0">
    <w:name w:val="Table text"/>
    <w:basedOn w:val="BodyText"/>
    <w:rsid w:val="00B9660B"/>
    <w:pPr>
      <w:spacing w:after="180" w:line="240" w:lineRule="atLeast"/>
      <w:contextualSpacing/>
    </w:pPr>
    <w:rPr>
      <w:rFonts w:ascii="Verdana" w:hAnsi="Verdana"/>
      <w:b/>
      <w:bCs/>
      <w:spacing w:val="4"/>
      <w:sz w:val="16"/>
      <w:szCs w:val="16"/>
    </w:rPr>
  </w:style>
  <w:style w:type="paragraph" w:customStyle="1" w:styleId="Bulletedlistlevel2">
    <w:name w:val="Bulleted list level 2"/>
    <w:basedOn w:val="Normal"/>
    <w:link w:val="Bulletedlistlevel2Char"/>
    <w:rsid w:val="00B9660B"/>
    <w:pPr>
      <w:numPr>
        <w:numId w:val="37"/>
      </w:numPr>
      <w:tabs>
        <w:tab w:val="num" w:pos="1440"/>
      </w:tabs>
      <w:spacing w:after="180" w:line="240" w:lineRule="atLeast"/>
    </w:pPr>
    <w:rPr>
      <w:rFonts w:ascii="Tahoma" w:hAnsi="Tahoma"/>
      <w:spacing w:val="4"/>
      <w:sz w:val="20"/>
      <w:szCs w:val="18"/>
    </w:rPr>
  </w:style>
  <w:style w:type="character" w:customStyle="1" w:styleId="Bulletedlistlevel2Char">
    <w:name w:val="Bulleted list level 2 Char"/>
    <w:basedOn w:val="DefaultParagraphFont"/>
    <w:link w:val="Bulletedlistlevel2"/>
    <w:rsid w:val="00B9660B"/>
    <w:rPr>
      <w:rFonts w:ascii="Tahoma" w:hAnsi="Tahoma"/>
      <w:spacing w:val="4"/>
      <w:szCs w:val="18"/>
    </w:rPr>
  </w:style>
  <w:style w:type="character" w:customStyle="1" w:styleId="BulletedListChar">
    <w:name w:val="Bulleted List Char"/>
    <w:basedOn w:val="DefaultParagraphFont"/>
    <w:rsid w:val="00B9660B"/>
    <w:rPr>
      <w:rFonts w:ascii="Tahoma" w:hAnsi="Tahoma" w:cs="Tahoma"/>
      <w:spacing w:val="4"/>
      <w:sz w:val="18"/>
      <w:szCs w:val="18"/>
    </w:rPr>
  </w:style>
  <w:style w:type="paragraph" w:styleId="Revision">
    <w:name w:val="Revision"/>
    <w:hidden/>
    <w:uiPriority w:val="99"/>
    <w:semiHidden/>
    <w:rsid w:val="00B9660B"/>
    <w:rPr>
      <w:rFonts w:ascii="Tahoma" w:hAnsi="Tahoma"/>
      <w:szCs w:val="24"/>
    </w:rPr>
  </w:style>
  <w:style w:type="table" w:customStyle="1" w:styleId="LightList-Accent11">
    <w:name w:val="Light List - Accent 11"/>
    <w:basedOn w:val="TableNormal"/>
    <w:uiPriority w:val="61"/>
    <w:rsid w:val="00B9660B"/>
    <w:tblPr>
      <w:tblStyleRowBandSize w:val="1"/>
      <w:tblStyleColBandSize w:val="1"/>
      <w:tblBorders>
        <w:top w:val="single" w:sz="8" w:space="0" w:color="4C789D"/>
        <w:left w:val="single" w:sz="8" w:space="0" w:color="4C789D"/>
        <w:bottom w:val="single" w:sz="8" w:space="0" w:color="4C789D"/>
        <w:right w:val="single" w:sz="8" w:space="0" w:color="4C789D"/>
      </w:tblBorders>
    </w:tblPr>
    <w:tblStylePr w:type="firstRow">
      <w:pPr>
        <w:spacing w:before="0" w:after="0" w:line="240" w:lineRule="auto"/>
      </w:pPr>
      <w:rPr>
        <w:b/>
        <w:bCs/>
        <w:color w:val="FFFFFF"/>
      </w:rPr>
      <w:tblPr/>
      <w:tcPr>
        <w:shd w:val="clear" w:color="auto" w:fill="4C789D"/>
      </w:tcPr>
    </w:tblStylePr>
    <w:tblStylePr w:type="lastRow">
      <w:pPr>
        <w:spacing w:before="0" w:after="0" w:line="240" w:lineRule="auto"/>
      </w:pPr>
      <w:rPr>
        <w:b/>
        <w:bCs/>
      </w:rPr>
      <w:tblPr/>
      <w:tcPr>
        <w:tcBorders>
          <w:top w:val="double" w:sz="6" w:space="0" w:color="4C789D"/>
          <w:left w:val="single" w:sz="8" w:space="0" w:color="4C789D"/>
          <w:bottom w:val="single" w:sz="8" w:space="0" w:color="4C789D"/>
          <w:right w:val="single" w:sz="8" w:space="0" w:color="4C789D"/>
        </w:tcBorders>
      </w:tcPr>
    </w:tblStylePr>
    <w:tblStylePr w:type="firstCol">
      <w:rPr>
        <w:b/>
        <w:bCs/>
      </w:rPr>
    </w:tblStylePr>
    <w:tblStylePr w:type="lastCol">
      <w:rPr>
        <w:b/>
        <w:bCs/>
      </w:rPr>
    </w:tblStylePr>
    <w:tblStylePr w:type="band1Vert">
      <w:tblPr/>
      <w:tcPr>
        <w:tcBorders>
          <w:top w:val="single" w:sz="8" w:space="0" w:color="4C789D"/>
          <w:left w:val="single" w:sz="8" w:space="0" w:color="4C789D"/>
          <w:bottom w:val="single" w:sz="8" w:space="0" w:color="4C789D"/>
          <w:right w:val="single" w:sz="8" w:space="0" w:color="4C789D"/>
        </w:tcBorders>
      </w:tcPr>
    </w:tblStylePr>
    <w:tblStylePr w:type="band1Horz">
      <w:tblPr/>
      <w:tcPr>
        <w:tcBorders>
          <w:top w:val="single" w:sz="8" w:space="0" w:color="4C789D"/>
          <w:left w:val="single" w:sz="8" w:space="0" w:color="4C789D"/>
          <w:bottom w:val="single" w:sz="8" w:space="0" w:color="4C789D"/>
          <w:right w:val="single" w:sz="8" w:space="0" w:color="4C789D"/>
        </w:tcBorders>
      </w:tcPr>
    </w:tblStylePr>
  </w:style>
  <w:style w:type="table" w:customStyle="1" w:styleId="EnerNOCReportTable2">
    <w:name w:val="EnerNOC Report Table 2"/>
    <w:basedOn w:val="EnerNOCReportTable"/>
    <w:uiPriority w:val="99"/>
    <w:qFormat/>
    <w:rsid w:val="00B9660B"/>
    <w:rPr>
      <w:sz w:val="18"/>
    </w:rPr>
    <w:tblPr>
      <w:tblStyleRowBandSize w:val="1"/>
      <w:tblStyleColBandSize w:val="1"/>
    </w:tblPr>
    <w:trPr>
      <w:cantSplit/>
    </w:trPr>
    <w:tcPr>
      <w:shd w:val="clear" w:color="auto" w:fill="FFFFFF"/>
      <w:tcMar>
        <w:top w:w="14" w:type="dxa"/>
        <w:bottom w:w="14" w:type="dxa"/>
      </w:tcMar>
    </w:tcPr>
    <w:tblStylePr w:type="firstRow">
      <w:pPr>
        <w:jc w:val="center"/>
      </w:pPr>
      <w:rPr>
        <w:rFonts w:ascii="Calibri" w:hAnsi="Calibri"/>
        <w:b/>
        <w:color w:val="FFFFFF"/>
        <w:sz w:val="18"/>
      </w:rPr>
      <w:tblPr/>
      <w:trPr>
        <w:cantSplit w:val="0"/>
      </w:trPr>
      <w:tcPr>
        <w:shd w:val="clear" w:color="auto" w:fill="003E74"/>
        <w:vAlign w:val="bottom"/>
      </w:tcPr>
    </w:tblStylePr>
    <w:tblStylePr w:type="lastRow">
      <w:rPr>
        <w:rFonts w:ascii="Calibri" w:hAnsi="Calibri"/>
        <w:sz w:val="20"/>
      </w:rPr>
    </w:tblStylePr>
    <w:tblStylePr w:type="firstCol">
      <w:pPr>
        <w:jc w:val="left"/>
      </w:pPr>
      <w:rPr>
        <w:rFonts w:ascii="Calibri" w:hAnsi="Calibri"/>
        <w:sz w:val="18"/>
      </w:rPr>
      <w:tblPr/>
      <w:trPr>
        <w:cantSplit w:val="0"/>
      </w:trPr>
    </w:tblStylePr>
    <w:tblStylePr w:type="band1Vert">
      <w:pPr>
        <w:jc w:val="left"/>
      </w:pPr>
      <w:rPr>
        <w:rFonts w:ascii="Calibri" w:hAnsi="Calibri"/>
        <w:sz w:val="18"/>
      </w:rPr>
      <w:tblPr/>
      <w:trPr>
        <w:cantSplit w:val="0"/>
      </w:trPr>
    </w:tblStylePr>
    <w:tblStylePr w:type="band2Vert">
      <w:pPr>
        <w:jc w:val="left"/>
      </w:pPr>
      <w:rPr>
        <w:rFonts w:ascii="Calibri" w:hAnsi="Calibri"/>
        <w:sz w:val="18"/>
      </w:rPr>
      <w:tblPr/>
      <w:trPr>
        <w:cantSplit w:val="0"/>
      </w:trPr>
    </w:tblStylePr>
    <w:tblStylePr w:type="band1Horz">
      <w:rPr>
        <w:rFonts w:ascii="Calibri" w:hAnsi="Calibri"/>
        <w:sz w:val="18"/>
      </w:rPr>
      <w:tblPr/>
      <w:trPr>
        <w:cantSplit w:val="0"/>
      </w:trPr>
    </w:tblStylePr>
    <w:tblStylePr w:type="band2Horz">
      <w:pPr>
        <w:jc w:val="left"/>
      </w:pPr>
      <w:rPr>
        <w:rFonts w:ascii="Calibri" w:hAnsi="Calibri"/>
        <w:sz w:val="18"/>
      </w:rPr>
      <w:tblPr/>
      <w:trPr>
        <w:cantSplit w:val="0"/>
      </w:trPr>
      <w:tcPr>
        <w:vAlign w:val="top"/>
      </w:tcPr>
    </w:tblStylePr>
  </w:style>
  <w:style w:type="character" w:customStyle="1" w:styleId="BulletedListChar2">
    <w:name w:val="Bulleted List Char2"/>
    <w:basedOn w:val="DefaultParagraphFont"/>
    <w:rsid w:val="00B9660B"/>
    <w:rPr>
      <w:rFonts w:ascii="Tahoma" w:hAnsi="Tahoma" w:cs="Tahoma"/>
      <w:spacing w:val="4"/>
      <w:szCs w:val="18"/>
    </w:rPr>
  </w:style>
  <w:style w:type="paragraph" w:customStyle="1" w:styleId="FigureorTableCaption">
    <w:name w:val="Figure or Table Caption"/>
    <w:basedOn w:val="Normal"/>
    <w:next w:val="BodyText"/>
    <w:qFormat/>
    <w:rsid w:val="00B9660B"/>
    <w:pPr>
      <w:keepNext/>
      <w:spacing w:before="240" w:after="80"/>
      <w:ind w:left="1080" w:hanging="1080"/>
    </w:pPr>
    <w:rPr>
      <w:rFonts w:ascii="Tahoma" w:hAnsi="Tahoma"/>
      <w:b/>
      <w:i/>
      <w:sz w:val="20"/>
      <w:szCs w:val="16"/>
    </w:rPr>
  </w:style>
  <w:style w:type="paragraph" w:customStyle="1" w:styleId="FigureorTableTitle">
    <w:name w:val="Figure or Table Title"/>
    <w:basedOn w:val="Normal"/>
    <w:rsid w:val="00B9660B"/>
    <w:pPr>
      <w:keepNext/>
      <w:tabs>
        <w:tab w:val="left" w:pos="1152"/>
      </w:tabs>
      <w:spacing w:before="240" w:after="40"/>
    </w:pPr>
    <w:rPr>
      <w:rFonts w:ascii="Tahoma" w:hAnsi="Tahoma" w:cs="Calibri"/>
      <w:b/>
      <w:bCs/>
      <w:i/>
      <w:iCs/>
      <w:sz w:val="20"/>
      <w:szCs w:val="22"/>
    </w:rPr>
  </w:style>
  <w:style w:type="paragraph" w:customStyle="1" w:styleId="Belowbulletindent">
    <w:name w:val="Below bullet indent"/>
    <w:basedOn w:val="BulletedList0"/>
    <w:rsid w:val="00B9660B"/>
    <w:pPr>
      <w:numPr>
        <w:numId w:val="0"/>
      </w:numPr>
      <w:ind w:left="720"/>
      <w:contextualSpacing w:val="0"/>
    </w:pPr>
    <w:rPr>
      <w:color w:val="000000"/>
    </w:rPr>
  </w:style>
  <w:style w:type="paragraph" w:customStyle="1" w:styleId="Tablenote">
    <w:name w:val="Table note"/>
    <w:basedOn w:val="BodyText"/>
    <w:rsid w:val="00B9660B"/>
    <w:pPr>
      <w:spacing w:line="240" w:lineRule="atLeast"/>
    </w:pPr>
    <w:rPr>
      <w:rFonts w:ascii="Tahoma" w:hAnsi="Tahoma"/>
      <w:i/>
      <w:spacing w:val="4"/>
      <w:sz w:val="18"/>
      <w:szCs w:val="18"/>
    </w:rPr>
  </w:style>
  <w:style w:type="character" w:customStyle="1" w:styleId="BodyTextChar2">
    <w:name w:val="Body Text Char2"/>
    <w:basedOn w:val="DefaultParagraphFont"/>
    <w:rsid w:val="00B9660B"/>
    <w:rPr>
      <w:rFonts w:ascii="Tahoma" w:hAnsi="Tahoma"/>
      <w:spacing w:val="4"/>
      <w:szCs w:val="18"/>
      <w:lang w:val="en-US" w:eastAsia="en-US" w:bidi="ar-SA"/>
    </w:rPr>
  </w:style>
  <w:style w:type="paragraph" w:customStyle="1" w:styleId="Bulletedlist">
    <w:name w:val="Bulleted list"/>
    <w:basedOn w:val="BodyText"/>
    <w:rsid w:val="00B9660B"/>
    <w:pPr>
      <w:numPr>
        <w:numId w:val="35"/>
      </w:numPr>
      <w:spacing w:line="240" w:lineRule="atLeast"/>
    </w:pPr>
    <w:rPr>
      <w:rFonts w:ascii="Tahoma" w:hAnsi="Tahoma"/>
      <w:spacing w:val="4"/>
      <w:sz w:val="20"/>
      <w:szCs w:val="18"/>
    </w:rPr>
  </w:style>
  <w:style w:type="paragraph" w:customStyle="1" w:styleId="xl63">
    <w:name w:val="xl63"/>
    <w:basedOn w:val="Normal"/>
    <w:rsid w:val="00B9660B"/>
    <w:pPr>
      <w:pBdr>
        <w:top w:val="single" w:sz="4" w:space="0" w:color="7F7F7F"/>
        <w:left w:val="single" w:sz="4" w:space="0" w:color="7F7F7F"/>
        <w:bottom w:val="single" w:sz="4" w:space="0" w:color="7F7F7F"/>
        <w:right w:val="single" w:sz="4" w:space="0" w:color="7F7F7F"/>
      </w:pBdr>
      <w:shd w:val="clear" w:color="000000" w:fill="1F497D"/>
      <w:spacing w:before="100" w:beforeAutospacing="1" w:after="100" w:afterAutospacing="1"/>
      <w:jc w:val="center"/>
    </w:pPr>
    <w:rPr>
      <w:b/>
      <w:bCs/>
      <w:color w:val="FFFFFF"/>
      <w:sz w:val="16"/>
      <w:szCs w:val="16"/>
    </w:rPr>
  </w:style>
  <w:style w:type="paragraph" w:customStyle="1" w:styleId="xl64">
    <w:name w:val="xl64"/>
    <w:basedOn w:val="Normal"/>
    <w:rsid w:val="00B9660B"/>
    <w:pPr>
      <w:pBdr>
        <w:top w:val="single" w:sz="4" w:space="0" w:color="7F7F7F"/>
        <w:left w:val="single" w:sz="4" w:space="0" w:color="7F7F7F"/>
        <w:bottom w:val="single" w:sz="4" w:space="0" w:color="7F7F7F"/>
        <w:right w:val="single" w:sz="4" w:space="0" w:color="7F7F7F"/>
      </w:pBdr>
      <w:spacing w:before="100" w:beforeAutospacing="1" w:after="100" w:afterAutospacing="1"/>
    </w:pPr>
    <w:rPr>
      <w:sz w:val="16"/>
      <w:szCs w:val="16"/>
    </w:rPr>
  </w:style>
  <w:style w:type="paragraph" w:customStyle="1" w:styleId="xl65">
    <w:name w:val="xl65"/>
    <w:basedOn w:val="Normal"/>
    <w:rsid w:val="00B9660B"/>
    <w:pPr>
      <w:pBdr>
        <w:top w:val="single" w:sz="4" w:space="0" w:color="7F7F7F"/>
        <w:left w:val="single" w:sz="4" w:space="0" w:color="7F7F7F"/>
        <w:bottom w:val="single" w:sz="4" w:space="0" w:color="7F7F7F"/>
        <w:right w:val="single" w:sz="4" w:space="0" w:color="7F7F7F"/>
      </w:pBdr>
      <w:spacing w:before="100" w:beforeAutospacing="1" w:after="100" w:afterAutospacing="1"/>
    </w:pPr>
    <w:rPr>
      <w:sz w:val="16"/>
      <w:szCs w:val="16"/>
    </w:rPr>
  </w:style>
  <w:style w:type="paragraph" w:customStyle="1" w:styleId="xl66">
    <w:name w:val="xl66"/>
    <w:basedOn w:val="Normal"/>
    <w:rsid w:val="00B9660B"/>
    <w:pPr>
      <w:pBdr>
        <w:top w:val="single" w:sz="4" w:space="0" w:color="7F7F7F"/>
        <w:left w:val="single" w:sz="4" w:space="0" w:color="7F7F7F"/>
        <w:bottom w:val="single" w:sz="4" w:space="0" w:color="7F7F7F"/>
        <w:right w:val="single" w:sz="4" w:space="0" w:color="7F7F7F"/>
      </w:pBdr>
      <w:spacing w:before="100" w:beforeAutospacing="1" w:after="100" w:afterAutospacing="1"/>
    </w:pPr>
    <w:rPr>
      <w:sz w:val="16"/>
      <w:szCs w:val="16"/>
    </w:rPr>
  </w:style>
  <w:style w:type="paragraph" w:customStyle="1" w:styleId="xl67">
    <w:name w:val="xl67"/>
    <w:basedOn w:val="Normal"/>
    <w:rsid w:val="00B9660B"/>
    <w:pPr>
      <w:pBdr>
        <w:top w:val="single" w:sz="4" w:space="0" w:color="7F7F7F"/>
        <w:left w:val="single" w:sz="4" w:space="0" w:color="7F7F7F"/>
        <w:bottom w:val="single" w:sz="4" w:space="0" w:color="7F7F7F"/>
        <w:right w:val="single" w:sz="4" w:space="0" w:color="7F7F7F"/>
      </w:pBdr>
      <w:spacing w:before="100" w:beforeAutospacing="1" w:after="100" w:afterAutospacing="1"/>
    </w:pPr>
    <w:rPr>
      <w:sz w:val="18"/>
      <w:szCs w:val="18"/>
    </w:rPr>
  </w:style>
  <w:style w:type="paragraph" w:customStyle="1" w:styleId="xl68">
    <w:name w:val="xl68"/>
    <w:basedOn w:val="Normal"/>
    <w:rsid w:val="00B9660B"/>
    <w:pPr>
      <w:pBdr>
        <w:top w:val="single" w:sz="4" w:space="0" w:color="7F7F7F"/>
        <w:left w:val="single" w:sz="4" w:space="0" w:color="7F7F7F"/>
        <w:bottom w:val="single" w:sz="4" w:space="0" w:color="7F7F7F"/>
        <w:right w:val="single" w:sz="4" w:space="0" w:color="7F7F7F"/>
      </w:pBdr>
      <w:spacing w:before="100" w:beforeAutospacing="1" w:after="100" w:afterAutospacing="1"/>
    </w:pPr>
    <w:rPr>
      <w:sz w:val="18"/>
      <w:szCs w:val="18"/>
    </w:rPr>
  </w:style>
  <w:style w:type="paragraph" w:customStyle="1" w:styleId="xl69">
    <w:name w:val="xl69"/>
    <w:basedOn w:val="Normal"/>
    <w:rsid w:val="00B9660B"/>
    <w:pPr>
      <w:pBdr>
        <w:top w:val="single" w:sz="4" w:space="0" w:color="7F7F7F"/>
        <w:left w:val="single" w:sz="4" w:space="0" w:color="7F7F7F"/>
        <w:bottom w:val="single" w:sz="4" w:space="0" w:color="7F7F7F"/>
        <w:right w:val="single" w:sz="4" w:space="0" w:color="7F7F7F"/>
      </w:pBdr>
      <w:spacing w:before="100" w:beforeAutospacing="1" w:after="100" w:afterAutospacing="1"/>
      <w:jc w:val="right"/>
      <w:textAlignment w:val="center"/>
    </w:pPr>
    <w:rPr>
      <w:sz w:val="18"/>
      <w:szCs w:val="18"/>
    </w:rPr>
  </w:style>
  <w:style w:type="paragraph" w:customStyle="1" w:styleId="xl70">
    <w:name w:val="xl70"/>
    <w:basedOn w:val="Normal"/>
    <w:rsid w:val="00B9660B"/>
    <w:pPr>
      <w:pBdr>
        <w:top w:val="single" w:sz="4" w:space="0" w:color="7F7F7F"/>
        <w:left w:val="single" w:sz="4" w:space="0" w:color="7F7F7F"/>
        <w:bottom w:val="single" w:sz="4" w:space="0" w:color="7F7F7F"/>
        <w:right w:val="single" w:sz="4" w:space="0" w:color="7F7F7F"/>
      </w:pBdr>
      <w:spacing w:before="100" w:beforeAutospacing="1" w:after="100" w:afterAutospacing="1"/>
      <w:jc w:val="center"/>
      <w:textAlignment w:val="center"/>
    </w:pPr>
    <w:rPr>
      <w:sz w:val="18"/>
      <w:szCs w:val="18"/>
    </w:rPr>
  </w:style>
  <w:style w:type="paragraph" w:customStyle="1" w:styleId="xl71">
    <w:name w:val="xl71"/>
    <w:basedOn w:val="Normal"/>
    <w:rsid w:val="00B9660B"/>
    <w:pPr>
      <w:pBdr>
        <w:top w:val="single" w:sz="4" w:space="0" w:color="7F7F7F"/>
        <w:left w:val="single" w:sz="4" w:space="0" w:color="7F7F7F"/>
        <w:bottom w:val="single" w:sz="4" w:space="0" w:color="7F7F7F"/>
        <w:right w:val="single" w:sz="4" w:space="0" w:color="7F7F7F"/>
      </w:pBdr>
      <w:spacing w:before="100" w:beforeAutospacing="1" w:after="100" w:afterAutospacing="1"/>
      <w:textAlignment w:val="center"/>
    </w:pPr>
    <w:rPr>
      <w:sz w:val="18"/>
      <w:szCs w:val="18"/>
    </w:rPr>
  </w:style>
  <w:style w:type="character" w:customStyle="1" w:styleId="BodyTextIndent2Char">
    <w:name w:val="Body Text Indent 2 Char"/>
    <w:basedOn w:val="DefaultParagraphFont"/>
    <w:link w:val="BodyTextIndent2"/>
    <w:rsid w:val="00B9660B"/>
    <w:rPr>
      <w:sz w:val="24"/>
      <w:szCs w:val="24"/>
    </w:rPr>
  </w:style>
  <w:style w:type="paragraph" w:customStyle="1" w:styleId="table">
    <w:name w:val="table"/>
    <w:basedOn w:val="Normal"/>
    <w:rsid w:val="00B9660B"/>
    <w:pPr>
      <w:ind w:right="144"/>
      <w:jc w:val="right"/>
    </w:pPr>
    <w:rPr>
      <w:rFonts w:ascii="Calibri" w:hAnsi="Calibri"/>
      <w:color w:val="000000"/>
      <w:sz w:val="16"/>
      <w:szCs w:val="16"/>
    </w:rPr>
  </w:style>
  <w:style w:type="paragraph" w:customStyle="1" w:styleId="Bulletlistindent1">
    <w:name w:val="Bullet list indent 1"/>
    <w:basedOn w:val="BulletedList0"/>
    <w:rsid w:val="00B9660B"/>
    <w:pPr>
      <w:numPr>
        <w:numId w:val="36"/>
      </w:numPr>
      <w:tabs>
        <w:tab w:val="left" w:pos="360"/>
      </w:tabs>
      <w:ind w:left="720"/>
      <w:contextualSpacing w:val="0"/>
    </w:pPr>
    <w:rPr>
      <w:sz w:val="18"/>
    </w:rPr>
  </w:style>
  <w:style w:type="paragraph" w:customStyle="1" w:styleId="FigureorTableheading">
    <w:name w:val="Figure or Table heading"/>
    <w:basedOn w:val="Normal"/>
    <w:qFormat/>
    <w:rsid w:val="00B9660B"/>
    <w:pPr>
      <w:keepNext/>
      <w:tabs>
        <w:tab w:val="left" w:pos="1152"/>
      </w:tabs>
      <w:spacing w:before="240" w:after="40"/>
    </w:pPr>
    <w:rPr>
      <w:rFonts w:ascii="Tahoma" w:hAnsi="Tahoma" w:cs="Calibri"/>
      <w:b/>
      <w:bCs/>
      <w:i/>
      <w:iCs/>
      <w:sz w:val="20"/>
      <w:szCs w:val="22"/>
    </w:rPr>
  </w:style>
  <w:style w:type="paragraph" w:customStyle="1" w:styleId="ReportAuthors">
    <w:name w:val="Report Authors"/>
    <w:basedOn w:val="BodyText"/>
    <w:rsid w:val="00B9660B"/>
    <w:pPr>
      <w:tabs>
        <w:tab w:val="left" w:pos="1710"/>
      </w:tabs>
      <w:spacing w:after="0" w:line="240" w:lineRule="atLeast"/>
      <w:ind w:left="1714" w:hanging="1714"/>
    </w:pPr>
    <w:rPr>
      <w:rFonts w:ascii="Tahoma" w:hAnsi="Tahoma"/>
      <w:spacing w:val="4"/>
      <w:sz w:val="20"/>
      <w:szCs w:val="18"/>
    </w:rPr>
  </w:style>
  <w:style w:type="paragraph" w:customStyle="1" w:styleId="TableTextCentered">
    <w:name w:val="Table Text Centered"/>
    <w:basedOn w:val="TableText"/>
    <w:rsid w:val="00B9660B"/>
    <w:pPr>
      <w:spacing w:before="40" w:after="40"/>
      <w:jc w:val="center"/>
    </w:pPr>
    <w:rPr>
      <w:rFonts w:ascii="Calibri" w:hAnsi="Calibri" w:cs="Tahoma"/>
      <w:sz w:val="20"/>
      <w:szCs w:val="20"/>
    </w:rPr>
  </w:style>
  <w:style w:type="paragraph" w:customStyle="1" w:styleId="TableTextLeft">
    <w:name w:val="Table Text Left"/>
    <w:basedOn w:val="TableTextCentered"/>
    <w:rsid w:val="00B9660B"/>
    <w:pPr>
      <w:jc w:val="left"/>
    </w:pPr>
  </w:style>
  <w:style w:type="paragraph" w:customStyle="1" w:styleId="TableTextRight">
    <w:name w:val="Table Text Right"/>
    <w:basedOn w:val="Normal"/>
    <w:rsid w:val="00B9660B"/>
    <w:pPr>
      <w:jc w:val="right"/>
    </w:pPr>
    <w:rPr>
      <w:rFonts w:ascii="Calibri" w:hAnsi="Calibri"/>
      <w:color w:val="000000"/>
      <w:sz w:val="20"/>
      <w:szCs w:val="20"/>
    </w:rPr>
  </w:style>
  <w:style w:type="paragraph" w:customStyle="1" w:styleId="ESSubheading">
    <w:name w:val="ES Subheading"/>
    <w:basedOn w:val="Heading3"/>
    <w:rsid w:val="00B9660B"/>
    <w:pPr>
      <w:numPr>
        <w:ilvl w:val="0"/>
        <w:numId w:val="0"/>
      </w:numPr>
      <w:spacing w:after="40"/>
      <w:outlineLvl w:val="9"/>
    </w:pPr>
    <w:rPr>
      <w:rFonts w:ascii="Tahoma" w:hAnsi="Tahoma"/>
      <w:sz w:val="22"/>
      <w:szCs w:val="18"/>
    </w:rPr>
  </w:style>
  <w:style w:type="paragraph" w:customStyle="1" w:styleId="Tablefigurefooter">
    <w:name w:val="Table/figure footer"/>
    <w:basedOn w:val="BodyText"/>
    <w:rsid w:val="00B9660B"/>
    <w:pPr>
      <w:spacing w:before="80" w:after="240" w:line="240" w:lineRule="atLeast"/>
    </w:pPr>
    <w:rPr>
      <w:rFonts w:ascii="Calibri" w:hAnsi="Calibri"/>
      <w:sz w:val="20"/>
      <w:szCs w:val="18"/>
    </w:rPr>
  </w:style>
  <w:style w:type="paragraph" w:customStyle="1" w:styleId="TableTextLeftBold">
    <w:name w:val="Table Text Left Bold"/>
    <w:basedOn w:val="TableTextLeft"/>
    <w:rsid w:val="00B9660B"/>
    <w:rPr>
      <w:b/>
    </w:rPr>
  </w:style>
  <w:style w:type="character" w:customStyle="1" w:styleId="apple-converted-space">
    <w:name w:val="apple-converted-space"/>
    <w:basedOn w:val="DefaultParagraphFont"/>
    <w:rsid w:val="00B9660B"/>
  </w:style>
  <w:style w:type="character" w:customStyle="1" w:styleId="ListParagraphChar">
    <w:name w:val="List Paragraph Char"/>
    <w:basedOn w:val="DefaultParagraphFont"/>
    <w:link w:val="ListParagraph"/>
    <w:uiPriority w:val="34"/>
    <w:rsid w:val="00B9660B"/>
    <w:rPr>
      <w:sz w:val="24"/>
      <w:szCs w:val="24"/>
    </w:rPr>
  </w:style>
  <w:style w:type="paragraph" w:customStyle="1" w:styleId="ResumeBullet">
    <w:name w:val="Resume Bullet"/>
    <w:basedOn w:val="Normal"/>
    <w:qFormat/>
    <w:rsid w:val="00B9660B"/>
    <w:pPr>
      <w:numPr>
        <w:numId w:val="38"/>
      </w:numPr>
      <w:tabs>
        <w:tab w:val="left" w:pos="400"/>
      </w:tabs>
      <w:spacing w:after="120"/>
    </w:pPr>
    <w:rPr>
      <w:rFonts w:ascii="Tahoma" w:hAnsi="Tahoma"/>
      <w:sz w:val="18"/>
      <w:szCs w:val="20"/>
    </w:rPr>
  </w:style>
  <w:style w:type="character" w:customStyle="1" w:styleId="DocumentMapChar">
    <w:name w:val="Document Map Char"/>
    <w:basedOn w:val="DefaultParagraphFont"/>
    <w:link w:val="DocumentMap"/>
    <w:semiHidden/>
    <w:rsid w:val="00DD0D4B"/>
    <w:rPr>
      <w:rFonts w:ascii="Tahoma" w:hAnsi="Tahoma" w:cs="Tahoma"/>
      <w:shd w:val="clear" w:color="auto" w:fill="000080"/>
    </w:rPr>
  </w:style>
  <w:style w:type="paragraph" w:customStyle="1" w:styleId="Default">
    <w:name w:val="Default"/>
    <w:rsid w:val="00DD0D4B"/>
    <w:pPr>
      <w:autoSpaceDE w:val="0"/>
      <w:autoSpaceDN w:val="0"/>
      <w:adjustRightInd w:val="0"/>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8871707">
      <w:bodyDiv w:val="1"/>
      <w:marLeft w:val="0"/>
      <w:marRight w:val="0"/>
      <w:marTop w:val="0"/>
      <w:marBottom w:val="0"/>
      <w:divBdr>
        <w:top w:val="none" w:sz="0" w:space="0" w:color="auto"/>
        <w:left w:val="none" w:sz="0" w:space="0" w:color="auto"/>
        <w:bottom w:val="none" w:sz="0" w:space="0" w:color="auto"/>
        <w:right w:val="none" w:sz="0" w:space="0" w:color="auto"/>
      </w:divBdr>
    </w:div>
    <w:div w:id="36858220">
      <w:bodyDiv w:val="1"/>
      <w:marLeft w:val="0"/>
      <w:marRight w:val="0"/>
      <w:marTop w:val="0"/>
      <w:marBottom w:val="0"/>
      <w:divBdr>
        <w:top w:val="none" w:sz="0" w:space="0" w:color="auto"/>
        <w:left w:val="none" w:sz="0" w:space="0" w:color="auto"/>
        <w:bottom w:val="none" w:sz="0" w:space="0" w:color="auto"/>
        <w:right w:val="none" w:sz="0" w:space="0" w:color="auto"/>
      </w:divBdr>
    </w:div>
    <w:div w:id="141241884">
      <w:bodyDiv w:val="1"/>
      <w:marLeft w:val="0"/>
      <w:marRight w:val="0"/>
      <w:marTop w:val="0"/>
      <w:marBottom w:val="0"/>
      <w:divBdr>
        <w:top w:val="none" w:sz="0" w:space="0" w:color="auto"/>
        <w:left w:val="none" w:sz="0" w:space="0" w:color="auto"/>
        <w:bottom w:val="none" w:sz="0" w:space="0" w:color="auto"/>
        <w:right w:val="none" w:sz="0" w:space="0" w:color="auto"/>
      </w:divBdr>
    </w:div>
    <w:div w:id="161818816">
      <w:bodyDiv w:val="1"/>
      <w:marLeft w:val="0"/>
      <w:marRight w:val="0"/>
      <w:marTop w:val="0"/>
      <w:marBottom w:val="0"/>
      <w:divBdr>
        <w:top w:val="none" w:sz="0" w:space="0" w:color="auto"/>
        <w:left w:val="none" w:sz="0" w:space="0" w:color="auto"/>
        <w:bottom w:val="none" w:sz="0" w:space="0" w:color="auto"/>
        <w:right w:val="none" w:sz="0" w:space="0" w:color="auto"/>
      </w:divBdr>
    </w:div>
    <w:div w:id="230628586">
      <w:bodyDiv w:val="1"/>
      <w:marLeft w:val="0"/>
      <w:marRight w:val="0"/>
      <w:marTop w:val="0"/>
      <w:marBottom w:val="0"/>
      <w:divBdr>
        <w:top w:val="none" w:sz="0" w:space="0" w:color="auto"/>
        <w:left w:val="none" w:sz="0" w:space="0" w:color="auto"/>
        <w:bottom w:val="none" w:sz="0" w:space="0" w:color="auto"/>
        <w:right w:val="none" w:sz="0" w:space="0" w:color="auto"/>
      </w:divBdr>
    </w:div>
    <w:div w:id="242491681">
      <w:bodyDiv w:val="1"/>
      <w:marLeft w:val="0"/>
      <w:marRight w:val="0"/>
      <w:marTop w:val="0"/>
      <w:marBottom w:val="0"/>
      <w:divBdr>
        <w:top w:val="none" w:sz="0" w:space="0" w:color="auto"/>
        <w:left w:val="none" w:sz="0" w:space="0" w:color="auto"/>
        <w:bottom w:val="none" w:sz="0" w:space="0" w:color="auto"/>
        <w:right w:val="none" w:sz="0" w:space="0" w:color="auto"/>
      </w:divBdr>
    </w:div>
    <w:div w:id="246381154">
      <w:bodyDiv w:val="1"/>
      <w:marLeft w:val="0"/>
      <w:marRight w:val="0"/>
      <w:marTop w:val="0"/>
      <w:marBottom w:val="0"/>
      <w:divBdr>
        <w:top w:val="none" w:sz="0" w:space="0" w:color="auto"/>
        <w:left w:val="none" w:sz="0" w:space="0" w:color="auto"/>
        <w:bottom w:val="none" w:sz="0" w:space="0" w:color="auto"/>
        <w:right w:val="none" w:sz="0" w:space="0" w:color="auto"/>
      </w:divBdr>
    </w:div>
    <w:div w:id="260452505">
      <w:bodyDiv w:val="1"/>
      <w:marLeft w:val="0"/>
      <w:marRight w:val="0"/>
      <w:marTop w:val="0"/>
      <w:marBottom w:val="0"/>
      <w:divBdr>
        <w:top w:val="none" w:sz="0" w:space="0" w:color="auto"/>
        <w:left w:val="none" w:sz="0" w:space="0" w:color="auto"/>
        <w:bottom w:val="none" w:sz="0" w:space="0" w:color="auto"/>
        <w:right w:val="none" w:sz="0" w:space="0" w:color="auto"/>
      </w:divBdr>
    </w:div>
    <w:div w:id="287054389">
      <w:bodyDiv w:val="1"/>
      <w:marLeft w:val="0"/>
      <w:marRight w:val="0"/>
      <w:marTop w:val="0"/>
      <w:marBottom w:val="0"/>
      <w:divBdr>
        <w:top w:val="none" w:sz="0" w:space="0" w:color="auto"/>
        <w:left w:val="none" w:sz="0" w:space="0" w:color="auto"/>
        <w:bottom w:val="none" w:sz="0" w:space="0" w:color="auto"/>
        <w:right w:val="none" w:sz="0" w:space="0" w:color="auto"/>
      </w:divBdr>
    </w:div>
    <w:div w:id="307129865">
      <w:bodyDiv w:val="1"/>
      <w:marLeft w:val="0"/>
      <w:marRight w:val="0"/>
      <w:marTop w:val="0"/>
      <w:marBottom w:val="0"/>
      <w:divBdr>
        <w:top w:val="none" w:sz="0" w:space="0" w:color="auto"/>
        <w:left w:val="none" w:sz="0" w:space="0" w:color="auto"/>
        <w:bottom w:val="none" w:sz="0" w:space="0" w:color="auto"/>
        <w:right w:val="none" w:sz="0" w:space="0" w:color="auto"/>
      </w:divBdr>
    </w:div>
    <w:div w:id="363214812">
      <w:bodyDiv w:val="1"/>
      <w:marLeft w:val="0"/>
      <w:marRight w:val="0"/>
      <w:marTop w:val="0"/>
      <w:marBottom w:val="0"/>
      <w:divBdr>
        <w:top w:val="none" w:sz="0" w:space="0" w:color="auto"/>
        <w:left w:val="none" w:sz="0" w:space="0" w:color="auto"/>
        <w:bottom w:val="none" w:sz="0" w:space="0" w:color="auto"/>
        <w:right w:val="none" w:sz="0" w:space="0" w:color="auto"/>
      </w:divBdr>
    </w:div>
    <w:div w:id="462893499">
      <w:bodyDiv w:val="1"/>
      <w:marLeft w:val="0"/>
      <w:marRight w:val="0"/>
      <w:marTop w:val="0"/>
      <w:marBottom w:val="0"/>
      <w:divBdr>
        <w:top w:val="none" w:sz="0" w:space="0" w:color="auto"/>
        <w:left w:val="none" w:sz="0" w:space="0" w:color="auto"/>
        <w:bottom w:val="none" w:sz="0" w:space="0" w:color="auto"/>
        <w:right w:val="none" w:sz="0" w:space="0" w:color="auto"/>
      </w:divBdr>
    </w:div>
    <w:div w:id="552430828">
      <w:bodyDiv w:val="1"/>
      <w:marLeft w:val="0"/>
      <w:marRight w:val="0"/>
      <w:marTop w:val="0"/>
      <w:marBottom w:val="0"/>
      <w:divBdr>
        <w:top w:val="none" w:sz="0" w:space="0" w:color="auto"/>
        <w:left w:val="none" w:sz="0" w:space="0" w:color="auto"/>
        <w:bottom w:val="none" w:sz="0" w:space="0" w:color="auto"/>
        <w:right w:val="none" w:sz="0" w:space="0" w:color="auto"/>
      </w:divBdr>
    </w:div>
    <w:div w:id="557403810">
      <w:bodyDiv w:val="1"/>
      <w:marLeft w:val="0"/>
      <w:marRight w:val="0"/>
      <w:marTop w:val="0"/>
      <w:marBottom w:val="0"/>
      <w:divBdr>
        <w:top w:val="none" w:sz="0" w:space="0" w:color="auto"/>
        <w:left w:val="none" w:sz="0" w:space="0" w:color="auto"/>
        <w:bottom w:val="none" w:sz="0" w:space="0" w:color="auto"/>
        <w:right w:val="none" w:sz="0" w:space="0" w:color="auto"/>
      </w:divBdr>
    </w:div>
    <w:div w:id="597715199">
      <w:bodyDiv w:val="1"/>
      <w:marLeft w:val="0"/>
      <w:marRight w:val="0"/>
      <w:marTop w:val="0"/>
      <w:marBottom w:val="0"/>
      <w:divBdr>
        <w:top w:val="none" w:sz="0" w:space="0" w:color="auto"/>
        <w:left w:val="none" w:sz="0" w:space="0" w:color="auto"/>
        <w:bottom w:val="none" w:sz="0" w:space="0" w:color="auto"/>
        <w:right w:val="none" w:sz="0" w:space="0" w:color="auto"/>
      </w:divBdr>
    </w:div>
    <w:div w:id="616453604">
      <w:bodyDiv w:val="1"/>
      <w:marLeft w:val="0"/>
      <w:marRight w:val="0"/>
      <w:marTop w:val="0"/>
      <w:marBottom w:val="0"/>
      <w:divBdr>
        <w:top w:val="none" w:sz="0" w:space="0" w:color="auto"/>
        <w:left w:val="none" w:sz="0" w:space="0" w:color="auto"/>
        <w:bottom w:val="none" w:sz="0" w:space="0" w:color="auto"/>
        <w:right w:val="none" w:sz="0" w:space="0" w:color="auto"/>
      </w:divBdr>
    </w:div>
    <w:div w:id="755519710">
      <w:bodyDiv w:val="1"/>
      <w:marLeft w:val="0"/>
      <w:marRight w:val="0"/>
      <w:marTop w:val="0"/>
      <w:marBottom w:val="0"/>
      <w:divBdr>
        <w:top w:val="none" w:sz="0" w:space="0" w:color="auto"/>
        <w:left w:val="none" w:sz="0" w:space="0" w:color="auto"/>
        <w:bottom w:val="none" w:sz="0" w:space="0" w:color="auto"/>
        <w:right w:val="none" w:sz="0" w:space="0" w:color="auto"/>
      </w:divBdr>
    </w:div>
    <w:div w:id="793600605">
      <w:bodyDiv w:val="1"/>
      <w:marLeft w:val="0"/>
      <w:marRight w:val="0"/>
      <w:marTop w:val="0"/>
      <w:marBottom w:val="0"/>
      <w:divBdr>
        <w:top w:val="none" w:sz="0" w:space="0" w:color="auto"/>
        <w:left w:val="none" w:sz="0" w:space="0" w:color="auto"/>
        <w:bottom w:val="none" w:sz="0" w:space="0" w:color="auto"/>
        <w:right w:val="none" w:sz="0" w:space="0" w:color="auto"/>
      </w:divBdr>
    </w:div>
    <w:div w:id="812479409">
      <w:bodyDiv w:val="1"/>
      <w:marLeft w:val="0"/>
      <w:marRight w:val="0"/>
      <w:marTop w:val="0"/>
      <w:marBottom w:val="0"/>
      <w:divBdr>
        <w:top w:val="none" w:sz="0" w:space="0" w:color="auto"/>
        <w:left w:val="none" w:sz="0" w:space="0" w:color="auto"/>
        <w:bottom w:val="none" w:sz="0" w:space="0" w:color="auto"/>
        <w:right w:val="none" w:sz="0" w:space="0" w:color="auto"/>
      </w:divBdr>
    </w:div>
    <w:div w:id="864176338">
      <w:bodyDiv w:val="1"/>
      <w:marLeft w:val="0"/>
      <w:marRight w:val="0"/>
      <w:marTop w:val="0"/>
      <w:marBottom w:val="0"/>
      <w:divBdr>
        <w:top w:val="none" w:sz="0" w:space="0" w:color="auto"/>
        <w:left w:val="none" w:sz="0" w:space="0" w:color="auto"/>
        <w:bottom w:val="none" w:sz="0" w:space="0" w:color="auto"/>
        <w:right w:val="none" w:sz="0" w:space="0" w:color="auto"/>
      </w:divBdr>
    </w:div>
    <w:div w:id="1094983502">
      <w:bodyDiv w:val="1"/>
      <w:marLeft w:val="0"/>
      <w:marRight w:val="0"/>
      <w:marTop w:val="0"/>
      <w:marBottom w:val="0"/>
      <w:divBdr>
        <w:top w:val="none" w:sz="0" w:space="0" w:color="auto"/>
        <w:left w:val="none" w:sz="0" w:space="0" w:color="auto"/>
        <w:bottom w:val="none" w:sz="0" w:space="0" w:color="auto"/>
        <w:right w:val="none" w:sz="0" w:space="0" w:color="auto"/>
      </w:divBdr>
    </w:div>
    <w:div w:id="1118529482">
      <w:bodyDiv w:val="1"/>
      <w:marLeft w:val="0"/>
      <w:marRight w:val="0"/>
      <w:marTop w:val="0"/>
      <w:marBottom w:val="0"/>
      <w:divBdr>
        <w:top w:val="none" w:sz="0" w:space="0" w:color="auto"/>
        <w:left w:val="none" w:sz="0" w:space="0" w:color="auto"/>
        <w:bottom w:val="none" w:sz="0" w:space="0" w:color="auto"/>
        <w:right w:val="none" w:sz="0" w:space="0" w:color="auto"/>
      </w:divBdr>
    </w:div>
    <w:div w:id="1123690539">
      <w:bodyDiv w:val="1"/>
      <w:marLeft w:val="0"/>
      <w:marRight w:val="0"/>
      <w:marTop w:val="0"/>
      <w:marBottom w:val="0"/>
      <w:divBdr>
        <w:top w:val="none" w:sz="0" w:space="0" w:color="auto"/>
        <w:left w:val="none" w:sz="0" w:space="0" w:color="auto"/>
        <w:bottom w:val="none" w:sz="0" w:space="0" w:color="auto"/>
        <w:right w:val="none" w:sz="0" w:space="0" w:color="auto"/>
      </w:divBdr>
    </w:div>
    <w:div w:id="1197229336">
      <w:bodyDiv w:val="1"/>
      <w:marLeft w:val="0"/>
      <w:marRight w:val="0"/>
      <w:marTop w:val="0"/>
      <w:marBottom w:val="0"/>
      <w:divBdr>
        <w:top w:val="none" w:sz="0" w:space="0" w:color="auto"/>
        <w:left w:val="none" w:sz="0" w:space="0" w:color="auto"/>
        <w:bottom w:val="none" w:sz="0" w:space="0" w:color="auto"/>
        <w:right w:val="none" w:sz="0" w:space="0" w:color="auto"/>
      </w:divBdr>
    </w:div>
    <w:div w:id="1286503039">
      <w:bodyDiv w:val="1"/>
      <w:marLeft w:val="0"/>
      <w:marRight w:val="0"/>
      <w:marTop w:val="0"/>
      <w:marBottom w:val="0"/>
      <w:divBdr>
        <w:top w:val="none" w:sz="0" w:space="0" w:color="auto"/>
        <w:left w:val="none" w:sz="0" w:space="0" w:color="auto"/>
        <w:bottom w:val="none" w:sz="0" w:space="0" w:color="auto"/>
        <w:right w:val="none" w:sz="0" w:space="0" w:color="auto"/>
      </w:divBdr>
    </w:div>
    <w:div w:id="1339381862">
      <w:bodyDiv w:val="1"/>
      <w:marLeft w:val="0"/>
      <w:marRight w:val="0"/>
      <w:marTop w:val="0"/>
      <w:marBottom w:val="0"/>
      <w:divBdr>
        <w:top w:val="none" w:sz="0" w:space="0" w:color="auto"/>
        <w:left w:val="none" w:sz="0" w:space="0" w:color="auto"/>
        <w:bottom w:val="none" w:sz="0" w:space="0" w:color="auto"/>
        <w:right w:val="none" w:sz="0" w:space="0" w:color="auto"/>
      </w:divBdr>
    </w:div>
    <w:div w:id="1377390637">
      <w:bodyDiv w:val="1"/>
      <w:marLeft w:val="0"/>
      <w:marRight w:val="0"/>
      <w:marTop w:val="0"/>
      <w:marBottom w:val="0"/>
      <w:divBdr>
        <w:top w:val="none" w:sz="0" w:space="0" w:color="auto"/>
        <w:left w:val="none" w:sz="0" w:space="0" w:color="auto"/>
        <w:bottom w:val="none" w:sz="0" w:space="0" w:color="auto"/>
        <w:right w:val="none" w:sz="0" w:space="0" w:color="auto"/>
      </w:divBdr>
    </w:div>
    <w:div w:id="1389573064">
      <w:bodyDiv w:val="1"/>
      <w:marLeft w:val="0"/>
      <w:marRight w:val="0"/>
      <w:marTop w:val="0"/>
      <w:marBottom w:val="0"/>
      <w:divBdr>
        <w:top w:val="none" w:sz="0" w:space="0" w:color="auto"/>
        <w:left w:val="none" w:sz="0" w:space="0" w:color="auto"/>
        <w:bottom w:val="none" w:sz="0" w:space="0" w:color="auto"/>
        <w:right w:val="none" w:sz="0" w:space="0" w:color="auto"/>
      </w:divBdr>
    </w:div>
    <w:div w:id="1393310522">
      <w:bodyDiv w:val="1"/>
      <w:marLeft w:val="0"/>
      <w:marRight w:val="0"/>
      <w:marTop w:val="0"/>
      <w:marBottom w:val="0"/>
      <w:divBdr>
        <w:top w:val="none" w:sz="0" w:space="0" w:color="auto"/>
        <w:left w:val="none" w:sz="0" w:space="0" w:color="auto"/>
        <w:bottom w:val="none" w:sz="0" w:space="0" w:color="auto"/>
        <w:right w:val="none" w:sz="0" w:space="0" w:color="auto"/>
      </w:divBdr>
    </w:div>
    <w:div w:id="1447239488">
      <w:bodyDiv w:val="1"/>
      <w:marLeft w:val="0"/>
      <w:marRight w:val="0"/>
      <w:marTop w:val="0"/>
      <w:marBottom w:val="0"/>
      <w:divBdr>
        <w:top w:val="none" w:sz="0" w:space="0" w:color="auto"/>
        <w:left w:val="none" w:sz="0" w:space="0" w:color="auto"/>
        <w:bottom w:val="none" w:sz="0" w:space="0" w:color="auto"/>
        <w:right w:val="none" w:sz="0" w:space="0" w:color="auto"/>
      </w:divBdr>
    </w:div>
    <w:div w:id="1464619428">
      <w:bodyDiv w:val="1"/>
      <w:marLeft w:val="0"/>
      <w:marRight w:val="0"/>
      <w:marTop w:val="0"/>
      <w:marBottom w:val="0"/>
      <w:divBdr>
        <w:top w:val="none" w:sz="0" w:space="0" w:color="auto"/>
        <w:left w:val="none" w:sz="0" w:space="0" w:color="auto"/>
        <w:bottom w:val="none" w:sz="0" w:space="0" w:color="auto"/>
        <w:right w:val="none" w:sz="0" w:space="0" w:color="auto"/>
      </w:divBdr>
    </w:div>
    <w:div w:id="1491947248">
      <w:bodyDiv w:val="1"/>
      <w:marLeft w:val="0"/>
      <w:marRight w:val="0"/>
      <w:marTop w:val="0"/>
      <w:marBottom w:val="0"/>
      <w:divBdr>
        <w:top w:val="none" w:sz="0" w:space="0" w:color="auto"/>
        <w:left w:val="none" w:sz="0" w:space="0" w:color="auto"/>
        <w:bottom w:val="none" w:sz="0" w:space="0" w:color="auto"/>
        <w:right w:val="none" w:sz="0" w:space="0" w:color="auto"/>
      </w:divBdr>
    </w:div>
    <w:div w:id="1508209627">
      <w:bodyDiv w:val="1"/>
      <w:marLeft w:val="0"/>
      <w:marRight w:val="0"/>
      <w:marTop w:val="0"/>
      <w:marBottom w:val="0"/>
      <w:divBdr>
        <w:top w:val="none" w:sz="0" w:space="0" w:color="auto"/>
        <w:left w:val="none" w:sz="0" w:space="0" w:color="auto"/>
        <w:bottom w:val="none" w:sz="0" w:space="0" w:color="auto"/>
        <w:right w:val="none" w:sz="0" w:space="0" w:color="auto"/>
      </w:divBdr>
    </w:div>
    <w:div w:id="1691755574">
      <w:bodyDiv w:val="1"/>
      <w:marLeft w:val="0"/>
      <w:marRight w:val="0"/>
      <w:marTop w:val="0"/>
      <w:marBottom w:val="0"/>
      <w:divBdr>
        <w:top w:val="none" w:sz="0" w:space="0" w:color="auto"/>
        <w:left w:val="none" w:sz="0" w:space="0" w:color="auto"/>
        <w:bottom w:val="none" w:sz="0" w:space="0" w:color="auto"/>
        <w:right w:val="none" w:sz="0" w:space="0" w:color="auto"/>
      </w:divBdr>
    </w:div>
    <w:div w:id="1738891675">
      <w:bodyDiv w:val="1"/>
      <w:marLeft w:val="0"/>
      <w:marRight w:val="0"/>
      <w:marTop w:val="0"/>
      <w:marBottom w:val="0"/>
      <w:divBdr>
        <w:top w:val="none" w:sz="0" w:space="0" w:color="auto"/>
        <w:left w:val="none" w:sz="0" w:space="0" w:color="auto"/>
        <w:bottom w:val="none" w:sz="0" w:space="0" w:color="auto"/>
        <w:right w:val="none" w:sz="0" w:space="0" w:color="auto"/>
      </w:divBdr>
    </w:div>
    <w:div w:id="1812597205">
      <w:bodyDiv w:val="1"/>
      <w:marLeft w:val="0"/>
      <w:marRight w:val="0"/>
      <w:marTop w:val="0"/>
      <w:marBottom w:val="0"/>
      <w:divBdr>
        <w:top w:val="none" w:sz="0" w:space="0" w:color="auto"/>
        <w:left w:val="none" w:sz="0" w:space="0" w:color="auto"/>
        <w:bottom w:val="none" w:sz="0" w:space="0" w:color="auto"/>
        <w:right w:val="none" w:sz="0" w:space="0" w:color="auto"/>
      </w:divBdr>
    </w:div>
    <w:div w:id="1827747218">
      <w:bodyDiv w:val="1"/>
      <w:marLeft w:val="0"/>
      <w:marRight w:val="0"/>
      <w:marTop w:val="0"/>
      <w:marBottom w:val="0"/>
      <w:divBdr>
        <w:top w:val="none" w:sz="0" w:space="0" w:color="auto"/>
        <w:left w:val="none" w:sz="0" w:space="0" w:color="auto"/>
        <w:bottom w:val="none" w:sz="0" w:space="0" w:color="auto"/>
        <w:right w:val="none" w:sz="0" w:space="0" w:color="auto"/>
      </w:divBdr>
    </w:div>
    <w:div w:id="1848709245">
      <w:bodyDiv w:val="1"/>
      <w:marLeft w:val="0"/>
      <w:marRight w:val="0"/>
      <w:marTop w:val="0"/>
      <w:marBottom w:val="0"/>
      <w:divBdr>
        <w:top w:val="none" w:sz="0" w:space="0" w:color="auto"/>
        <w:left w:val="none" w:sz="0" w:space="0" w:color="auto"/>
        <w:bottom w:val="none" w:sz="0" w:space="0" w:color="auto"/>
        <w:right w:val="none" w:sz="0" w:space="0" w:color="auto"/>
      </w:divBdr>
    </w:div>
    <w:div w:id="1867206379">
      <w:bodyDiv w:val="1"/>
      <w:marLeft w:val="0"/>
      <w:marRight w:val="0"/>
      <w:marTop w:val="0"/>
      <w:marBottom w:val="0"/>
      <w:divBdr>
        <w:top w:val="none" w:sz="0" w:space="0" w:color="auto"/>
        <w:left w:val="none" w:sz="0" w:space="0" w:color="auto"/>
        <w:bottom w:val="none" w:sz="0" w:space="0" w:color="auto"/>
        <w:right w:val="none" w:sz="0" w:space="0" w:color="auto"/>
      </w:divBdr>
    </w:div>
    <w:div w:id="1936982418">
      <w:bodyDiv w:val="1"/>
      <w:marLeft w:val="0"/>
      <w:marRight w:val="0"/>
      <w:marTop w:val="0"/>
      <w:marBottom w:val="0"/>
      <w:divBdr>
        <w:top w:val="none" w:sz="0" w:space="0" w:color="auto"/>
        <w:left w:val="none" w:sz="0" w:space="0" w:color="auto"/>
        <w:bottom w:val="none" w:sz="0" w:space="0" w:color="auto"/>
        <w:right w:val="none" w:sz="0" w:space="0" w:color="auto"/>
      </w:divBdr>
    </w:div>
    <w:div w:id="1976830662">
      <w:bodyDiv w:val="1"/>
      <w:marLeft w:val="0"/>
      <w:marRight w:val="0"/>
      <w:marTop w:val="0"/>
      <w:marBottom w:val="0"/>
      <w:divBdr>
        <w:top w:val="none" w:sz="0" w:space="0" w:color="auto"/>
        <w:left w:val="none" w:sz="0" w:space="0" w:color="auto"/>
        <w:bottom w:val="none" w:sz="0" w:space="0" w:color="auto"/>
        <w:right w:val="none" w:sz="0" w:space="0" w:color="auto"/>
      </w:divBdr>
    </w:div>
    <w:div w:id="1994216629">
      <w:bodyDiv w:val="1"/>
      <w:marLeft w:val="0"/>
      <w:marRight w:val="0"/>
      <w:marTop w:val="0"/>
      <w:marBottom w:val="0"/>
      <w:divBdr>
        <w:top w:val="none" w:sz="0" w:space="0" w:color="auto"/>
        <w:left w:val="none" w:sz="0" w:space="0" w:color="auto"/>
        <w:bottom w:val="none" w:sz="0" w:space="0" w:color="auto"/>
        <w:right w:val="none" w:sz="0" w:space="0" w:color="auto"/>
      </w:divBdr>
    </w:div>
    <w:div w:id="2015381173">
      <w:bodyDiv w:val="1"/>
      <w:marLeft w:val="0"/>
      <w:marRight w:val="0"/>
      <w:marTop w:val="0"/>
      <w:marBottom w:val="0"/>
      <w:divBdr>
        <w:top w:val="none" w:sz="0" w:space="0" w:color="auto"/>
        <w:left w:val="none" w:sz="0" w:space="0" w:color="auto"/>
        <w:bottom w:val="none" w:sz="0" w:space="0" w:color="auto"/>
        <w:right w:val="none" w:sz="0" w:space="0" w:color="auto"/>
      </w:divBdr>
    </w:div>
    <w:div w:id="2024897238">
      <w:bodyDiv w:val="1"/>
      <w:marLeft w:val="0"/>
      <w:marRight w:val="0"/>
      <w:marTop w:val="0"/>
      <w:marBottom w:val="0"/>
      <w:divBdr>
        <w:top w:val="none" w:sz="0" w:space="0" w:color="auto"/>
        <w:left w:val="none" w:sz="0" w:space="0" w:color="auto"/>
        <w:bottom w:val="none" w:sz="0" w:space="0" w:color="auto"/>
        <w:right w:val="none" w:sz="0" w:space="0" w:color="auto"/>
      </w:divBdr>
    </w:div>
    <w:div w:id="2025593064">
      <w:bodyDiv w:val="1"/>
      <w:marLeft w:val="0"/>
      <w:marRight w:val="0"/>
      <w:marTop w:val="0"/>
      <w:marBottom w:val="0"/>
      <w:divBdr>
        <w:top w:val="none" w:sz="0" w:space="0" w:color="auto"/>
        <w:left w:val="none" w:sz="0" w:space="0" w:color="auto"/>
        <w:bottom w:val="none" w:sz="0" w:space="0" w:color="auto"/>
        <w:right w:val="none" w:sz="0" w:space="0" w:color="auto"/>
      </w:divBdr>
    </w:div>
    <w:div w:id="2039815189">
      <w:bodyDiv w:val="1"/>
      <w:marLeft w:val="0"/>
      <w:marRight w:val="0"/>
      <w:marTop w:val="0"/>
      <w:marBottom w:val="0"/>
      <w:divBdr>
        <w:top w:val="none" w:sz="0" w:space="0" w:color="auto"/>
        <w:left w:val="none" w:sz="0" w:space="0" w:color="auto"/>
        <w:bottom w:val="none" w:sz="0" w:space="0" w:color="auto"/>
        <w:right w:val="none" w:sz="0" w:space="0" w:color="auto"/>
      </w:divBdr>
    </w:div>
    <w:div w:id="2042052969">
      <w:bodyDiv w:val="1"/>
      <w:marLeft w:val="0"/>
      <w:marRight w:val="0"/>
      <w:marTop w:val="0"/>
      <w:marBottom w:val="0"/>
      <w:divBdr>
        <w:top w:val="none" w:sz="0" w:space="0" w:color="auto"/>
        <w:left w:val="none" w:sz="0" w:space="0" w:color="auto"/>
        <w:bottom w:val="none" w:sz="0" w:space="0" w:color="auto"/>
        <w:right w:val="none" w:sz="0" w:space="0" w:color="auto"/>
      </w:divBdr>
    </w:div>
    <w:div w:id="2059623394">
      <w:bodyDiv w:val="1"/>
      <w:marLeft w:val="0"/>
      <w:marRight w:val="0"/>
      <w:marTop w:val="0"/>
      <w:marBottom w:val="0"/>
      <w:divBdr>
        <w:top w:val="none" w:sz="0" w:space="0" w:color="auto"/>
        <w:left w:val="none" w:sz="0" w:space="0" w:color="auto"/>
        <w:bottom w:val="none" w:sz="0" w:space="0" w:color="auto"/>
        <w:right w:val="none" w:sz="0" w:space="0" w:color="auto"/>
      </w:divBdr>
    </w:div>
    <w:div w:id="210306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oleObject" Target="embeddings/oleObject3.bin"/><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7.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0.emf"/><Relationship Id="rId5" Type="http://schemas.openxmlformats.org/officeDocument/2006/relationships/settings" Target="settings.xml"/><Relationship Id="rId15" Type="http://schemas.openxmlformats.org/officeDocument/2006/relationships/image" Target="media/image6.wmf"/><Relationship Id="rId23" Type="http://schemas.openxmlformats.org/officeDocument/2006/relationships/oleObject" Target="embeddings/oleObject5.bin"/><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image" Target="media/image9.w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5D7BF3-8774-4EF5-8A24-ED61F43A7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92</Pages>
  <Words>28051</Words>
  <Characters>159892</Characters>
  <Application>Microsoft Office Word</Application>
  <DocSecurity>0</DocSecurity>
  <Lines>1332</Lines>
  <Paragraphs>375</Paragraphs>
  <ScaleCrop>false</ScaleCrop>
  <HeadingPairs>
    <vt:vector size="2" baseType="variant">
      <vt:variant>
        <vt:lpstr>Title</vt:lpstr>
      </vt:variant>
      <vt:variant>
        <vt:i4>1</vt:i4>
      </vt:variant>
    </vt:vector>
  </HeadingPairs>
  <TitlesOfParts>
    <vt:vector size="1" baseType="lpstr">
      <vt:lpstr>SDG&amp;E 2009 Load Impact Executive Summary</vt:lpstr>
    </vt:vector>
  </TitlesOfParts>
  <Company>Sempra Energy Utilities</Company>
  <LinksUpToDate>false</LinksUpToDate>
  <CharactersWithSpaces>187568</CharactersWithSpaces>
  <SharedDoc>false</SharedDoc>
  <HLinks>
    <vt:vector size="282" baseType="variant">
      <vt:variant>
        <vt:i4>1769533</vt:i4>
      </vt:variant>
      <vt:variant>
        <vt:i4>278</vt:i4>
      </vt:variant>
      <vt:variant>
        <vt:i4>0</vt:i4>
      </vt:variant>
      <vt:variant>
        <vt:i4>5</vt:i4>
      </vt:variant>
      <vt:variant>
        <vt:lpwstr/>
      </vt:variant>
      <vt:variant>
        <vt:lpwstr>_Toc351990604</vt:lpwstr>
      </vt:variant>
      <vt:variant>
        <vt:i4>1769533</vt:i4>
      </vt:variant>
      <vt:variant>
        <vt:i4>272</vt:i4>
      </vt:variant>
      <vt:variant>
        <vt:i4>0</vt:i4>
      </vt:variant>
      <vt:variant>
        <vt:i4>5</vt:i4>
      </vt:variant>
      <vt:variant>
        <vt:lpwstr/>
      </vt:variant>
      <vt:variant>
        <vt:lpwstr>_Toc351990603</vt:lpwstr>
      </vt:variant>
      <vt:variant>
        <vt:i4>1769533</vt:i4>
      </vt:variant>
      <vt:variant>
        <vt:i4>266</vt:i4>
      </vt:variant>
      <vt:variant>
        <vt:i4>0</vt:i4>
      </vt:variant>
      <vt:variant>
        <vt:i4>5</vt:i4>
      </vt:variant>
      <vt:variant>
        <vt:lpwstr/>
      </vt:variant>
      <vt:variant>
        <vt:lpwstr>_Toc351990602</vt:lpwstr>
      </vt:variant>
      <vt:variant>
        <vt:i4>1769533</vt:i4>
      </vt:variant>
      <vt:variant>
        <vt:i4>260</vt:i4>
      </vt:variant>
      <vt:variant>
        <vt:i4>0</vt:i4>
      </vt:variant>
      <vt:variant>
        <vt:i4>5</vt:i4>
      </vt:variant>
      <vt:variant>
        <vt:lpwstr/>
      </vt:variant>
      <vt:variant>
        <vt:lpwstr>_Toc351990601</vt:lpwstr>
      </vt:variant>
      <vt:variant>
        <vt:i4>1769533</vt:i4>
      </vt:variant>
      <vt:variant>
        <vt:i4>254</vt:i4>
      </vt:variant>
      <vt:variant>
        <vt:i4>0</vt:i4>
      </vt:variant>
      <vt:variant>
        <vt:i4>5</vt:i4>
      </vt:variant>
      <vt:variant>
        <vt:lpwstr/>
      </vt:variant>
      <vt:variant>
        <vt:lpwstr>_Toc351990600</vt:lpwstr>
      </vt:variant>
      <vt:variant>
        <vt:i4>1179710</vt:i4>
      </vt:variant>
      <vt:variant>
        <vt:i4>248</vt:i4>
      </vt:variant>
      <vt:variant>
        <vt:i4>0</vt:i4>
      </vt:variant>
      <vt:variant>
        <vt:i4>5</vt:i4>
      </vt:variant>
      <vt:variant>
        <vt:lpwstr/>
      </vt:variant>
      <vt:variant>
        <vt:lpwstr>_Toc351990599</vt:lpwstr>
      </vt:variant>
      <vt:variant>
        <vt:i4>1179710</vt:i4>
      </vt:variant>
      <vt:variant>
        <vt:i4>242</vt:i4>
      </vt:variant>
      <vt:variant>
        <vt:i4>0</vt:i4>
      </vt:variant>
      <vt:variant>
        <vt:i4>5</vt:i4>
      </vt:variant>
      <vt:variant>
        <vt:lpwstr/>
      </vt:variant>
      <vt:variant>
        <vt:lpwstr>_Toc351990598</vt:lpwstr>
      </vt:variant>
      <vt:variant>
        <vt:i4>1179710</vt:i4>
      </vt:variant>
      <vt:variant>
        <vt:i4>236</vt:i4>
      </vt:variant>
      <vt:variant>
        <vt:i4>0</vt:i4>
      </vt:variant>
      <vt:variant>
        <vt:i4>5</vt:i4>
      </vt:variant>
      <vt:variant>
        <vt:lpwstr/>
      </vt:variant>
      <vt:variant>
        <vt:lpwstr>_Toc351990597</vt:lpwstr>
      </vt:variant>
      <vt:variant>
        <vt:i4>1179710</vt:i4>
      </vt:variant>
      <vt:variant>
        <vt:i4>230</vt:i4>
      </vt:variant>
      <vt:variant>
        <vt:i4>0</vt:i4>
      </vt:variant>
      <vt:variant>
        <vt:i4>5</vt:i4>
      </vt:variant>
      <vt:variant>
        <vt:lpwstr/>
      </vt:variant>
      <vt:variant>
        <vt:lpwstr>_Toc351990596</vt:lpwstr>
      </vt:variant>
      <vt:variant>
        <vt:i4>1179710</vt:i4>
      </vt:variant>
      <vt:variant>
        <vt:i4>224</vt:i4>
      </vt:variant>
      <vt:variant>
        <vt:i4>0</vt:i4>
      </vt:variant>
      <vt:variant>
        <vt:i4>5</vt:i4>
      </vt:variant>
      <vt:variant>
        <vt:lpwstr/>
      </vt:variant>
      <vt:variant>
        <vt:lpwstr>_Toc351990595</vt:lpwstr>
      </vt:variant>
      <vt:variant>
        <vt:i4>1179710</vt:i4>
      </vt:variant>
      <vt:variant>
        <vt:i4>218</vt:i4>
      </vt:variant>
      <vt:variant>
        <vt:i4>0</vt:i4>
      </vt:variant>
      <vt:variant>
        <vt:i4>5</vt:i4>
      </vt:variant>
      <vt:variant>
        <vt:lpwstr/>
      </vt:variant>
      <vt:variant>
        <vt:lpwstr>_Toc351990594</vt:lpwstr>
      </vt:variant>
      <vt:variant>
        <vt:i4>1179710</vt:i4>
      </vt:variant>
      <vt:variant>
        <vt:i4>212</vt:i4>
      </vt:variant>
      <vt:variant>
        <vt:i4>0</vt:i4>
      </vt:variant>
      <vt:variant>
        <vt:i4>5</vt:i4>
      </vt:variant>
      <vt:variant>
        <vt:lpwstr/>
      </vt:variant>
      <vt:variant>
        <vt:lpwstr>_Toc351990593</vt:lpwstr>
      </vt:variant>
      <vt:variant>
        <vt:i4>1179710</vt:i4>
      </vt:variant>
      <vt:variant>
        <vt:i4>206</vt:i4>
      </vt:variant>
      <vt:variant>
        <vt:i4>0</vt:i4>
      </vt:variant>
      <vt:variant>
        <vt:i4>5</vt:i4>
      </vt:variant>
      <vt:variant>
        <vt:lpwstr/>
      </vt:variant>
      <vt:variant>
        <vt:lpwstr>_Toc351990592</vt:lpwstr>
      </vt:variant>
      <vt:variant>
        <vt:i4>1179710</vt:i4>
      </vt:variant>
      <vt:variant>
        <vt:i4>200</vt:i4>
      </vt:variant>
      <vt:variant>
        <vt:i4>0</vt:i4>
      </vt:variant>
      <vt:variant>
        <vt:i4>5</vt:i4>
      </vt:variant>
      <vt:variant>
        <vt:lpwstr/>
      </vt:variant>
      <vt:variant>
        <vt:lpwstr>_Toc351990591</vt:lpwstr>
      </vt:variant>
      <vt:variant>
        <vt:i4>1179710</vt:i4>
      </vt:variant>
      <vt:variant>
        <vt:i4>194</vt:i4>
      </vt:variant>
      <vt:variant>
        <vt:i4>0</vt:i4>
      </vt:variant>
      <vt:variant>
        <vt:i4>5</vt:i4>
      </vt:variant>
      <vt:variant>
        <vt:lpwstr/>
      </vt:variant>
      <vt:variant>
        <vt:lpwstr>_Toc351990590</vt:lpwstr>
      </vt:variant>
      <vt:variant>
        <vt:i4>1245246</vt:i4>
      </vt:variant>
      <vt:variant>
        <vt:i4>188</vt:i4>
      </vt:variant>
      <vt:variant>
        <vt:i4>0</vt:i4>
      </vt:variant>
      <vt:variant>
        <vt:i4>5</vt:i4>
      </vt:variant>
      <vt:variant>
        <vt:lpwstr/>
      </vt:variant>
      <vt:variant>
        <vt:lpwstr>_Toc351990589</vt:lpwstr>
      </vt:variant>
      <vt:variant>
        <vt:i4>1245246</vt:i4>
      </vt:variant>
      <vt:variant>
        <vt:i4>182</vt:i4>
      </vt:variant>
      <vt:variant>
        <vt:i4>0</vt:i4>
      </vt:variant>
      <vt:variant>
        <vt:i4>5</vt:i4>
      </vt:variant>
      <vt:variant>
        <vt:lpwstr/>
      </vt:variant>
      <vt:variant>
        <vt:lpwstr>_Toc351990588</vt:lpwstr>
      </vt:variant>
      <vt:variant>
        <vt:i4>1245246</vt:i4>
      </vt:variant>
      <vt:variant>
        <vt:i4>176</vt:i4>
      </vt:variant>
      <vt:variant>
        <vt:i4>0</vt:i4>
      </vt:variant>
      <vt:variant>
        <vt:i4>5</vt:i4>
      </vt:variant>
      <vt:variant>
        <vt:lpwstr/>
      </vt:variant>
      <vt:variant>
        <vt:lpwstr>_Toc351990587</vt:lpwstr>
      </vt:variant>
      <vt:variant>
        <vt:i4>1245246</vt:i4>
      </vt:variant>
      <vt:variant>
        <vt:i4>170</vt:i4>
      </vt:variant>
      <vt:variant>
        <vt:i4>0</vt:i4>
      </vt:variant>
      <vt:variant>
        <vt:i4>5</vt:i4>
      </vt:variant>
      <vt:variant>
        <vt:lpwstr/>
      </vt:variant>
      <vt:variant>
        <vt:lpwstr>_Toc351990586</vt:lpwstr>
      </vt:variant>
      <vt:variant>
        <vt:i4>1245246</vt:i4>
      </vt:variant>
      <vt:variant>
        <vt:i4>164</vt:i4>
      </vt:variant>
      <vt:variant>
        <vt:i4>0</vt:i4>
      </vt:variant>
      <vt:variant>
        <vt:i4>5</vt:i4>
      </vt:variant>
      <vt:variant>
        <vt:lpwstr/>
      </vt:variant>
      <vt:variant>
        <vt:lpwstr>_Toc351990585</vt:lpwstr>
      </vt:variant>
      <vt:variant>
        <vt:i4>1245246</vt:i4>
      </vt:variant>
      <vt:variant>
        <vt:i4>158</vt:i4>
      </vt:variant>
      <vt:variant>
        <vt:i4>0</vt:i4>
      </vt:variant>
      <vt:variant>
        <vt:i4>5</vt:i4>
      </vt:variant>
      <vt:variant>
        <vt:lpwstr/>
      </vt:variant>
      <vt:variant>
        <vt:lpwstr>_Toc351990584</vt:lpwstr>
      </vt:variant>
      <vt:variant>
        <vt:i4>1245246</vt:i4>
      </vt:variant>
      <vt:variant>
        <vt:i4>152</vt:i4>
      </vt:variant>
      <vt:variant>
        <vt:i4>0</vt:i4>
      </vt:variant>
      <vt:variant>
        <vt:i4>5</vt:i4>
      </vt:variant>
      <vt:variant>
        <vt:lpwstr/>
      </vt:variant>
      <vt:variant>
        <vt:lpwstr>_Toc351990583</vt:lpwstr>
      </vt:variant>
      <vt:variant>
        <vt:i4>1245246</vt:i4>
      </vt:variant>
      <vt:variant>
        <vt:i4>146</vt:i4>
      </vt:variant>
      <vt:variant>
        <vt:i4>0</vt:i4>
      </vt:variant>
      <vt:variant>
        <vt:i4>5</vt:i4>
      </vt:variant>
      <vt:variant>
        <vt:lpwstr/>
      </vt:variant>
      <vt:variant>
        <vt:lpwstr>_Toc351990582</vt:lpwstr>
      </vt:variant>
      <vt:variant>
        <vt:i4>1245246</vt:i4>
      </vt:variant>
      <vt:variant>
        <vt:i4>140</vt:i4>
      </vt:variant>
      <vt:variant>
        <vt:i4>0</vt:i4>
      </vt:variant>
      <vt:variant>
        <vt:i4>5</vt:i4>
      </vt:variant>
      <vt:variant>
        <vt:lpwstr/>
      </vt:variant>
      <vt:variant>
        <vt:lpwstr>_Toc351990581</vt:lpwstr>
      </vt:variant>
      <vt:variant>
        <vt:i4>1245246</vt:i4>
      </vt:variant>
      <vt:variant>
        <vt:i4>134</vt:i4>
      </vt:variant>
      <vt:variant>
        <vt:i4>0</vt:i4>
      </vt:variant>
      <vt:variant>
        <vt:i4>5</vt:i4>
      </vt:variant>
      <vt:variant>
        <vt:lpwstr/>
      </vt:variant>
      <vt:variant>
        <vt:lpwstr>_Toc351990580</vt:lpwstr>
      </vt:variant>
      <vt:variant>
        <vt:i4>1835070</vt:i4>
      </vt:variant>
      <vt:variant>
        <vt:i4>128</vt:i4>
      </vt:variant>
      <vt:variant>
        <vt:i4>0</vt:i4>
      </vt:variant>
      <vt:variant>
        <vt:i4>5</vt:i4>
      </vt:variant>
      <vt:variant>
        <vt:lpwstr/>
      </vt:variant>
      <vt:variant>
        <vt:lpwstr>_Toc351990579</vt:lpwstr>
      </vt:variant>
      <vt:variant>
        <vt:i4>1835070</vt:i4>
      </vt:variant>
      <vt:variant>
        <vt:i4>122</vt:i4>
      </vt:variant>
      <vt:variant>
        <vt:i4>0</vt:i4>
      </vt:variant>
      <vt:variant>
        <vt:i4>5</vt:i4>
      </vt:variant>
      <vt:variant>
        <vt:lpwstr/>
      </vt:variant>
      <vt:variant>
        <vt:lpwstr>_Toc351990578</vt:lpwstr>
      </vt:variant>
      <vt:variant>
        <vt:i4>1835070</vt:i4>
      </vt:variant>
      <vt:variant>
        <vt:i4>116</vt:i4>
      </vt:variant>
      <vt:variant>
        <vt:i4>0</vt:i4>
      </vt:variant>
      <vt:variant>
        <vt:i4>5</vt:i4>
      </vt:variant>
      <vt:variant>
        <vt:lpwstr/>
      </vt:variant>
      <vt:variant>
        <vt:lpwstr>_Toc351990577</vt:lpwstr>
      </vt:variant>
      <vt:variant>
        <vt:i4>1835070</vt:i4>
      </vt:variant>
      <vt:variant>
        <vt:i4>110</vt:i4>
      </vt:variant>
      <vt:variant>
        <vt:i4>0</vt:i4>
      </vt:variant>
      <vt:variant>
        <vt:i4>5</vt:i4>
      </vt:variant>
      <vt:variant>
        <vt:lpwstr/>
      </vt:variant>
      <vt:variant>
        <vt:lpwstr>_Toc351990576</vt:lpwstr>
      </vt:variant>
      <vt:variant>
        <vt:i4>1835070</vt:i4>
      </vt:variant>
      <vt:variant>
        <vt:i4>104</vt:i4>
      </vt:variant>
      <vt:variant>
        <vt:i4>0</vt:i4>
      </vt:variant>
      <vt:variant>
        <vt:i4>5</vt:i4>
      </vt:variant>
      <vt:variant>
        <vt:lpwstr/>
      </vt:variant>
      <vt:variant>
        <vt:lpwstr>_Toc351990575</vt:lpwstr>
      </vt:variant>
      <vt:variant>
        <vt:i4>1835070</vt:i4>
      </vt:variant>
      <vt:variant>
        <vt:i4>98</vt:i4>
      </vt:variant>
      <vt:variant>
        <vt:i4>0</vt:i4>
      </vt:variant>
      <vt:variant>
        <vt:i4>5</vt:i4>
      </vt:variant>
      <vt:variant>
        <vt:lpwstr/>
      </vt:variant>
      <vt:variant>
        <vt:lpwstr>_Toc351990574</vt:lpwstr>
      </vt:variant>
      <vt:variant>
        <vt:i4>1835070</vt:i4>
      </vt:variant>
      <vt:variant>
        <vt:i4>92</vt:i4>
      </vt:variant>
      <vt:variant>
        <vt:i4>0</vt:i4>
      </vt:variant>
      <vt:variant>
        <vt:i4>5</vt:i4>
      </vt:variant>
      <vt:variant>
        <vt:lpwstr/>
      </vt:variant>
      <vt:variant>
        <vt:lpwstr>_Toc351990573</vt:lpwstr>
      </vt:variant>
      <vt:variant>
        <vt:i4>1835070</vt:i4>
      </vt:variant>
      <vt:variant>
        <vt:i4>86</vt:i4>
      </vt:variant>
      <vt:variant>
        <vt:i4>0</vt:i4>
      </vt:variant>
      <vt:variant>
        <vt:i4>5</vt:i4>
      </vt:variant>
      <vt:variant>
        <vt:lpwstr/>
      </vt:variant>
      <vt:variant>
        <vt:lpwstr>_Toc351990572</vt:lpwstr>
      </vt:variant>
      <vt:variant>
        <vt:i4>1835070</vt:i4>
      </vt:variant>
      <vt:variant>
        <vt:i4>80</vt:i4>
      </vt:variant>
      <vt:variant>
        <vt:i4>0</vt:i4>
      </vt:variant>
      <vt:variant>
        <vt:i4>5</vt:i4>
      </vt:variant>
      <vt:variant>
        <vt:lpwstr/>
      </vt:variant>
      <vt:variant>
        <vt:lpwstr>_Toc351990571</vt:lpwstr>
      </vt:variant>
      <vt:variant>
        <vt:i4>1835070</vt:i4>
      </vt:variant>
      <vt:variant>
        <vt:i4>74</vt:i4>
      </vt:variant>
      <vt:variant>
        <vt:i4>0</vt:i4>
      </vt:variant>
      <vt:variant>
        <vt:i4>5</vt:i4>
      </vt:variant>
      <vt:variant>
        <vt:lpwstr/>
      </vt:variant>
      <vt:variant>
        <vt:lpwstr>_Toc351990570</vt:lpwstr>
      </vt:variant>
      <vt:variant>
        <vt:i4>1900606</vt:i4>
      </vt:variant>
      <vt:variant>
        <vt:i4>68</vt:i4>
      </vt:variant>
      <vt:variant>
        <vt:i4>0</vt:i4>
      </vt:variant>
      <vt:variant>
        <vt:i4>5</vt:i4>
      </vt:variant>
      <vt:variant>
        <vt:lpwstr/>
      </vt:variant>
      <vt:variant>
        <vt:lpwstr>_Toc351990569</vt:lpwstr>
      </vt:variant>
      <vt:variant>
        <vt:i4>1900606</vt:i4>
      </vt:variant>
      <vt:variant>
        <vt:i4>62</vt:i4>
      </vt:variant>
      <vt:variant>
        <vt:i4>0</vt:i4>
      </vt:variant>
      <vt:variant>
        <vt:i4>5</vt:i4>
      </vt:variant>
      <vt:variant>
        <vt:lpwstr/>
      </vt:variant>
      <vt:variant>
        <vt:lpwstr>_Toc351990568</vt:lpwstr>
      </vt:variant>
      <vt:variant>
        <vt:i4>1900606</vt:i4>
      </vt:variant>
      <vt:variant>
        <vt:i4>56</vt:i4>
      </vt:variant>
      <vt:variant>
        <vt:i4>0</vt:i4>
      </vt:variant>
      <vt:variant>
        <vt:i4>5</vt:i4>
      </vt:variant>
      <vt:variant>
        <vt:lpwstr/>
      </vt:variant>
      <vt:variant>
        <vt:lpwstr>_Toc351990567</vt:lpwstr>
      </vt:variant>
      <vt:variant>
        <vt:i4>1900606</vt:i4>
      </vt:variant>
      <vt:variant>
        <vt:i4>50</vt:i4>
      </vt:variant>
      <vt:variant>
        <vt:i4>0</vt:i4>
      </vt:variant>
      <vt:variant>
        <vt:i4>5</vt:i4>
      </vt:variant>
      <vt:variant>
        <vt:lpwstr/>
      </vt:variant>
      <vt:variant>
        <vt:lpwstr>_Toc351990566</vt:lpwstr>
      </vt:variant>
      <vt:variant>
        <vt:i4>1900606</vt:i4>
      </vt:variant>
      <vt:variant>
        <vt:i4>44</vt:i4>
      </vt:variant>
      <vt:variant>
        <vt:i4>0</vt:i4>
      </vt:variant>
      <vt:variant>
        <vt:i4>5</vt:i4>
      </vt:variant>
      <vt:variant>
        <vt:lpwstr/>
      </vt:variant>
      <vt:variant>
        <vt:lpwstr>_Toc351990565</vt:lpwstr>
      </vt:variant>
      <vt:variant>
        <vt:i4>1900606</vt:i4>
      </vt:variant>
      <vt:variant>
        <vt:i4>38</vt:i4>
      </vt:variant>
      <vt:variant>
        <vt:i4>0</vt:i4>
      </vt:variant>
      <vt:variant>
        <vt:i4>5</vt:i4>
      </vt:variant>
      <vt:variant>
        <vt:lpwstr/>
      </vt:variant>
      <vt:variant>
        <vt:lpwstr>_Toc351990564</vt:lpwstr>
      </vt:variant>
      <vt:variant>
        <vt:i4>1900606</vt:i4>
      </vt:variant>
      <vt:variant>
        <vt:i4>32</vt:i4>
      </vt:variant>
      <vt:variant>
        <vt:i4>0</vt:i4>
      </vt:variant>
      <vt:variant>
        <vt:i4>5</vt:i4>
      </vt:variant>
      <vt:variant>
        <vt:lpwstr/>
      </vt:variant>
      <vt:variant>
        <vt:lpwstr>_Toc351990563</vt:lpwstr>
      </vt:variant>
      <vt:variant>
        <vt:i4>1900606</vt:i4>
      </vt:variant>
      <vt:variant>
        <vt:i4>26</vt:i4>
      </vt:variant>
      <vt:variant>
        <vt:i4>0</vt:i4>
      </vt:variant>
      <vt:variant>
        <vt:i4>5</vt:i4>
      </vt:variant>
      <vt:variant>
        <vt:lpwstr/>
      </vt:variant>
      <vt:variant>
        <vt:lpwstr>_Toc351990562</vt:lpwstr>
      </vt:variant>
      <vt:variant>
        <vt:i4>1900606</vt:i4>
      </vt:variant>
      <vt:variant>
        <vt:i4>20</vt:i4>
      </vt:variant>
      <vt:variant>
        <vt:i4>0</vt:i4>
      </vt:variant>
      <vt:variant>
        <vt:i4>5</vt:i4>
      </vt:variant>
      <vt:variant>
        <vt:lpwstr/>
      </vt:variant>
      <vt:variant>
        <vt:lpwstr>_Toc351990561</vt:lpwstr>
      </vt:variant>
      <vt:variant>
        <vt:i4>1900606</vt:i4>
      </vt:variant>
      <vt:variant>
        <vt:i4>14</vt:i4>
      </vt:variant>
      <vt:variant>
        <vt:i4>0</vt:i4>
      </vt:variant>
      <vt:variant>
        <vt:i4>5</vt:i4>
      </vt:variant>
      <vt:variant>
        <vt:lpwstr/>
      </vt:variant>
      <vt:variant>
        <vt:lpwstr>_Toc351990560</vt:lpwstr>
      </vt:variant>
      <vt:variant>
        <vt:i4>1966142</vt:i4>
      </vt:variant>
      <vt:variant>
        <vt:i4>8</vt:i4>
      </vt:variant>
      <vt:variant>
        <vt:i4>0</vt:i4>
      </vt:variant>
      <vt:variant>
        <vt:i4>5</vt:i4>
      </vt:variant>
      <vt:variant>
        <vt:lpwstr/>
      </vt:variant>
      <vt:variant>
        <vt:lpwstr>_Toc351990559</vt:lpwstr>
      </vt:variant>
      <vt:variant>
        <vt:i4>1966142</vt:i4>
      </vt:variant>
      <vt:variant>
        <vt:i4>2</vt:i4>
      </vt:variant>
      <vt:variant>
        <vt:i4>0</vt:i4>
      </vt:variant>
      <vt:variant>
        <vt:i4>5</vt:i4>
      </vt:variant>
      <vt:variant>
        <vt:lpwstr/>
      </vt:variant>
      <vt:variant>
        <vt:lpwstr>_Toc351990558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SDG&amp;E 2009 Load Impact Executive Summary</dc:title>
  <dc:creator>Kathryn Smith</dc:creator>
  <cp:lastModifiedBy>Garcia-Rodriguez, Lizzette</cp:lastModifiedBy>
  <cp:revision>3</cp:revision>
  <cp:lastPrinted>2016-03-29T23:59:00Z</cp:lastPrinted>
  <dcterms:created xsi:type="dcterms:W3CDTF">2016-03-31T00:34:00Z</dcterms:created>
  <dcterms:modified xsi:type="dcterms:W3CDTF">2016-03-31T16:25:00Z</dcterms:modified>
</cp:coreProperties>
</file>